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558bf126924349ff" Type="http://schemas.microsoft.com/office/2006/relationships/ui/extensibility" Target="customUI/customUI.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ayoutGrid"/>
        <w:tblW w:w="0" w:type="auto"/>
        <w:tblLayout w:type="fixed"/>
        <w:tblLook w:val="04A0" w:firstRow="1" w:lastRow="0" w:firstColumn="1" w:lastColumn="0" w:noHBand="0" w:noVBand="1"/>
      </w:tblPr>
      <w:tblGrid>
        <w:gridCol w:w="7938"/>
        <w:gridCol w:w="1694"/>
      </w:tblGrid>
      <w:tr w:rsidR="0077560D" w14:paraId="4A6073C0" w14:textId="77777777" w:rsidTr="002375E5">
        <w:trPr>
          <w:trHeight w:hRule="exact" w:val="3260"/>
        </w:trPr>
        <w:tc>
          <w:tcPr>
            <w:tcW w:w="7938" w:type="dxa"/>
          </w:tcPr>
          <w:p w14:paraId="3F6BECF7" w14:textId="05EA33BF" w:rsidR="00A2567B" w:rsidRPr="00CC1E55" w:rsidRDefault="009E7131" w:rsidP="00CC1E55">
            <w:pPr>
              <w:pStyle w:val="Heading2"/>
              <w:outlineLvl w:val="1"/>
              <w:rPr>
                <w:sz w:val="52"/>
                <w:szCs w:val="52"/>
              </w:rPr>
            </w:pPr>
            <w:r w:rsidRPr="00CC1E55">
              <w:rPr>
                <w:sz w:val="52"/>
                <w:szCs w:val="52"/>
              </w:rPr>
              <w:t xml:space="preserve">Waste and </w:t>
            </w:r>
            <w:r w:rsidR="005D12B4" w:rsidRPr="00CC1E55">
              <w:rPr>
                <w:sz w:val="52"/>
                <w:szCs w:val="52"/>
              </w:rPr>
              <w:t xml:space="preserve">recycling </w:t>
            </w:r>
            <w:r w:rsidRPr="00CC1E55">
              <w:rPr>
                <w:sz w:val="52"/>
                <w:szCs w:val="52"/>
              </w:rPr>
              <w:t>in Victoria</w:t>
            </w:r>
          </w:p>
          <w:p w14:paraId="6F347126" w14:textId="77777777" w:rsidR="00A2567B" w:rsidRDefault="00A2567B" w:rsidP="009E7131">
            <w:pPr>
              <w:pStyle w:val="CoverHeading"/>
            </w:pPr>
          </w:p>
          <w:p w14:paraId="680926F0" w14:textId="1B2C19E5" w:rsidR="0077560D" w:rsidRDefault="00A2567B" w:rsidP="002375E5">
            <w:pPr>
              <w:pStyle w:val="CoverHeading"/>
              <w:spacing w:after="0"/>
            </w:pPr>
            <w:r>
              <w:t>Recycling</w:t>
            </w:r>
            <w:r w:rsidR="009E7131">
              <w:t xml:space="preserve"> </w:t>
            </w:r>
            <w:r w:rsidR="005D12B4">
              <w:t xml:space="preserve">industry </w:t>
            </w:r>
            <w:r w:rsidR="00FB2E95">
              <w:t xml:space="preserve">waste </w:t>
            </w:r>
            <w:r w:rsidR="005D12B4">
              <w:t>report</w:t>
            </w:r>
          </w:p>
          <w:p w14:paraId="6D9B4BD0" w14:textId="77777777" w:rsidR="00A2567B" w:rsidRPr="00A2567B" w:rsidRDefault="00A2567B" w:rsidP="00A2567B"/>
          <w:p w14:paraId="4227AA6A" w14:textId="69256A5D" w:rsidR="00FC6F89" w:rsidRPr="00FC6F89" w:rsidRDefault="0083505E" w:rsidP="002375E5">
            <w:pPr>
              <w:pStyle w:val="CoverSubheading"/>
              <w:spacing w:before="240"/>
            </w:pPr>
            <w:r>
              <w:t>2019</w:t>
            </w:r>
            <w:r w:rsidR="00F07D91">
              <w:t>–</w:t>
            </w:r>
            <w:r w:rsidRPr="009E7131">
              <w:t>20</w:t>
            </w:r>
          </w:p>
        </w:tc>
        <w:tc>
          <w:tcPr>
            <w:tcW w:w="1694" w:type="dxa"/>
          </w:tcPr>
          <w:p w14:paraId="06C18D90" w14:textId="77777777" w:rsidR="0077560D" w:rsidRDefault="0077560D" w:rsidP="000523DA"/>
        </w:tc>
      </w:tr>
      <w:tr w:rsidR="0077560D" w14:paraId="19DF3748" w14:textId="77777777" w:rsidTr="002375E5">
        <w:trPr>
          <w:trHeight w:hRule="exact" w:val="737"/>
        </w:trPr>
        <w:tc>
          <w:tcPr>
            <w:tcW w:w="7938" w:type="dxa"/>
          </w:tcPr>
          <w:p w14:paraId="71456D8E" w14:textId="32BB1E52" w:rsidR="00B97FF6" w:rsidRDefault="00FC6F89" w:rsidP="00B97FF6">
            <w:pPr>
              <w:pStyle w:val="CoverDetails"/>
            </w:pPr>
            <w:r>
              <w:t>Report by:</w:t>
            </w:r>
            <w:r w:rsidR="00791BF3">
              <w:t xml:space="preserve"> Sustainability Victoria</w:t>
            </w:r>
          </w:p>
          <w:p w14:paraId="0F88D481" w14:textId="1015FEDF" w:rsidR="0077560D" w:rsidRDefault="0015178F" w:rsidP="00B97FF6">
            <w:pPr>
              <w:pStyle w:val="CoverDetails"/>
            </w:pPr>
            <w:r>
              <w:t>November</w:t>
            </w:r>
            <w:r w:rsidR="00791BF3">
              <w:t xml:space="preserve"> 20</w:t>
            </w:r>
            <w:r w:rsidR="001114E1">
              <w:t>21</w:t>
            </w:r>
          </w:p>
        </w:tc>
        <w:tc>
          <w:tcPr>
            <w:tcW w:w="1694" w:type="dxa"/>
          </w:tcPr>
          <w:p w14:paraId="0F4D0C58" w14:textId="77777777" w:rsidR="0077560D" w:rsidRDefault="0077560D" w:rsidP="000523DA"/>
        </w:tc>
      </w:tr>
    </w:tbl>
    <w:p w14:paraId="2358782F" w14:textId="77777777" w:rsidR="00646AD5" w:rsidRDefault="00646AD5" w:rsidP="000523DA"/>
    <w:p w14:paraId="1407714D" w14:textId="77777777" w:rsidR="00AA7021" w:rsidRDefault="00AA7021" w:rsidP="006D5547"/>
    <w:p w14:paraId="7C9262B9" w14:textId="77777777" w:rsidR="00AA7021" w:rsidRPr="004B0021" w:rsidRDefault="00AA7021" w:rsidP="004B0021"/>
    <w:p w14:paraId="16E2458D" w14:textId="77777777" w:rsidR="000A638B" w:rsidRDefault="000A638B" w:rsidP="006D5547"/>
    <w:p w14:paraId="5E37F116" w14:textId="77777777" w:rsidR="009A225C" w:rsidRDefault="009A225C" w:rsidP="006D5547">
      <w:pPr>
        <w:sectPr w:rsidR="009A225C" w:rsidSect="00FC6F89">
          <w:headerReference w:type="first" r:id="rId11"/>
          <w:footerReference w:type="first" r:id="rId12"/>
          <w:pgSz w:w="11906" w:h="16838" w:code="9"/>
          <w:pgMar w:top="2268" w:right="1134" w:bottom="1440" w:left="1134" w:header="851" w:footer="369" w:gutter="0"/>
          <w:cols w:space="708"/>
          <w:titlePg/>
          <w:docGrid w:linePitch="360"/>
        </w:sectPr>
      </w:pPr>
    </w:p>
    <w:tbl>
      <w:tblPr>
        <w:tblStyle w:val="LayoutGrid"/>
        <w:tblW w:w="0" w:type="auto"/>
        <w:tblLook w:val="04A0" w:firstRow="1" w:lastRow="0" w:firstColumn="1" w:lastColumn="0" w:noHBand="0" w:noVBand="1"/>
      </w:tblPr>
      <w:tblGrid>
        <w:gridCol w:w="5103"/>
        <w:gridCol w:w="4525"/>
      </w:tblGrid>
      <w:tr w:rsidR="004C74E5" w14:paraId="0CE776F8" w14:textId="77777777" w:rsidTr="005D161E">
        <w:tc>
          <w:tcPr>
            <w:tcW w:w="5103" w:type="dxa"/>
          </w:tcPr>
          <w:p w14:paraId="2328CACF" w14:textId="77777777" w:rsidR="004C74E5" w:rsidRDefault="004C74E5" w:rsidP="00927E12">
            <w:r>
              <w:lastRenderedPageBreak/>
              <w:t xml:space="preserve">Authorised and published by </w:t>
            </w:r>
            <w:r w:rsidR="00927E12">
              <w:br/>
            </w:r>
            <w:r>
              <w:t>Sustainability Victoria</w:t>
            </w:r>
            <w:r w:rsidR="00927E12">
              <w:br/>
            </w:r>
            <w:r>
              <w:t>Level 28, Urban Workshop</w:t>
            </w:r>
            <w:r w:rsidR="00927E12">
              <w:br/>
            </w:r>
            <w:r>
              <w:t>50 Lonsdale Street Melbourne</w:t>
            </w:r>
            <w:r w:rsidR="00927E12">
              <w:t xml:space="preserve"> </w:t>
            </w:r>
            <w:r w:rsidR="00927E12">
              <w:br/>
            </w:r>
            <w:r>
              <w:t>Victoria 3000 Australia</w:t>
            </w:r>
          </w:p>
          <w:p w14:paraId="4859B370" w14:textId="0FA682FC" w:rsidR="0012111B" w:rsidRPr="0012111B" w:rsidRDefault="0012111B" w:rsidP="00927E12">
            <w:r w:rsidRPr="00434E02">
              <w:t xml:space="preserve">Waste and </w:t>
            </w:r>
            <w:r w:rsidR="005D12B4">
              <w:t>r</w:t>
            </w:r>
            <w:r w:rsidR="005D12B4" w:rsidRPr="00434E02">
              <w:t xml:space="preserve">ecycling </w:t>
            </w:r>
            <w:r w:rsidRPr="00434E02">
              <w:t xml:space="preserve">in Victoria – </w:t>
            </w:r>
            <w:r w:rsidR="00985E4A" w:rsidRPr="00434E02">
              <w:t xml:space="preserve">Recycling </w:t>
            </w:r>
            <w:r w:rsidR="005D12B4">
              <w:t>i</w:t>
            </w:r>
            <w:r w:rsidR="005D12B4" w:rsidRPr="00434E02">
              <w:t xml:space="preserve">ndustry </w:t>
            </w:r>
            <w:r w:rsidR="00FB2E95">
              <w:br/>
              <w:t xml:space="preserve">waste </w:t>
            </w:r>
            <w:r w:rsidR="005D12B4">
              <w:t>r</w:t>
            </w:r>
            <w:r w:rsidR="005D12B4" w:rsidRPr="00434E02">
              <w:t>eport</w:t>
            </w:r>
            <w:r w:rsidR="00C2616C" w:rsidRPr="00762E54">
              <w:t>, 2019</w:t>
            </w:r>
            <w:r w:rsidR="00C2616C">
              <w:t>–20</w:t>
            </w:r>
          </w:p>
          <w:p w14:paraId="18D4A41C" w14:textId="775EECD9" w:rsidR="00727587" w:rsidRDefault="004C74E5" w:rsidP="00927E12">
            <w:r>
              <w:t xml:space="preserve">© Sustainability Victoria </w:t>
            </w:r>
            <w:r w:rsidR="00A620A0">
              <w:fldChar w:fldCharType="begin"/>
            </w:r>
            <w:r w:rsidR="00A620A0">
              <w:instrText xml:space="preserve"> DATE  \@ "YYYY" </w:instrText>
            </w:r>
            <w:r w:rsidR="00A620A0">
              <w:fldChar w:fldCharType="separate"/>
            </w:r>
            <w:r w:rsidR="000506DF">
              <w:rPr>
                <w:noProof/>
              </w:rPr>
              <w:t>2021</w:t>
            </w:r>
            <w:r w:rsidR="00A620A0">
              <w:fldChar w:fldCharType="end"/>
            </w:r>
            <w:r>
              <w:t xml:space="preserve"> </w:t>
            </w:r>
            <w:r w:rsidR="00927E12">
              <w:br/>
            </w:r>
            <w:r w:rsidR="0015178F">
              <w:t>November</w:t>
            </w:r>
            <w:r w:rsidR="00E613D6">
              <w:t xml:space="preserve"> 20</w:t>
            </w:r>
            <w:r w:rsidR="005D161E" w:rsidRPr="003F1946">
              <w:t>2</w:t>
            </w:r>
            <w:r w:rsidR="003F1946" w:rsidRPr="003F1946">
              <w:t>1</w:t>
            </w:r>
          </w:p>
          <w:p w14:paraId="52A262B8" w14:textId="773495E6" w:rsidR="004C74E5" w:rsidRDefault="004C74E5" w:rsidP="00927E12">
            <w:r w:rsidRPr="00022479">
              <w:rPr>
                <w:b/>
                <w:bCs/>
              </w:rPr>
              <w:t>Accessibility</w:t>
            </w:r>
            <w:r w:rsidR="00927E12">
              <w:t xml:space="preserve"> </w:t>
            </w:r>
            <w:r w:rsidR="00927E12">
              <w:br/>
            </w:r>
            <w:r>
              <w:t xml:space="preserve">This document is available in PDF and Word format on the internet at </w:t>
            </w:r>
            <w:hyperlink r:id="rId13" w:tooltip="Sustainability Victoria website" w:history="1">
              <w:r w:rsidRPr="005D161E">
                <w:rPr>
                  <w:rStyle w:val="Hyperlink"/>
                </w:rPr>
                <w:t>sustainability.vic.gov.au</w:t>
              </w:r>
            </w:hyperlink>
          </w:p>
          <w:p w14:paraId="2B25041C" w14:textId="77777777" w:rsidR="00763F24" w:rsidRDefault="00763F24" w:rsidP="00763F24">
            <w:r>
              <w:t xml:space="preserve">While reasonable efforts have been made to ensure that the contents of this publication are factually correct, Sustainability Victoria gives no warranty regarding its accuracy, completeness, </w:t>
            </w:r>
            <w:proofErr w:type="gramStart"/>
            <w:r>
              <w:t>currency</w:t>
            </w:r>
            <w:proofErr w:type="gramEnd"/>
            <w:r>
              <w:t xml:space="preserve"> or suitability for any particular purpose and to the extent permitted by law, does not accept any liability for loss or damages incurred as a result of reliance placed upon the content of this publication. </w:t>
            </w:r>
            <w:r>
              <w:br/>
              <w:t>This publication is provided on the basis that all persons accessing it undertake responsibility for assessing the relevance and accuracy of its content.</w:t>
            </w:r>
          </w:p>
          <w:p w14:paraId="5D3DFC25" w14:textId="0E0995BD" w:rsidR="004C74E5" w:rsidRDefault="00B00777" w:rsidP="00A620A0">
            <w:r>
              <w:t>This report</w:t>
            </w:r>
            <w:r w:rsidR="004C74E5">
              <w:t xml:space="preserve"> should be attributed to </w:t>
            </w:r>
            <w:r w:rsidR="000548BD">
              <w:t>S</w:t>
            </w:r>
            <w:r w:rsidR="004C74E5">
              <w:t>ustainability Victoria.</w:t>
            </w:r>
          </w:p>
          <w:p w14:paraId="2DFF10AD" w14:textId="37679B4E" w:rsidR="004C74E5" w:rsidRDefault="00B00777" w:rsidP="00A620A0">
            <w:r>
              <w:t xml:space="preserve">This report </w:t>
            </w:r>
            <w:r w:rsidR="004C74E5">
              <w:t xml:space="preserve">is licensed under a Creative Commons Attribution 4.0 </w:t>
            </w:r>
            <w:r w:rsidR="00A53945">
              <w:t>International</w:t>
            </w:r>
            <w:r w:rsidR="004C74E5">
              <w:t xml:space="preserve"> licence. </w:t>
            </w:r>
            <w:r w:rsidR="00D75D80">
              <w:br/>
            </w:r>
            <w:r w:rsidR="004C74E5">
              <w:t xml:space="preserve">In essence, you are free to copy, distribute and adapt the work, </w:t>
            </w:r>
            <w:proofErr w:type="gramStart"/>
            <w:r w:rsidR="004C74E5">
              <w:t>as long as</w:t>
            </w:r>
            <w:proofErr w:type="gramEnd"/>
            <w:r w:rsidR="004C74E5">
              <w:t xml:space="preserve"> you attribute the work and abide by the other licence terms. </w:t>
            </w:r>
            <w:r w:rsidR="00D75D80">
              <w:br/>
            </w:r>
            <w:r w:rsidR="004C74E5">
              <w:t xml:space="preserve">Go to </w:t>
            </w:r>
            <w:hyperlink r:id="rId14" w:tooltip="Creative Commons website" w:history="1">
              <w:r w:rsidR="004C74E5" w:rsidRPr="005D161E">
                <w:rPr>
                  <w:rStyle w:val="Hyperlink"/>
                </w:rPr>
                <w:t>http://creativecommons.org/licenses/by/4.0/</w:t>
              </w:r>
            </w:hyperlink>
            <w:r w:rsidR="004C74E5">
              <w:t xml:space="preserve"> to view a copy of this licence.</w:t>
            </w:r>
          </w:p>
          <w:p w14:paraId="0A68D422" w14:textId="77777777" w:rsidR="004C74E5" w:rsidRDefault="007058E9" w:rsidP="00654AF6">
            <w:r>
              <w:br/>
            </w:r>
            <w:r w:rsidR="00654AF6" w:rsidRPr="00654AF6">
              <w:rPr>
                <w:noProof/>
                <w:lang w:eastAsia="en-AU"/>
              </w:rPr>
              <w:drawing>
                <wp:inline distT="0" distB="0" distL="0" distR="0" wp14:anchorId="3AC62EBE" wp14:editId="37674D64">
                  <wp:extent cx="1123950" cy="480321"/>
                  <wp:effectExtent l="0" t="0" r="0" b="0"/>
                  <wp:docPr id="4" name="Picture 3">
                    <a:extLst xmlns:a="http://schemas.openxmlformats.org/drawingml/2006/main">
                      <a:ext uri="{FF2B5EF4-FFF2-40B4-BE49-F238E27FC236}">
                        <a16:creationId xmlns:a16="http://schemas.microsoft.com/office/drawing/2014/main" id="{4791909F-A1C4-499D-AA0D-332AA2E9DCBC}"/>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4791909F-A1C4-499D-AA0D-332AA2E9DCBC}"/>
                              </a:ext>
                              <a:ext uri="{C183D7F6-B498-43B3-948B-1728B52AA6E4}">
                                <adec:decorative xmlns:adec="http://schemas.microsoft.com/office/drawing/2017/decorative" val="1"/>
                              </a:ext>
                            </a:extLst>
                          </pic:cNvPr>
                          <pic:cNvPicPr>
                            <a:picLocks noChangeAspect="1"/>
                          </pic:cNvPicPr>
                        </pic:nvPicPr>
                        <pic:blipFill>
                          <a:blip r:embed="rId15"/>
                          <a:stretch>
                            <a:fillRect/>
                          </a:stretch>
                        </pic:blipFill>
                        <pic:spPr>
                          <a:xfrm>
                            <a:off x="0" y="0"/>
                            <a:ext cx="1128272" cy="482168"/>
                          </a:xfrm>
                          <a:prstGeom prst="rect">
                            <a:avLst/>
                          </a:prstGeom>
                        </pic:spPr>
                      </pic:pic>
                    </a:graphicData>
                  </a:graphic>
                </wp:inline>
              </w:drawing>
            </w:r>
          </w:p>
          <w:p w14:paraId="2D2F92A4" w14:textId="0B2BB5D9" w:rsidR="00E0230A" w:rsidRDefault="00E0230A" w:rsidP="00E0230A">
            <w:r>
              <w:t>D</w:t>
            </w:r>
            <w:r w:rsidRPr="00E0230A">
              <w:t>ata graphics were designed and developed with Little Sketches as part of an SV funded data storytelling residency</w:t>
            </w:r>
          </w:p>
        </w:tc>
        <w:tc>
          <w:tcPr>
            <w:tcW w:w="4525" w:type="dxa"/>
          </w:tcPr>
          <w:p w14:paraId="15197699" w14:textId="77777777" w:rsidR="004C74E5" w:rsidRDefault="004C74E5" w:rsidP="006D5547"/>
        </w:tc>
      </w:tr>
      <w:tr w:rsidR="00C15CED" w14:paraId="6C078C00" w14:textId="77777777" w:rsidTr="00AA32A9">
        <w:tc>
          <w:tcPr>
            <w:tcW w:w="9628" w:type="dxa"/>
            <w:gridSpan w:val="2"/>
          </w:tcPr>
          <w:p w14:paraId="0C434F7F" w14:textId="306F8ACA" w:rsidR="00C15CED" w:rsidRDefault="00C15CED" w:rsidP="006D5547"/>
          <w:p w14:paraId="422C4771" w14:textId="77777777" w:rsidR="00E0230A" w:rsidRDefault="00E0230A" w:rsidP="006D5547"/>
          <w:p w14:paraId="6DEA0218" w14:textId="77777777" w:rsidR="00C15CED" w:rsidRDefault="00C15CED" w:rsidP="006D5547"/>
          <w:p w14:paraId="748B6E8D" w14:textId="26DE91EF" w:rsidR="00C15CED" w:rsidRDefault="00C15CED" w:rsidP="006D5547"/>
          <w:p w14:paraId="439152DE" w14:textId="3924EEB5" w:rsidR="00C15CED" w:rsidRDefault="00C15CED" w:rsidP="006D5547"/>
          <w:p w14:paraId="58E66A59" w14:textId="1A8AB4F2" w:rsidR="00C15CED" w:rsidRDefault="00C15CED" w:rsidP="006D5547"/>
          <w:p w14:paraId="564C6EDF" w14:textId="4D463B60" w:rsidR="00C15CED" w:rsidRDefault="00C15CED" w:rsidP="006D5547"/>
          <w:p w14:paraId="3B955C6D" w14:textId="1F1940FB" w:rsidR="00C15CED" w:rsidRDefault="00C15CED" w:rsidP="006D5547">
            <w:r w:rsidRPr="00C15CED">
              <w:t>Sustainability Victoria acknowledges Aboriginal and Torres Strait Islander people as the Traditional Custodians of the land and acknowledges and pays respect to their Elders, past and present.</w:t>
            </w:r>
          </w:p>
        </w:tc>
      </w:tr>
    </w:tbl>
    <w:p w14:paraId="33BB64E0" w14:textId="77777777" w:rsidR="009A225C" w:rsidRDefault="009A225C" w:rsidP="006D5547">
      <w:pPr>
        <w:sectPr w:rsidR="009A225C" w:rsidSect="00A64839">
          <w:headerReference w:type="even" r:id="rId16"/>
          <w:headerReference w:type="default" r:id="rId17"/>
          <w:footerReference w:type="even" r:id="rId18"/>
          <w:footerReference w:type="default" r:id="rId19"/>
          <w:headerReference w:type="first" r:id="rId20"/>
          <w:footerReference w:type="first" r:id="rId21"/>
          <w:pgSz w:w="11906" w:h="16838" w:code="9"/>
          <w:pgMar w:top="1418" w:right="1134" w:bottom="1440" w:left="1134" w:header="851" w:footer="369" w:gutter="0"/>
          <w:cols w:space="708"/>
          <w:docGrid w:linePitch="360"/>
        </w:sectPr>
      </w:pPr>
    </w:p>
    <w:p w14:paraId="353AFE28" w14:textId="77777777" w:rsidR="00CE4255" w:rsidRDefault="00CE4255">
      <w:pPr>
        <w:spacing w:after="0" w:line="240" w:lineRule="auto"/>
        <w:rPr>
          <w:color w:val="0070C0"/>
        </w:rPr>
      </w:pPr>
    </w:p>
    <w:bookmarkStart w:id="0" w:name="_Toc69996493" w:displacedByCustomXml="next"/>
    <w:sdt>
      <w:sdtPr>
        <w:rPr>
          <w:rFonts w:asciiTheme="minorHAnsi" w:eastAsia="SimSun" w:hAnsiTheme="minorHAnsi" w:cs="Times New Roman"/>
          <w:b w:val="0"/>
          <w:bCs w:val="0"/>
          <w:sz w:val="19"/>
          <w:szCs w:val="20"/>
        </w:rPr>
        <w:id w:val="1452676920"/>
        <w:docPartObj>
          <w:docPartGallery w:val="Table of Contents"/>
          <w:docPartUnique/>
        </w:docPartObj>
      </w:sdtPr>
      <w:sdtEndPr>
        <w:rPr>
          <w:noProof/>
        </w:rPr>
      </w:sdtEndPr>
      <w:sdtContent>
        <w:p w14:paraId="16C7E593" w14:textId="77AEE4D8" w:rsidR="00D140CB" w:rsidRDefault="00104EED">
          <w:pPr>
            <w:pStyle w:val="TOCHeading"/>
          </w:pPr>
          <w:r>
            <w:t>C</w:t>
          </w:r>
          <w:r w:rsidR="00BE5B40">
            <w:t>ontents</w:t>
          </w:r>
        </w:p>
        <w:p w14:paraId="5ED540D6" w14:textId="75ADB369" w:rsidR="006670FF" w:rsidRDefault="006D0EF2">
          <w:pPr>
            <w:pStyle w:val="TOC1"/>
            <w:rPr>
              <w:rFonts w:asciiTheme="minorHAnsi" w:eastAsiaTheme="minorEastAsia" w:hAnsiTheme="minorHAnsi" w:cstheme="minorBidi"/>
              <w:b w:val="0"/>
              <w:noProof/>
              <w:color w:val="auto"/>
              <w:sz w:val="22"/>
              <w:szCs w:val="22"/>
              <w:lang w:eastAsia="en-AU"/>
            </w:rPr>
          </w:pPr>
          <w:r>
            <w:fldChar w:fldCharType="begin"/>
          </w:r>
          <w:r>
            <w:instrText xml:space="preserve"> TOC \h \z \t "Heading 1,1,Heading 2,2,Heading 1 Numbered,2,Section Divider Title,1" </w:instrText>
          </w:r>
          <w:r>
            <w:fldChar w:fldCharType="separate"/>
          </w:r>
          <w:hyperlink w:anchor="_Toc83108356" w:history="1">
            <w:r w:rsidR="006670FF" w:rsidRPr="001E3EF1">
              <w:rPr>
                <w:rStyle w:val="Hyperlink"/>
                <w:noProof/>
              </w:rPr>
              <w:t>Key waste flows in Victoria, 2019–20</w:t>
            </w:r>
            <w:r w:rsidR="006670FF">
              <w:rPr>
                <w:noProof/>
                <w:webHidden/>
              </w:rPr>
              <w:tab/>
            </w:r>
            <w:r w:rsidR="006670FF">
              <w:rPr>
                <w:noProof/>
                <w:webHidden/>
              </w:rPr>
              <w:fldChar w:fldCharType="begin"/>
            </w:r>
            <w:r w:rsidR="006670FF">
              <w:rPr>
                <w:noProof/>
                <w:webHidden/>
              </w:rPr>
              <w:instrText xml:space="preserve"> PAGEREF _Toc83108356 \h </w:instrText>
            </w:r>
            <w:r w:rsidR="006670FF">
              <w:rPr>
                <w:noProof/>
                <w:webHidden/>
              </w:rPr>
            </w:r>
            <w:r w:rsidR="006670FF">
              <w:rPr>
                <w:noProof/>
                <w:webHidden/>
              </w:rPr>
              <w:fldChar w:fldCharType="separate"/>
            </w:r>
            <w:r w:rsidR="00176C53">
              <w:rPr>
                <w:noProof/>
                <w:webHidden/>
              </w:rPr>
              <w:t>4</w:t>
            </w:r>
            <w:r w:rsidR="006670FF">
              <w:rPr>
                <w:noProof/>
                <w:webHidden/>
              </w:rPr>
              <w:fldChar w:fldCharType="end"/>
            </w:r>
          </w:hyperlink>
        </w:p>
        <w:p w14:paraId="36253878" w14:textId="65BC18F1" w:rsidR="006670FF" w:rsidRDefault="0085736C">
          <w:pPr>
            <w:pStyle w:val="TOC1"/>
            <w:rPr>
              <w:rFonts w:asciiTheme="minorHAnsi" w:eastAsiaTheme="minorEastAsia" w:hAnsiTheme="minorHAnsi" w:cstheme="minorBidi"/>
              <w:b w:val="0"/>
              <w:noProof/>
              <w:color w:val="auto"/>
              <w:sz w:val="22"/>
              <w:szCs w:val="22"/>
              <w:lang w:eastAsia="en-AU"/>
            </w:rPr>
          </w:pPr>
          <w:hyperlink w:anchor="_Toc83108357" w:history="1">
            <w:r w:rsidR="006670FF" w:rsidRPr="001E3EF1">
              <w:rPr>
                <w:rStyle w:val="Hyperlink"/>
                <w:noProof/>
              </w:rPr>
              <w:t>Victorian waste management trends to 2019–20</w:t>
            </w:r>
            <w:r w:rsidR="006670FF">
              <w:rPr>
                <w:noProof/>
                <w:webHidden/>
              </w:rPr>
              <w:tab/>
            </w:r>
            <w:r w:rsidR="006670FF">
              <w:rPr>
                <w:noProof/>
                <w:webHidden/>
              </w:rPr>
              <w:fldChar w:fldCharType="begin"/>
            </w:r>
            <w:r w:rsidR="006670FF">
              <w:rPr>
                <w:noProof/>
                <w:webHidden/>
              </w:rPr>
              <w:instrText xml:space="preserve"> PAGEREF _Toc83108357 \h </w:instrText>
            </w:r>
            <w:r w:rsidR="006670FF">
              <w:rPr>
                <w:noProof/>
                <w:webHidden/>
              </w:rPr>
            </w:r>
            <w:r w:rsidR="006670FF">
              <w:rPr>
                <w:noProof/>
                <w:webHidden/>
              </w:rPr>
              <w:fldChar w:fldCharType="separate"/>
            </w:r>
            <w:r w:rsidR="00176C53">
              <w:rPr>
                <w:noProof/>
                <w:webHidden/>
              </w:rPr>
              <w:t>5</w:t>
            </w:r>
            <w:r w:rsidR="006670FF">
              <w:rPr>
                <w:noProof/>
                <w:webHidden/>
              </w:rPr>
              <w:fldChar w:fldCharType="end"/>
            </w:r>
          </w:hyperlink>
        </w:p>
        <w:p w14:paraId="4CF42E8E" w14:textId="6AB955AC" w:rsidR="006670FF" w:rsidRDefault="0085736C">
          <w:pPr>
            <w:pStyle w:val="TOC1"/>
            <w:rPr>
              <w:rFonts w:asciiTheme="minorHAnsi" w:eastAsiaTheme="minorEastAsia" w:hAnsiTheme="minorHAnsi" w:cstheme="minorBidi"/>
              <w:b w:val="0"/>
              <w:noProof/>
              <w:color w:val="auto"/>
              <w:sz w:val="22"/>
              <w:szCs w:val="22"/>
              <w:lang w:eastAsia="en-AU"/>
            </w:rPr>
          </w:pPr>
          <w:hyperlink w:anchor="_Toc83108358" w:history="1">
            <w:r w:rsidR="006670FF" w:rsidRPr="001E3EF1">
              <w:rPr>
                <w:rStyle w:val="Hyperlink"/>
                <w:noProof/>
              </w:rPr>
              <w:t>1</w:t>
            </w:r>
            <w:r w:rsidR="006670FF">
              <w:rPr>
                <w:rFonts w:asciiTheme="minorHAnsi" w:eastAsiaTheme="minorEastAsia" w:hAnsiTheme="minorHAnsi" w:cstheme="minorBidi"/>
                <w:b w:val="0"/>
                <w:noProof/>
                <w:color w:val="auto"/>
                <w:sz w:val="22"/>
                <w:szCs w:val="22"/>
                <w:lang w:eastAsia="en-AU"/>
              </w:rPr>
              <w:tab/>
            </w:r>
            <w:r w:rsidR="006670FF" w:rsidRPr="001E3EF1">
              <w:rPr>
                <w:rStyle w:val="Hyperlink"/>
                <w:noProof/>
              </w:rPr>
              <w:t>Overview</w:t>
            </w:r>
            <w:r w:rsidR="006670FF">
              <w:rPr>
                <w:noProof/>
                <w:webHidden/>
              </w:rPr>
              <w:tab/>
            </w:r>
            <w:r w:rsidR="006670FF">
              <w:rPr>
                <w:noProof/>
                <w:webHidden/>
              </w:rPr>
              <w:fldChar w:fldCharType="begin"/>
            </w:r>
            <w:r w:rsidR="006670FF">
              <w:rPr>
                <w:noProof/>
                <w:webHidden/>
              </w:rPr>
              <w:instrText xml:space="preserve"> PAGEREF _Toc83108358 \h </w:instrText>
            </w:r>
            <w:r w:rsidR="006670FF">
              <w:rPr>
                <w:noProof/>
                <w:webHidden/>
              </w:rPr>
            </w:r>
            <w:r w:rsidR="006670FF">
              <w:rPr>
                <w:noProof/>
                <w:webHidden/>
              </w:rPr>
              <w:fldChar w:fldCharType="separate"/>
            </w:r>
            <w:r w:rsidR="00176C53">
              <w:rPr>
                <w:noProof/>
                <w:webHidden/>
              </w:rPr>
              <w:t>6</w:t>
            </w:r>
            <w:r w:rsidR="006670FF">
              <w:rPr>
                <w:noProof/>
                <w:webHidden/>
              </w:rPr>
              <w:fldChar w:fldCharType="end"/>
            </w:r>
          </w:hyperlink>
        </w:p>
        <w:p w14:paraId="4EAAEB0E" w14:textId="43EB9C5A" w:rsidR="006670FF" w:rsidRDefault="0085736C">
          <w:pPr>
            <w:pStyle w:val="TOC2"/>
            <w:rPr>
              <w:rFonts w:asciiTheme="minorHAnsi" w:eastAsiaTheme="minorEastAsia" w:hAnsiTheme="minorHAnsi" w:cstheme="minorBidi"/>
              <w:noProof/>
              <w:color w:val="auto"/>
              <w:sz w:val="22"/>
              <w:szCs w:val="22"/>
              <w:lang w:eastAsia="en-AU"/>
            </w:rPr>
          </w:pPr>
          <w:hyperlink w:anchor="_Toc83108359" w:history="1">
            <w:r w:rsidR="006670FF" w:rsidRPr="001E3EF1">
              <w:rPr>
                <w:rStyle w:val="Hyperlink"/>
                <w:noProof/>
              </w:rPr>
              <w:t>1.1</w:t>
            </w:r>
            <w:r w:rsidR="006670FF">
              <w:rPr>
                <w:rFonts w:asciiTheme="minorHAnsi" w:eastAsiaTheme="minorEastAsia" w:hAnsiTheme="minorHAnsi" w:cstheme="minorBidi"/>
                <w:noProof/>
                <w:color w:val="auto"/>
                <w:sz w:val="22"/>
                <w:szCs w:val="22"/>
                <w:lang w:eastAsia="en-AU"/>
              </w:rPr>
              <w:tab/>
            </w:r>
            <w:r w:rsidR="006670FF" w:rsidRPr="001E3EF1">
              <w:rPr>
                <w:rStyle w:val="Hyperlink"/>
                <w:noProof/>
              </w:rPr>
              <w:t>Introduction</w:t>
            </w:r>
            <w:r w:rsidR="006670FF">
              <w:rPr>
                <w:noProof/>
                <w:webHidden/>
              </w:rPr>
              <w:tab/>
            </w:r>
            <w:r w:rsidR="006670FF">
              <w:rPr>
                <w:noProof/>
                <w:webHidden/>
              </w:rPr>
              <w:fldChar w:fldCharType="begin"/>
            </w:r>
            <w:r w:rsidR="006670FF">
              <w:rPr>
                <w:noProof/>
                <w:webHidden/>
              </w:rPr>
              <w:instrText xml:space="preserve"> PAGEREF _Toc83108359 \h </w:instrText>
            </w:r>
            <w:r w:rsidR="006670FF">
              <w:rPr>
                <w:noProof/>
                <w:webHidden/>
              </w:rPr>
            </w:r>
            <w:r w:rsidR="006670FF">
              <w:rPr>
                <w:noProof/>
                <w:webHidden/>
              </w:rPr>
              <w:fldChar w:fldCharType="separate"/>
            </w:r>
            <w:r w:rsidR="00176C53">
              <w:rPr>
                <w:noProof/>
                <w:webHidden/>
              </w:rPr>
              <w:t>6</w:t>
            </w:r>
            <w:r w:rsidR="006670FF">
              <w:rPr>
                <w:noProof/>
                <w:webHidden/>
              </w:rPr>
              <w:fldChar w:fldCharType="end"/>
            </w:r>
          </w:hyperlink>
        </w:p>
        <w:p w14:paraId="0E086064" w14:textId="0552A272" w:rsidR="006670FF" w:rsidRDefault="0085736C">
          <w:pPr>
            <w:pStyle w:val="TOC1"/>
            <w:rPr>
              <w:rFonts w:asciiTheme="minorHAnsi" w:eastAsiaTheme="minorEastAsia" w:hAnsiTheme="minorHAnsi" w:cstheme="minorBidi"/>
              <w:b w:val="0"/>
              <w:noProof/>
              <w:color w:val="auto"/>
              <w:sz w:val="22"/>
              <w:szCs w:val="22"/>
              <w:lang w:eastAsia="en-AU"/>
            </w:rPr>
          </w:pPr>
          <w:hyperlink w:anchor="_Toc83108360" w:history="1">
            <w:r w:rsidR="006670FF" w:rsidRPr="001E3EF1">
              <w:rPr>
                <w:rStyle w:val="Hyperlink"/>
                <w:noProof/>
              </w:rPr>
              <w:t>2</w:t>
            </w:r>
            <w:r w:rsidR="006670FF">
              <w:rPr>
                <w:rFonts w:asciiTheme="minorHAnsi" w:eastAsiaTheme="minorEastAsia" w:hAnsiTheme="minorHAnsi" w:cstheme="minorBidi"/>
                <w:b w:val="0"/>
                <w:noProof/>
                <w:color w:val="auto"/>
                <w:sz w:val="22"/>
                <w:szCs w:val="22"/>
                <w:lang w:eastAsia="en-AU"/>
              </w:rPr>
              <w:tab/>
            </w:r>
            <w:r w:rsidR="006670FF" w:rsidRPr="001E3EF1">
              <w:rPr>
                <w:rStyle w:val="Hyperlink"/>
                <w:noProof/>
              </w:rPr>
              <w:t>Key points</w:t>
            </w:r>
            <w:r w:rsidR="006670FF">
              <w:rPr>
                <w:noProof/>
                <w:webHidden/>
              </w:rPr>
              <w:tab/>
            </w:r>
            <w:r w:rsidR="006670FF">
              <w:rPr>
                <w:noProof/>
                <w:webHidden/>
              </w:rPr>
              <w:fldChar w:fldCharType="begin"/>
            </w:r>
            <w:r w:rsidR="006670FF">
              <w:rPr>
                <w:noProof/>
                <w:webHidden/>
              </w:rPr>
              <w:instrText xml:space="preserve"> PAGEREF _Toc83108360 \h </w:instrText>
            </w:r>
            <w:r w:rsidR="006670FF">
              <w:rPr>
                <w:noProof/>
                <w:webHidden/>
              </w:rPr>
            </w:r>
            <w:r w:rsidR="006670FF">
              <w:rPr>
                <w:noProof/>
                <w:webHidden/>
              </w:rPr>
              <w:fldChar w:fldCharType="separate"/>
            </w:r>
            <w:r w:rsidR="00176C53">
              <w:rPr>
                <w:noProof/>
                <w:webHidden/>
              </w:rPr>
              <w:t>8</w:t>
            </w:r>
            <w:r w:rsidR="006670FF">
              <w:rPr>
                <w:noProof/>
                <w:webHidden/>
              </w:rPr>
              <w:fldChar w:fldCharType="end"/>
            </w:r>
          </w:hyperlink>
        </w:p>
        <w:p w14:paraId="726689CF" w14:textId="70C0F8C1" w:rsidR="006670FF" w:rsidRDefault="0085736C">
          <w:pPr>
            <w:pStyle w:val="TOC2"/>
            <w:rPr>
              <w:rFonts w:asciiTheme="minorHAnsi" w:eastAsiaTheme="minorEastAsia" w:hAnsiTheme="minorHAnsi" w:cstheme="minorBidi"/>
              <w:noProof/>
              <w:color w:val="auto"/>
              <w:sz w:val="22"/>
              <w:szCs w:val="22"/>
              <w:lang w:eastAsia="en-AU"/>
            </w:rPr>
          </w:pPr>
          <w:hyperlink w:anchor="_Toc83108361" w:history="1">
            <w:r w:rsidR="006670FF" w:rsidRPr="001E3EF1">
              <w:rPr>
                <w:rStyle w:val="Hyperlink"/>
                <w:noProof/>
              </w:rPr>
              <w:t>2.1</w:t>
            </w:r>
            <w:r w:rsidR="006670FF">
              <w:rPr>
                <w:rFonts w:asciiTheme="minorHAnsi" w:eastAsiaTheme="minorEastAsia" w:hAnsiTheme="minorHAnsi" w:cstheme="minorBidi"/>
                <w:noProof/>
                <w:color w:val="auto"/>
                <w:sz w:val="22"/>
                <w:szCs w:val="22"/>
                <w:lang w:eastAsia="en-AU"/>
              </w:rPr>
              <w:tab/>
            </w:r>
            <w:r w:rsidR="006670FF" w:rsidRPr="001E3EF1">
              <w:rPr>
                <w:rStyle w:val="Hyperlink"/>
                <w:noProof/>
              </w:rPr>
              <w:t>Our waste, our responsibility</w:t>
            </w:r>
            <w:r w:rsidR="006670FF">
              <w:rPr>
                <w:noProof/>
                <w:webHidden/>
              </w:rPr>
              <w:tab/>
            </w:r>
            <w:r w:rsidR="006670FF">
              <w:rPr>
                <w:noProof/>
                <w:webHidden/>
              </w:rPr>
              <w:fldChar w:fldCharType="begin"/>
            </w:r>
            <w:r w:rsidR="006670FF">
              <w:rPr>
                <w:noProof/>
                <w:webHidden/>
              </w:rPr>
              <w:instrText xml:space="preserve"> PAGEREF _Toc83108361 \h </w:instrText>
            </w:r>
            <w:r w:rsidR="006670FF">
              <w:rPr>
                <w:noProof/>
                <w:webHidden/>
              </w:rPr>
            </w:r>
            <w:r w:rsidR="006670FF">
              <w:rPr>
                <w:noProof/>
                <w:webHidden/>
              </w:rPr>
              <w:fldChar w:fldCharType="separate"/>
            </w:r>
            <w:r w:rsidR="00176C53">
              <w:rPr>
                <w:noProof/>
                <w:webHidden/>
              </w:rPr>
              <w:t>8</w:t>
            </w:r>
            <w:r w:rsidR="006670FF">
              <w:rPr>
                <w:noProof/>
                <w:webHidden/>
              </w:rPr>
              <w:fldChar w:fldCharType="end"/>
            </w:r>
          </w:hyperlink>
        </w:p>
        <w:p w14:paraId="62C1ADDA" w14:textId="34D498C4" w:rsidR="006670FF" w:rsidRDefault="0085736C">
          <w:pPr>
            <w:pStyle w:val="TOC2"/>
            <w:rPr>
              <w:rFonts w:asciiTheme="minorHAnsi" w:eastAsiaTheme="minorEastAsia" w:hAnsiTheme="minorHAnsi" w:cstheme="minorBidi"/>
              <w:noProof/>
              <w:color w:val="auto"/>
              <w:sz w:val="22"/>
              <w:szCs w:val="22"/>
              <w:lang w:eastAsia="en-AU"/>
            </w:rPr>
          </w:pPr>
          <w:hyperlink w:anchor="_Toc83108362" w:history="1">
            <w:r w:rsidR="006670FF" w:rsidRPr="001E3EF1">
              <w:rPr>
                <w:rStyle w:val="Hyperlink"/>
                <w:noProof/>
              </w:rPr>
              <w:t>2.2</w:t>
            </w:r>
            <w:r w:rsidR="006670FF">
              <w:rPr>
                <w:rFonts w:asciiTheme="minorHAnsi" w:eastAsiaTheme="minorEastAsia" w:hAnsiTheme="minorHAnsi" w:cstheme="minorBidi"/>
                <w:noProof/>
                <w:color w:val="auto"/>
                <w:sz w:val="22"/>
                <w:szCs w:val="22"/>
                <w:lang w:eastAsia="en-AU"/>
              </w:rPr>
              <w:tab/>
            </w:r>
            <w:r w:rsidR="006670FF" w:rsidRPr="001E3EF1">
              <w:rPr>
                <w:rStyle w:val="Hyperlink"/>
                <w:noProof/>
              </w:rPr>
              <w:t>Strengthening sector resilience</w:t>
            </w:r>
            <w:r w:rsidR="006670FF">
              <w:rPr>
                <w:noProof/>
                <w:webHidden/>
              </w:rPr>
              <w:tab/>
            </w:r>
            <w:r w:rsidR="006670FF">
              <w:rPr>
                <w:noProof/>
                <w:webHidden/>
              </w:rPr>
              <w:fldChar w:fldCharType="begin"/>
            </w:r>
            <w:r w:rsidR="006670FF">
              <w:rPr>
                <w:noProof/>
                <w:webHidden/>
              </w:rPr>
              <w:instrText xml:space="preserve"> PAGEREF _Toc83108362 \h </w:instrText>
            </w:r>
            <w:r w:rsidR="006670FF">
              <w:rPr>
                <w:noProof/>
                <w:webHidden/>
              </w:rPr>
            </w:r>
            <w:r w:rsidR="006670FF">
              <w:rPr>
                <w:noProof/>
                <w:webHidden/>
              </w:rPr>
              <w:fldChar w:fldCharType="separate"/>
            </w:r>
            <w:r w:rsidR="00176C53">
              <w:rPr>
                <w:noProof/>
                <w:webHidden/>
              </w:rPr>
              <w:t>8</w:t>
            </w:r>
            <w:r w:rsidR="006670FF">
              <w:rPr>
                <w:noProof/>
                <w:webHidden/>
              </w:rPr>
              <w:fldChar w:fldCharType="end"/>
            </w:r>
          </w:hyperlink>
        </w:p>
        <w:p w14:paraId="3B377483" w14:textId="1346B875" w:rsidR="006670FF" w:rsidRDefault="0085736C">
          <w:pPr>
            <w:pStyle w:val="TOC2"/>
            <w:rPr>
              <w:rFonts w:asciiTheme="minorHAnsi" w:eastAsiaTheme="minorEastAsia" w:hAnsiTheme="minorHAnsi" w:cstheme="minorBidi"/>
              <w:noProof/>
              <w:color w:val="auto"/>
              <w:sz w:val="22"/>
              <w:szCs w:val="22"/>
              <w:lang w:eastAsia="en-AU"/>
            </w:rPr>
          </w:pPr>
          <w:hyperlink w:anchor="_Toc83108363" w:history="1">
            <w:r w:rsidR="006670FF" w:rsidRPr="001E3EF1">
              <w:rPr>
                <w:rStyle w:val="Hyperlink"/>
                <w:noProof/>
              </w:rPr>
              <w:t>2.3</w:t>
            </w:r>
            <w:r w:rsidR="006670FF">
              <w:rPr>
                <w:rFonts w:asciiTheme="minorHAnsi" w:eastAsiaTheme="minorEastAsia" w:hAnsiTheme="minorHAnsi" w:cstheme="minorBidi"/>
                <w:noProof/>
                <w:color w:val="auto"/>
                <w:sz w:val="22"/>
                <w:szCs w:val="22"/>
                <w:lang w:eastAsia="en-AU"/>
              </w:rPr>
              <w:tab/>
            </w:r>
            <w:r w:rsidR="006670FF" w:rsidRPr="001E3EF1">
              <w:rPr>
                <w:rStyle w:val="Hyperlink"/>
                <w:noProof/>
              </w:rPr>
              <w:t xml:space="preserve">Sector opportunities in </w:t>
            </w:r>
            <w:r w:rsidR="006670FF" w:rsidRPr="001E3EF1">
              <w:rPr>
                <w:rStyle w:val="Hyperlink"/>
                <w:i/>
                <w:iCs/>
                <w:noProof/>
              </w:rPr>
              <w:t>Recycling Victoria</w:t>
            </w:r>
            <w:r w:rsidR="006670FF" w:rsidRPr="001E3EF1">
              <w:rPr>
                <w:rStyle w:val="Hyperlink"/>
                <w:noProof/>
              </w:rPr>
              <w:t xml:space="preserve"> policy targets</w:t>
            </w:r>
            <w:r w:rsidR="006670FF">
              <w:rPr>
                <w:noProof/>
                <w:webHidden/>
              </w:rPr>
              <w:tab/>
            </w:r>
            <w:r w:rsidR="006670FF">
              <w:rPr>
                <w:noProof/>
                <w:webHidden/>
              </w:rPr>
              <w:fldChar w:fldCharType="begin"/>
            </w:r>
            <w:r w:rsidR="006670FF">
              <w:rPr>
                <w:noProof/>
                <w:webHidden/>
              </w:rPr>
              <w:instrText xml:space="preserve"> PAGEREF _Toc83108363 \h </w:instrText>
            </w:r>
            <w:r w:rsidR="006670FF">
              <w:rPr>
                <w:noProof/>
                <w:webHidden/>
              </w:rPr>
            </w:r>
            <w:r w:rsidR="006670FF">
              <w:rPr>
                <w:noProof/>
                <w:webHidden/>
              </w:rPr>
              <w:fldChar w:fldCharType="separate"/>
            </w:r>
            <w:r w:rsidR="00176C53">
              <w:rPr>
                <w:noProof/>
                <w:webHidden/>
              </w:rPr>
              <w:t>9</w:t>
            </w:r>
            <w:r w:rsidR="006670FF">
              <w:rPr>
                <w:noProof/>
                <w:webHidden/>
              </w:rPr>
              <w:fldChar w:fldCharType="end"/>
            </w:r>
          </w:hyperlink>
        </w:p>
        <w:p w14:paraId="597DAA24" w14:textId="14BE19CB" w:rsidR="006670FF" w:rsidRDefault="0085736C">
          <w:pPr>
            <w:pStyle w:val="TOC1"/>
            <w:rPr>
              <w:rFonts w:asciiTheme="minorHAnsi" w:eastAsiaTheme="minorEastAsia" w:hAnsiTheme="minorHAnsi" w:cstheme="minorBidi"/>
              <w:b w:val="0"/>
              <w:noProof/>
              <w:color w:val="auto"/>
              <w:sz w:val="22"/>
              <w:szCs w:val="22"/>
              <w:lang w:eastAsia="en-AU"/>
            </w:rPr>
          </w:pPr>
          <w:hyperlink w:anchor="_Toc83108364" w:history="1">
            <w:r w:rsidR="006670FF" w:rsidRPr="001E3EF1">
              <w:rPr>
                <w:rStyle w:val="Hyperlink"/>
                <w:noProof/>
              </w:rPr>
              <w:t>3</w:t>
            </w:r>
            <w:r w:rsidR="006670FF">
              <w:rPr>
                <w:rFonts w:asciiTheme="minorHAnsi" w:eastAsiaTheme="minorEastAsia" w:hAnsiTheme="minorHAnsi" w:cstheme="minorBidi"/>
                <w:b w:val="0"/>
                <w:noProof/>
                <w:color w:val="auto"/>
                <w:sz w:val="22"/>
                <w:szCs w:val="22"/>
                <w:lang w:eastAsia="en-AU"/>
              </w:rPr>
              <w:tab/>
            </w:r>
            <w:r w:rsidR="006670FF" w:rsidRPr="001E3EF1">
              <w:rPr>
                <w:rStyle w:val="Hyperlink"/>
                <w:noProof/>
              </w:rPr>
              <w:t>Material-specific recovery data</w:t>
            </w:r>
            <w:r w:rsidR="006670FF">
              <w:rPr>
                <w:noProof/>
                <w:webHidden/>
              </w:rPr>
              <w:tab/>
            </w:r>
            <w:r w:rsidR="006670FF">
              <w:rPr>
                <w:noProof/>
                <w:webHidden/>
              </w:rPr>
              <w:fldChar w:fldCharType="begin"/>
            </w:r>
            <w:r w:rsidR="006670FF">
              <w:rPr>
                <w:noProof/>
                <w:webHidden/>
              </w:rPr>
              <w:instrText xml:space="preserve"> PAGEREF _Toc83108364 \h </w:instrText>
            </w:r>
            <w:r w:rsidR="006670FF">
              <w:rPr>
                <w:noProof/>
                <w:webHidden/>
              </w:rPr>
            </w:r>
            <w:r w:rsidR="006670FF">
              <w:rPr>
                <w:noProof/>
                <w:webHidden/>
              </w:rPr>
              <w:fldChar w:fldCharType="separate"/>
            </w:r>
            <w:r w:rsidR="00176C53">
              <w:rPr>
                <w:noProof/>
                <w:webHidden/>
              </w:rPr>
              <w:t>10</w:t>
            </w:r>
            <w:r w:rsidR="006670FF">
              <w:rPr>
                <w:noProof/>
                <w:webHidden/>
              </w:rPr>
              <w:fldChar w:fldCharType="end"/>
            </w:r>
          </w:hyperlink>
        </w:p>
        <w:p w14:paraId="44F51E24" w14:textId="2CF5B381" w:rsidR="006670FF" w:rsidRDefault="0085736C">
          <w:pPr>
            <w:pStyle w:val="TOC2"/>
            <w:rPr>
              <w:rFonts w:asciiTheme="minorHAnsi" w:eastAsiaTheme="minorEastAsia" w:hAnsiTheme="minorHAnsi" w:cstheme="minorBidi"/>
              <w:noProof/>
              <w:color w:val="auto"/>
              <w:sz w:val="22"/>
              <w:szCs w:val="22"/>
              <w:lang w:eastAsia="en-AU"/>
            </w:rPr>
          </w:pPr>
          <w:hyperlink w:anchor="_Toc83108365" w:history="1">
            <w:r w:rsidR="006670FF" w:rsidRPr="001E3EF1">
              <w:rPr>
                <w:rStyle w:val="Hyperlink"/>
                <w:noProof/>
              </w:rPr>
              <w:t>3.1</w:t>
            </w:r>
            <w:r w:rsidR="006670FF">
              <w:rPr>
                <w:rFonts w:asciiTheme="minorHAnsi" w:eastAsiaTheme="minorEastAsia" w:hAnsiTheme="minorHAnsi" w:cstheme="minorBidi"/>
                <w:noProof/>
                <w:color w:val="auto"/>
                <w:sz w:val="22"/>
                <w:szCs w:val="22"/>
                <w:lang w:eastAsia="en-AU"/>
              </w:rPr>
              <w:tab/>
            </w:r>
            <w:r w:rsidR="006670FF" w:rsidRPr="001E3EF1">
              <w:rPr>
                <w:rStyle w:val="Hyperlink"/>
                <w:noProof/>
              </w:rPr>
              <w:t>Aggregates, masonry and soil</w:t>
            </w:r>
            <w:r w:rsidR="006670FF">
              <w:rPr>
                <w:noProof/>
                <w:webHidden/>
              </w:rPr>
              <w:tab/>
            </w:r>
            <w:r w:rsidR="006670FF">
              <w:rPr>
                <w:noProof/>
                <w:webHidden/>
              </w:rPr>
              <w:fldChar w:fldCharType="begin"/>
            </w:r>
            <w:r w:rsidR="006670FF">
              <w:rPr>
                <w:noProof/>
                <w:webHidden/>
              </w:rPr>
              <w:instrText xml:space="preserve"> PAGEREF _Toc83108365 \h </w:instrText>
            </w:r>
            <w:r w:rsidR="006670FF">
              <w:rPr>
                <w:noProof/>
                <w:webHidden/>
              </w:rPr>
            </w:r>
            <w:r w:rsidR="006670FF">
              <w:rPr>
                <w:noProof/>
                <w:webHidden/>
              </w:rPr>
              <w:fldChar w:fldCharType="separate"/>
            </w:r>
            <w:r w:rsidR="00176C53">
              <w:rPr>
                <w:noProof/>
                <w:webHidden/>
              </w:rPr>
              <w:t>10</w:t>
            </w:r>
            <w:r w:rsidR="006670FF">
              <w:rPr>
                <w:noProof/>
                <w:webHidden/>
              </w:rPr>
              <w:fldChar w:fldCharType="end"/>
            </w:r>
          </w:hyperlink>
        </w:p>
        <w:p w14:paraId="0A92169C" w14:textId="7A167F12" w:rsidR="006670FF" w:rsidRDefault="0085736C">
          <w:pPr>
            <w:pStyle w:val="TOC2"/>
            <w:rPr>
              <w:rFonts w:asciiTheme="minorHAnsi" w:eastAsiaTheme="minorEastAsia" w:hAnsiTheme="minorHAnsi" w:cstheme="minorBidi"/>
              <w:noProof/>
              <w:color w:val="auto"/>
              <w:sz w:val="22"/>
              <w:szCs w:val="22"/>
              <w:lang w:eastAsia="en-AU"/>
            </w:rPr>
          </w:pPr>
          <w:hyperlink w:anchor="_Toc83108366" w:history="1">
            <w:r w:rsidR="006670FF" w:rsidRPr="001E3EF1">
              <w:rPr>
                <w:rStyle w:val="Hyperlink"/>
                <w:noProof/>
              </w:rPr>
              <w:t>3.2</w:t>
            </w:r>
            <w:r w:rsidR="006670FF">
              <w:rPr>
                <w:rFonts w:asciiTheme="minorHAnsi" w:eastAsiaTheme="minorEastAsia" w:hAnsiTheme="minorHAnsi" w:cstheme="minorBidi"/>
                <w:noProof/>
                <w:color w:val="auto"/>
                <w:sz w:val="22"/>
                <w:szCs w:val="22"/>
                <w:lang w:eastAsia="en-AU"/>
              </w:rPr>
              <w:tab/>
            </w:r>
            <w:r w:rsidR="006670FF" w:rsidRPr="001E3EF1">
              <w:rPr>
                <w:rStyle w:val="Hyperlink"/>
                <w:noProof/>
              </w:rPr>
              <w:t>Glass</w:t>
            </w:r>
            <w:r w:rsidR="006670FF">
              <w:rPr>
                <w:noProof/>
                <w:webHidden/>
              </w:rPr>
              <w:tab/>
            </w:r>
            <w:r w:rsidR="006670FF">
              <w:rPr>
                <w:noProof/>
                <w:webHidden/>
              </w:rPr>
              <w:fldChar w:fldCharType="begin"/>
            </w:r>
            <w:r w:rsidR="006670FF">
              <w:rPr>
                <w:noProof/>
                <w:webHidden/>
              </w:rPr>
              <w:instrText xml:space="preserve"> PAGEREF _Toc83108366 \h </w:instrText>
            </w:r>
            <w:r w:rsidR="006670FF">
              <w:rPr>
                <w:noProof/>
                <w:webHidden/>
              </w:rPr>
            </w:r>
            <w:r w:rsidR="006670FF">
              <w:rPr>
                <w:noProof/>
                <w:webHidden/>
              </w:rPr>
              <w:fldChar w:fldCharType="separate"/>
            </w:r>
            <w:r w:rsidR="00176C53">
              <w:rPr>
                <w:noProof/>
                <w:webHidden/>
              </w:rPr>
              <w:t>12</w:t>
            </w:r>
            <w:r w:rsidR="006670FF">
              <w:rPr>
                <w:noProof/>
                <w:webHidden/>
              </w:rPr>
              <w:fldChar w:fldCharType="end"/>
            </w:r>
          </w:hyperlink>
        </w:p>
        <w:p w14:paraId="217A15BF" w14:textId="7B70DA75" w:rsidR="006670FF" w:rsidRDefault="0085736C">
          <w:pPr>
            <w:pStyle w:val="TOC2"/>
            <w:rPr>
              <w:rFonts w:asciiTheme="minorHAnsi" w:eastAsiaTheme="minorEastAsia" w:hAnsiTheme="minorHAnsi" w:cstheme="minorBidi"/>
              <w:noProof/>
              <w:color w:val="auto"/>
              <w:sz w:val="22"/>
              <w:szCs w:val="22"/>
              <w:lang w:eastAsia="en-AU"/>
            </w:rPr>
          </w:pPr>
          <w:hyperlink w:anchor="_Toc83108367" w:history="1">
            <w:r w:rsidR="006670FF" w:rsidRPr="001E3EF1">
              <w:rPr>
                <w:rStyle w:val="Hyperlink"/>
                <w:noProof/>
              </w:rPr>
              <w:t>3.3</w:t>
            </w:r>
            <w:r w:rsidR="006670FF">
              <w:rPr>
                <w:rFonts w:asciiTheme="minorHAnsi" w:eastAsiaTheme="minorEastAsia" w:hAnsiTheme="minorHAnsi" w:cstheme="minorBidi"/>
                <w:noProof/>
                <w:color w:val="auto"/>
                <w:sz w:val="22"/>
                <w:szCs w:val="22"/>
                <w:lang w:eastAsia="en-AU"/>
              </w:rPr>
              <w:tab/>
            </w:r>
            <w:r w:rsidR="006670FF" w:rsidRPr="001E3EF1">
              <w:rPr>
                <w:rStyle w:val="Hyperlink"/>
                <w:noProof/>
              </w:rPr>
              <w:t>Metals</w:t>
            </w:r>
            <w:r w:rsidR="006670FF">
              <w:rPr>
                <w:noProof/>
                <w:webHidden/>
              </w:rPr>
              <w:tab/>
            </w:r>
            <w:r w:rsidR="006670FF">
              <w:rPr>
                <w:noProof/>
                <w:webHidden/>
              </w:rPr>
              <w:fldChar w:fldCharType="begin"/>
            </w:r>
            <w:r w:rsidR="006670FF">
              <w:rPr>
                <w:noProof/>
                <w:webHidden/>
              </w:rPr>
              <w:instrText xml:space="preserve"> PAGEREF _Toc83108367 \h </w:instrText>
            </w:r>
            <w:r w:rsidR="006670FF">
              <w:rPr>
                <w:noProof/>
                <w:webHidden/>
              </w:rPr>
            </w:r>
            <w:r w:rsidR="006670FF">
              <w:rPr>
                <w:noProof/>
                <w:webHidden/>
              </w:rPr>
              <w:fldChar w:fldCharType="separate"/>
            </w:r>
            <w:r w:rsidR="00176C53">
              <w:rPr>
                <w:noProof/>
                <w:webHidden/>
              </w:rPr>
              <w:t>13</w:t>
            </w:r>
            <w:r w:rsidR="006670FF">
              <w:rPr>
                <w:noProof/>
                <w:webHidden/>
              </w:rPr>
              <w:fldChar w:fldCharType="end"/>
            </w:r>
          </w:hyperlink>
        </w:p>
        <w:p w14:paraId="63A10744" w14:textId="5D0E4554" w:rsidR="006670FF" w:rsidRDefault="0085736C">
          <w:pPr>
            <w:pStyle w:val="TOC2"/>
            <w:rPr>
              <w:rFonts w:asciiTheme="minorHAnsi" w:eastAsiaTheme="minorEastAsia" w:hAnsiTheme="minorHAnsi" w:cstheme="minorBidi"/>
              <w:noProof/>
              <w:color w:val="auto"/>
              <w:sz w:val="22"/>
              <w:szCs w:val="22"/>
              <w:lang w:eastAsia="en-AU"/>
            </w:rPr>
          </w:pPr>
          <w:hyperlink w:anchor="_Toc83108368" w:history="1">
            <w:r w:rsidR="006670FF" w:rsidRPr="001E3EF1">
              <w:rPr>
                <w:rStyle w:val="Hyperlink"/>
                <w:noProof/>
              </w:rPr>
              <w:t>3.4</w:t>
            </w:r>
            <w:r w:rsidR="006670FF">
              <w:rPr>
                <w:rFonts w:asciiTheme="minorHAnsi" w:eastAsiaTheme="minorEastAsia" w:hAnsiTheme="minorHAnsi" w:cstheme="minorBidi"/>
                <w:noProof/>
                <w:color w:val="auto"/>
                <w:sz w:val="22"/>
                <w:szCs w:val="22"/>
                <w:lang w:eastAsia="en-AU"/>
              </w:rPr>
              <w:tab/>
            </w:r>
            <w:r w:rsidR="006670FF" w:rsidRPr="001E3EF1">
              <w:rPr>
                <w:rStyle w:val="Hyperlink"/>
                <w:noProof/>
              </w:rPr>
              <w:t>Organics</w:t>
            </w:r>
            <w:r w:rsidR="006670FF">
              <w:rPr>
                <w:noProof/>
                <w:webHidden/>
              </w:rPr>
              <w:tab/>
            </w:r>
            <w:r w:rsidR="006670FF">
              <w:rPr>
                <w:noProof/>
                <w:webHidden/>
              </w:rPr>
              <w:fldChar w:fldCharType="begin"/>
            </w:r>
            <w:r w:rsidR="006670FF">
              <w:rPr>
                <w:noProof/>
                <w:webHidden/>
              </w:rPr>
              <w:instrText xml:space="preserve"> PAGEREF _Toc83108368 \h </w:instrText>
            </w:r>
            <w:r w:rsidR="006670FF">
              <w:rPr>
                <w:noProof/>
                <w:webHidden/>
              </w:rPr>
            </w:r>
            <w:r w:rsidR="006670FF">
              <w:rPr>
                <w:noProof/>
                <w:webHidden/>
              </w:rPr>
              <w:fldChar w:fldCharType="separate"/>
            </w:r>
            <w:r w:rsidR="00176C53">
              <w:rPr>
                <w:noProof/>
                <w:webHidden/>
              </w:rPr>
              <w:t>15</w:t>
            </w:r>
            <w:r w:rsidR="006670FF">
              <w:rPr>
                <w:noProof/>
                <w:webHidden/>
              </w:rPr>
              <w:fldChar w:fldCharType="end"/>
            </w:r>
          </w:hyperlink>
        </w:p>
        <w:p w14:paraId="33A0B576" w14:textId="505957FE" w:rsidR="006670FF" w:rsidRDefault="0085736C">
          <w:pPr>
            <w:pStyle w:val="TOC2"/>
            <w:rPr>
              <w:rFonts w:asciiTheme="minorHAnsi" w:eastAsiaTheme="minorEastAsia" w:hAnsiTheme="minorHAnsi" w:cstheme="minorBidi"/>
              <w:noProof/>
              <w:color w:val="auto"/>
              <w:sz w:val="22"/>
              <w:szCs w:val="22"/>
              <w:lang w:eastAsia="en-AU"/>
            </w:rPr>
          </w:pPr>
          <w:hyperlink w:anchor="_Toc83108369" w:history="1">
            <w:r w:rsidR="006670FF" w:rsidRPr="001E3EF1">
              <w:rPr>
                <w:rStyle w:val="Hyperlink"/>
                <w:noProof/>
              </w:rPr>
              <w:t>3.5</w:t>
            </w:r>
            <w:r w:rsidR="006670FF">
              <w:rPr>
                <w:rFonts w:asciiTheme="minorHAnsi" w:eastAsiaTheme="minorEastAsia" w:hAnsiTheme="minorHAnsi" w:cstheme="minorBidi"/>
                <w:noProof/>
                <w:color w:val="auto"/>
                <w:sz w:val="22"/>
                <w:szCs w:val="22"/>
                <w:lang w:eastAsia="en-AU"/>
              </w:rPr>
              <w:tab/>
            </w:r>
            <w:r w:rsidR="006670FF" w:rsidRPr="001E3EF1">
              <w:rPr>
                <w:rStyle w:val="Hyperlink"/>
                <w:noProof/>
              </w:rPr>
              <w:t>Paper and cardboard</w:t>
            </w:r>
            <w:r w:rsidR="006670FF">
              <w:rPr>
                <w:noProof/>
                <w:webHidden/>
              </w:rPr>
              <w:tab/>
            </w:r>
            <w:r w:rsidR="006670FF">
              <w:rPr>
                <w:noProof/>
                <w:webHidden/>
              </w:rPr>
              <w:fldChar w:fldCharType="begin"/>
            </w:r>
            <w:r w:rsidR="006670FF">
              <w:rPr>
                <w:noProof/>
                <w:webHidden/>
              </w:rPr>
              <w:instrText xml:space="preserve"> PAGEREF _Toc83108369 \h </w:instrText>
            </w:r>
            <w:r w:rsidR="006670FF">
              <w:rPr>
                <w:noProof/>
                <w:webHidden/>
              </w:rPr>
            </w:r>
            <w:r w:rsidR="006670FF">
              <w:rPr>
                <w:noProof/>
                <w:webHidden/>
              </w:rPr>
              <w:fldChar w:fldCharType="separate"/>
            </w:r>
            <w:r w:rsidR="00176C53">
              <w:rPr>
                <w:noProof/>
                <w:webHidden/>
              </w:rPr>
              <w:t>18</w:t>
            </w:r>
            <w:r w:rsidR="006670FF">
              <w:rPr>
                <w:noProof/>
                <w:webHidden/>
              </w:rPr>
              <w:fldChar w:fldCharType="end"/>
            </w:r>
          </w:hyperlink>
        </w:p>
        <w:p w14:paraId="375E5013" w14:textId="033032BB" w:rsidR="006670FF" w:rsidRDefault="0085736C">
          <w:pPr>
            <w:pStyle w:val="TOC2"/>
            <w:rPr>
              <w:rFonts w:asciiTheme="minorHAnsi" w:eastAsiaTheme="minorEastAsia" w:hAnsiTheme="minorHAnsi" w:cstheme="minorBidi"/>
              <w:noProof/>
              <w:color w:val="auto"/>
              <w:sz w:val="22"/>
              <w:szCs w:val="22"/>
              <w:lang w:eastAsia="en-AU"/>
            </w:rPr>
          </w:pPr>
          <w:hyperlink w:anchor="_Toc83108370" w:history="1">
            <w:r w:rsidR="006670FF" w:rsidRPr="001E3EF1">
              <w:rPr>
                <w:rStyle w:val="Hyperlink"/>
                <w:noProof/>
              </w:rPr>
              <w:t>3.6</w:t>
            </w:r>
            <w:r w:rsidR="006670FF">
              <w:rPr>
                <w:rFonts w:asciiTheme="minorHAnsi" w:eastAsiaTheme="minorEastAsia" w:hAnsiTheme="minorHAnsi" w:cstheme="minorBidi"/>
                <w:noProof/>
                <w:color w:val="auto"/>
                <w:sz w:val="22"/>
                <w:szCs w:val="22"/>
                <w:lang w:eastAsia="en-AU"/>
              </w:rPr>
              <w:tab/>
            </w:r>
            <w:r w:rsidR="006670FF" w:rsidRPr="001E3EF1">
              <w:rPr>
                <w:rStyle w:val="Hyperlink"/>
                <w:noProof/>
              </w:rPr>
              <w:t>Plastics</w:t>
            </w:r>
            <w:r w:rsidR="006670FF">
              <w:rPr>
                <w:noProof/>
                <w:webHidden/>
              </w:rPr>
              <w:tab/>
            </w:r>
            <w:r w:rsidR="006670FF">
              <w:rPr>
                <w:noProof/>
                <w:webHidden/>
              </w:rPr>
              <w:fldChar w:fldCharType="begin"/>
            </w:r>
            <w:r w:rsidR="006670FF">
              <w:rPr>
                <w:noProof/>
                <w:webHidden/>
              </w:rPr>
              <w:instrText xml:space="preserve"> PAGEREF _Toc83108370 \h </w:instrText>
            </w:r>
            <w:r w:rsidR="006670FF">
              <w:rPr>
                <w:noProof/>
                <w:webHidden/>
              </w:rPr>
            </w:r>
            <w:r w:rsidR="006670FF">
              <w:rPr>
                <w:noProof/>
                <w:webHidden/>
              </w:rPr>
              <w:fldChar w:fldCharType="separate"/>
            </w:r>
            <w:r w:rsidR="00176C53">
              <w:rPr>
                <w:noProof/>
                <w:webHidden/>
              </w:rPr>
              <w:t>19</w:t>
            </w:r>
            <w:r w:rsidR="006670FF">
              <w:rPr>
                <w:noProof/>
                <w:webHidden/>
              </w:rPr>
              <w:fldChar w:fldCharType="end"/>
            </w:r>
          </w:hyperlink>
        </w:p>
        <w:p w14:paraId="3832CB6F" w14:textId="6A388CA2" w:rsidR="006670FF" w:rsidRDefault="0085736C">
          <w:pPr>
            <w:pStyle w:val="TOC2"/>
            <w:rPr>
              <w:rFonts w:asciiTheme="minorHAnsi" w:eastAsiaTheme="minorEastAsia" w:hAnsiTheme="minorHAnsi" w:cstheme="minorBidi"/>
              <w:noProof/>
              <w:color w:val="auto"/>
              <w:sz w:val="22"/>
              <w:szCs w:val="22"/>
              <w:lang w:eastAsia="en-AU"/>
            </w:rPr>
          </w:pPr>
          <w:hyperlink w:anchor="_Toc83108371" w:history="1">
            <w:r w:rsidR="006670FF" w:rsidRPr="001E3EF1">
              <w:rPr>
                <w:rStyle w:val="Hyperlink"/>
                <w:noProof/>
              </w:rPr>
              <w:t>3.7</w:t>
            </w:r>
            <w:r w:rsidR="006670FF">
              <w:rPr>
                <w:rFonts w:asciiTheme="minorHAnsi" w:eastAsiaTheme="minorEastAsia" w:hAnsiTheme="minorHAnsi" w:cstheme="minorBidi"/>
                <w:noProof/>
                <w:color w:val="auto"/>
                <w:sz w:val="22"/>
                <w:szCs w:val="22"/>
                <w:lang w:eastAsia="en-AU"/>
              </w:rPr>
              <w:tab/>
            </w:r>
            <w:r w:rsidR="006670FF" w:rsidRPr="001E3EF1">
              <w:rPr>
                <w:rStyle w:val="Hyperlink"/>
                <w:noProof/>
              </w:rPr>
              <w:t>Other materials – rubber and textiles</w:t>
            </w:r>
            <w:r w:rsidR="006670FF">
              <w:rPr>
                <w:noProof/>
                <w:webHidden/>
              </w:rPr>
              <w:tab/>
            </w:r>
            <w:r w:rsidR="006670FF">
              <w:rPr>
                <w:noProof/>
                <w:webHidden/>
              </w:rPr>
              <w:fldChar w:fldCharType="begin"/>
            </w:r>
            <w:r w:rsidR="006670FF">
              <w:rPr>
                <w:noProof/>
                <w:webHidden/>
              </w:rPr>
              <w:instrText xml:space="preserve"> PAGEREF _Toc83108371 \h </w:instrText>
            </w:r>
            <w:r w:rsidR="006670FF">
              <w:rPr>
                <w:noProof/>
                <w:webHidden/>
              </w:rPr>
            </w:r>
            <w:r w:rsidR="006670FF">
              <w:rPr>
                <w:noProof/>
                <w:webHidden/>
              </w:rPr>
              <w:fldChar w:fldCharType="separate"/>
            </w:r>
            <w:r w:rsidR="00176C53">
              <w:rPr>
                <w:noProof/>
                <w:webHidden/>
              </w:rPr>
              <w:t>23</w:t>
            </w:r>
            <w:r w:rsidR="006670FF">
              <w:rPr>
                <w:noProof/>
                <w:webHidden/>
              </w:rPr>
              <w:fldChar w:fldCharType="end"/>
            </w:r>
          </w:hyperlink>
        </w:p>
        <w:p w14:paraId="0FB335B2" w14:textId="1705C2DE" w:rsidR="006670FF" w:rsidRDefault="0085736C">
          <w:pPr>
            <w:pStyle w:val="TOC1"/>
            <w:rPr>
              <w:rFonts w:asciiTheme="minorHAnsi" w:eastAsiaTheme="minorEastAsia" w:hAnsiTheme="minorHAnsi" w:cstheme="minorBidi"/>
              <w:b w:val="0"/>
              <w:noProof/>
              <w:color w:val="auto"/>
              <w:sz w:val="22"/>
              <w:szCs w:val="22"/>
              <w:lang w:eastAsia="en-AU"/>
            </w:rPr>
          </w:pPr>
          <w:hyperlink w:anchor="_Toc83108372" w:history="1">
            <w:r w:rsidR="006670FF" w:rsidRPr="001E3EF1">
              <w:rPr>
                <w:rStyle w:val="Hyperlink"/>
                <w:noProof/>
              </w:rPr>
              <w:t>4</w:t>
            </w:r>
            <w:r w:rsidR="006670FF">
              <w:rPr>
                <w:rFonts w:asciiTheme="minorHAnsi" w:eastAsiaTheme="minorEastAsia" w:hAnsiTheme="minorHAnsi" w:cstheme="minorBidi"/>
                <w:b w:val="0"/>
                <w:noProof/>
                <w:color w:val="auto"/>
                <w:sz w:val="22"/>
                <w:szCs w:val="22"/>
                <w:lang w:eastAsia="en-AU"/>
              </w:rPr>
              <w:tab/>
            </w:r>
            <w:r w:rsidR="006670FF" w:rsidRPr="001E3EF1">
              <w:rPr>
                <w:rStyle w:val="Hyperlink"/>
                <w:noProof/>
              </w:rPr>
              <w:t>Material exported for recovery</w:t>
            </w:r>
            <w:r w:rsidR="006670FF">
              <w:rPr>
                <w:noProof/>
                <w:webHidden/>
              </w:rPr>
              <w:tab/>
            </w:r>
            <w:r w:rsidR="006670FF">
              <w:rPr>
                <w:noProof/>
                <w:webHidden/>
              </w:rPr>
              <w:fldChar w:fldCharType="begin"/>
            </w:r>
            <w:r w:rsidR="006670FF">
              <w:rPr>
                <w:noProof/>
                <w:webHidden/>
              </w:rPr>
              <w:instrText xml:space="preserve"> PAGEREF _Toc83108372 \h </w:instrText>
            </w:r>
            <w:r w:rsidR="006670FF">
              <w:rPr>
                <w:noProof/>
                <w:webHidden/>
              </w:rPr>
            </w:r>
            <w:r w:rsidR="006670FF">
              <w:rPr>
                <w:noProof/>
                <w:webHidden/>
              </w:rPr>
              <w:fldChar w:fldCharType="separate"/>
            </w:r>
            <w:r w:rsidR="00176C53">
              <w:rPr>
                <w:noProof/>
                <w:webHidden/>
              </w:rPr>
              <w:t>24</w:t>
            </w:r>
            <w:r w:rsidR="006670FF">
              <w:rPr>
                <w:noProof/>
                <w:webHidden/>
              </w:rPr>
              <w:fldChar w:fldCharType="end"/>
            </w:r>
          </w:hyperlink>
        </w:p>
        <w:p w14:paraId="691FB55E" w14:textId="6222A6F7" w:rsidR="006670FF" w:rsidRDefault="0085736C">
          <w:pPr>
            <w:pStyle w:val="TOC2"/>
            <w:rPr>
              <w:rFonts w:asciiTheme="minorHAnsi" w:eastAsiaTheme="minorEastAsia" w:hAnsiTheme="minorHAnsi" w:cstheme="minorBidi"/>
              <w:noProof/>
              <w:color w:val="auto"/>
              <w:sz w:val="22"/>
              <w:szCs w:val="22"/>
              <w:lang w:eastAsia="en-AU"/>
            </w:rPr>
          </w:pPr>
          <w:hyperlink w:anchor="_Toc83108373" w:history="1">
            <w:r w:rsidR="006670FF" w:rsidRPr="001E3EF1">
              <w:rPr>
                <w:rStyle w:val="Hyperlink"/>
                <w:noProof/>
              </w:rPr>
              <w:t>4.1</w:t>
            </w:r>
            <w:r w:rsidR="006670FF">
              <w:rPr>
                <w:rFonts w:asciiTheme="minorHAnsi" w:eastAsiaTheme="minorEastAsia" w:hAnsiTheme="minorHAnsi" w:cstheme="minorBidi"/>
                <w:noProof/>
                <w:color w:val="auto"/>
                <w:sz w:val="22"/>
                <w:szCs w:val="22"/>
                <w:lang w:eastAsia="en-AU"/>
              </w:rPr>
              <w:tab/>
            </w:r>
            <w:r w:rsidR="006670FF" w:rsidRPr="001E3EF1">
              <w:rPr>
                <w:rStyle w:val="Hyperlink"/>
                <w:noProof/>
              </w:rPr>
              <w:t>Annual trends in waste exports</w:t>
            </w:r>
            <w:r w:rsidR="006670FF">
              <w:rPr>
                <w:noProof/>
                <w:webHidden/>
              </w:rPr>
              <w:tab/>
            </w:r>
            <w:r w:rsidR="006670FF">
              <w:rPr>
                <w:noProof/>
                <w:webHidden/>
              </w:rPr>
              <w:fldChar w:fldCharType="begin"/>
            </w:r>
            <w:r w:rsidR="006670FF">
              <w:rPr>
                <w:noProof/>
                <w:webHidden/>
              </w:rPr>
              <w:instrText xml:space="preserve"> PAGEREF _Toc83108373 \h </w:instrText>
            </w:r>
            <w:r w:rsidR="006670FF">
              <w:rPr>
                <w:noProof/>
                <w:webHidden/>
              </w:rPr>
            </w:r>
            <w:r w:rsidR="006670FF">
              <w:rPr>
                <w:noProof/>
                <w:webHidden/>
              </w:rPr>
              <w:fldChar w:fldCharType="separate"/>
            </w:r>
            <w:r w:rsidR="00176C53">
              <w:rPr>
                <w:noProof/>
                <w:webHidden/>
              </w:rPr>
              <w:t>24</w:t>
            </w:r>
            <w:r w:rsidR="006670FF">
              <w:rPr>
                <w:noProof/>
                <w:webHidden/>
              </w:rPr>
              <w:fldChar w:fldCharType="end"/>
            </w:r>
          </w:hyperlink>
        </w:p>
        <w:p w14:paraId="007DD0D6" w14:textId="5F93C8EA" w:rsidR="006670FF" w:rsidRDefault="0085736C">
          <w:pPr>
            <w:pStyle w:val="TOC2"/>
            <w:rPr>
              <w:rFonts w:asciiTheme="minorHAnsi" w:eastAsiaTheme="minorEastAsia" w:hAnsiTheme="minorHAnsi" w:cstheme="minorBidi"/>
              <w:noProof/>
              <w:color w:val="auto"/>
              <w:sz w:val="22"/>
              <w:szCs w:val="22"/>
              <w:lang w:eastAsia="en-AU"/>
            </w:rPr>
          </w:pPr>
          <w:hyperlink w:anchor="_Toc83108374" w:history="1">
            <w:r w:rsidR="006670FF" w:rsidRPr="001E3EF1">
              <w:rPr>
                <w:rStyle w:val="Hyperlink"/>
                <w:noProof/>
              </w:rPr>
              <w:t>4.2</w:t>
            </w:r>
            <w:r w:rsidR="006670FF">
              <w:rPr>
                <w:rFonts w:asciiTheme="minorHAnsi" w:eastAsiaTheme="minorEastAsia" w:hAnsiTheme="minorHAnsi" w:cstheme="minorBidi"/>
                <w:noProof/>
                <w:color w:val="auto"/>
                <w:sz w:val="22"/>
                <w:szCs w:val="22"/>
                <w:lang w:eastAsia="en-AU"/>
              </w:rPr>
              <w:tab/>
            </w:r>
            <w:r w:rsidR="006670FF" w:rsidRPr="001E3EF1">
              <w:rPr>
                <w:rStyle w:val="Hyperlink"/>
                <w:noProof/>
              </w:rPr>
              <w:t>Export composition in 2019–20</w:t>
            </w:r>
            <w:r w:rsidR="006670FF">
              <w:rPr>
                <w:noProof/>
                <w:webHidden/>
              </w:rPr>
              <w:tab/>
            </w:r>
            <w:r w:rsidR="006670FF">
              <w:rPr>
                <w:noProof/>
                <w:webHidden/>
              </w:rPr>
              <w:fldChar w:fldCharType="begin"/>
            </w:r>
            <w:r w:rsidR="006670FF">
              <w:rPr>
                <w:noProof/>
                <w:webHidden/>
              </w:rPr>
              <w:instrText xml:space="preserve"> PAGEREF _Toc83108374 \h </w:instrText>
            </w:r>
            <w:r w:rsidR="006670FF">
              <w:rPr>
                <w:noProof/>
                <w:webHidden/>
              </w:rPr>
            </w:r>
            <w:r w:rsidR="006670FF">
              <w:rPr>
                <w:noProof/>
                <w:webHidden/>
              </w:rPr>
              <w:fldChar w:fldCharType="separate"/>
            </w:r>
            <w:r w:rsidR="00176C53">
              <w:rPr>
                <w:noProof/>
                <w:webHidden/>
              </w:rPr>
              <w:t>25</w:t>
            </w:r>
            <w:r w:rsidR="006670FF">
              <w:rPr>
                <w:noProof/>
                <w:webHidden/>
              </w:rPr>
              <w:fldChar w:fldCharType="end"/>
            </w:r>
          </w:hyperlink>
        </w:p>
        <w:p w14:paraId="75C1549E" w14:textId="79EF733D" w:rsidR="006670FF" w:rsidRDefault="0085736C">
          <w:pPr>
            <w:pStyle w:val="TOC2"/>
            <w:rPr>
              <w:rFonts w:asciiTheme="minorHAnsi" w:eastAsiaTheme="minorEastAsia" w:hAnsiTheme="minorHAnsi" w:cstheme="minorBidi"/>
              <w:noProof/>
              <w:color w:val="auto"/>
              <w:sz w:val="22"/>
              <w:szCs w:val="22"/>
              <w:lang w:eastAsia="en-AU"/>
            </w:rPr>
          </w:pPr>
          <w:hyperlink w:anchor="_Toc83108375" w:history="1">
            <w:r w:rsidR="006670FF" w:rsidRPr="001E3EF1">
              <w:rPr>
                <w:rStyle w:val="Hyperlink"/>
                <w:noProof/>
              </w:rPr>
              <w:t>4.3</w:t>
            </w:r>
            <w:r w:rsidR="006670FF">
              <w:rPr>
                <w:rFonts w:asciiTheme="minorHAnsi" w:eastAsiaTheme="minorEastAsia" w:hAnsiTheme="minorHAnsi" w:cstheme="minorBidi"/>
                <w:noProof/>
                <w:color w:val="auto"/>
                <w:sz w:val="22"/>
                <w:szCs w:val="22"/>
                <w:lang w:eastAsia="en-AU"/>
              </w:rPr>
              <w:tab/>
            </w:r>
            <w:r w:rsidR="006670FF" w:rsidRPr="001E3EF1">
              <w:rPr>
                <w:rStyle w:val="Hyperlink"/>
                <w:noProof/>
              </w:rPr>
              <w:t>Export destinations and import restrictions</w:t>
            </w:r>
            <w:r w:rsidR="006670FF">
              <w:rPr>
                <w:noProof/>
                <w:webHidden/>
              </w:rPr>
              <w:tab/>
            </w:r>
            <w:r w:rsidR="006670FF">
              <w:rPr>
                <w:noProof/>
                <w:webHidden/>
              </w:rPr>
              <w:fldChar w:fldCharType="begin"/>
            </w:r>
            <w:r w:rsidR="006670FF">
              <w:rPr>
                <w:noProof/>
                <w:webHidden/>
              </w:rPr>
              <w:instrText xml:space="preserve"> PAGEREF _Toc83108375 \h </w:instrText>
            </w:r>
            <w:r w:rsidR="006670FF">
              <w:rPr>
                <w:noProof/>
                <w:webHidden/>
              </w:rPr>
            </w:r>
            <w:r w:rsidR="006670FF">
              <w:rPr>
                <w:noProof/>
                <w:webHidden/>
              </w:rPr>
              <w:fldChar w:fldCharType="separate"/>
            </w:r>
            <w:r w:rsidR="00176C53">
              <w:rPr>
                <w:noProof/>
                <w:webHidden/>
              </w:rPr>
              <w:t>26</w:t>
            </w:r>
            <w:r w:rsidR="006670FF">
              <w:rPr>
                <w:noProof/>
                <w:webHidden/>
              </w:rPr>
              <w:fldChar w:fldCharType="end"/>
            </w:r>
          </w:hyperlink>
        </w:p>
        <w:p w14:paraId="14D8180E" w14:textId="09E548E3" w:rsidR="006670FF" w:rsidRDefault="0085736C">
          <w:pPr>
            <w:pStyle w:val="TOC2"/>
            <w:rPr>
              <w:rFonts w:asciiTheme="minorHAnsi" w:eastAsiaTheme="minorEastAsia" w:hAnsiTheme="minorHAnsi" w:cstheme="minorBidi"/>
              <w:noProof/>
              <w:color w:val="auto"/>
              <w:sz w:val="22"/>
              <w:szCs w:val="22"/>
              <w:lang w:eastAsia="en-AU"/>
            </w:rPr>
          </w:pPr>
          <w:hyperlink w:anchor="_Toc83108376" w:history="1">
            <w:r w:rsidR="006670FF" w:rsidRPr="001E3EF1">
              <w:rPr>
                <w:rStyle w:val="Hyperlink"/>
                <w:noProof/>
              </w:rPr>
              <w:t>4.4</w:t>
            </w:r>
            <w:r w:rsidR="006670FF">
              <w:rPr>
                <w:rFonts w:asciiTheme="minorHAnsi" w:eastAsiaTheme="minorEastAsia" w:hAnsiTheme="minorHAnsi" w:cstheme="minorBidi"/>
                <w:noProof/>
                <w:color w:val="auto"/>
                <w:sz w:val="22"/>
                <w:szCs w:val="22"/>
                <w:lang w:eastAsia="en-AU"/>
              </w:rPr>
              <w:tab/>
            </w:r>
            <w:r w:rsidR="006670FF" w:rsidRPr="001E3EF1">
              <w:rPr>
                <w:rStyle w:val="Hyperlink"/>
                <w:noProof/>
              </w:rPr>
              <w:t>Monthly trends in kerbside recycling material exports</w:t>
            </w:r>
            <w:r w:rsidR="006670FF">
              <w:rPr>
                <w:noProof/>
                <w:webHidden/>
              </w:rPr>
              <w:tab/>
            </w:r>
            <w:r w:rsidR="006670FF">
              <w:rPr>
                <w:noProof/>
                <w:webHidden/>
              </w:rPr>
              <w:fldChar w:fldCharType="begin"/>
            </w:r>
            <w:r w:rsidR="006670FF">
              <w:rPr>
                <w:noProof/>
                <w:webHidden/>
              </w:rPr>
              <w:instrText xml:space="preserve"> PAGEREF _Toc83108376 \h </w:instrText>
            </w:r>
            <w:r w:rsidR="006670FF">
              <w:rPr>
                <w:noProof/>
                <w:webHidden/>
              </w:rPr>
            </w:r>
            <w:r w:rsidR="006670FF">
              <w:rPr>
                <w:noProof/>
                <w:webHidden/>
              </w:rPr>
              <w:fldChar w:fldCharType="separate"/>
            </w:r>
            <w:r w:rsidR="00176C53">
              <w:rPr>
                <w:noProof/>
                <w:webHidden/>
              </w:rPr>
              <w:t>27</w:t>
            </w:r>
            <w:r w:rsidR="006670FF">
              <w:rPr>
                <w:noProof/>
                <w:webHidden/>
              </w:rPr>
              <w:fldChar w:fldCharType="end"/>
            </w:r>
          </w:hyperlink>
        </w:p>
        <w:p w14:paraId="411F8A42" w14:textId="2BB506EB" w:rsidR="006670FF" w:rsidRDefault="0085736C">
          <w:pPr>
            <w:pStyle w:val="TOC1"/>
            <w:rPr>
              <w:rFonts w:asciiTheme="minorHAnsi" w:eastAsiaTheme="minorEastAsia" w:hAnsiTheme="minorHAnsi" w:cstheme="minorBidi"/>
              <w:b w:val="0"/>
              <w:noProof/>
              <w:color w:val="auto"/>
              <w:sz w:val="22"/>
              <w:szCs w:val="22"/>
              <w:lang w:eastAsia="en-AU"/>
            </w:rPr>
          </w:pPr>
          <w:hyperlink w:anchor="_Toc83108377" w:history="1">
            <w:r w:rsidR="006670FF" w:rsidRPr="001E3EF1">
              <w:rPr>
                <w:rStyle w:val="Hyperlink"/>
                <w:noProof/>
              </w:rPr>
              <w:t>5</w:t>
            </w:r>
            <w:r w:rsidR="006670FF">
              <w:rPr>
                <w:rFonts w:asciiTheme="minorHAnsi" w:eastAsiaTheme="minorEastAsia" w:hAnsiTheme="minorHAnsi" w:cstheme="minorBidi"/>
                <w:b w:val="0"/>
                <w:noProof/>
                <w:color w:val="auto"/>
                <w:sz w:val="22"/>
                <w:szCs w:val="22"/>
                <w:lang w:eastAsia="en-AU"/>
              </w:rPr>
              <w:tab/>
            </w:r>
            <w:r w:rsidR="006670FF" w:rsidRPr="001E3EF1">
              <w:rPr>
                <w:rStyle w:val="Hyperlink"/>
                <w:noProof/>
              </w:rPr>
              <w:t>Waste managed in Victoria</w:t>
            </w:r>
            <w:r w:rsidR="006670FF">
              <w:rPr>
                <w:noProof/>
                <w:webHidden/>
              </w:rPr>
              <w:tab/>
            </w:r>
            <w:r w:rsidR="006670FF">
              <w:rPr>
                <w:noProof/>
                <w:webHidden/>
              </w:rPr>
              <w:fldChar w:fldCharType="begin"/>
            </w:r>
            <w:r w:rsidR="006670FF">
              <w:rPr>
                <w:noProof/>
                <w:webHidden/>
              </w:rPr>
              <w:instrText xml:space="preserve"> PAGEREF _Toc83108377 \h </w:instrText>
            </w:r>
            <w:r w:rsidR="006670FF">
              <w:rPr>
                <w:noProof/>
                <w:webHidden/>
              </w:rPr>
            </w:r>
            <w:r w:rsidR="006670FF">
              <w:rPr>
                <w:noProof/>
                <w:webHidden/>
              </w:rPr>
              <w:fldChar w:fldCharType="separate"/>
            </w:r>
            <w:r w:rsidR="00176C53">
              <w:rPr>
                <w:noProof/>
                <w:webHidden/>
              </w:rPr>
              <w:t>29</w:t>
            </w:r>
            <w:r w:rsidR="006670FF">
              <w:rPr>
                <w:noProof/>
                <w:webHidden/>
              </w:rPr>
              <w:fldChar w:fldCharType="end"/>
            </w:r>
          </w:hyperlink>
        </w:p>
        <w:p w14:paraId="7207D027" w14:textId="09E3C2DE" w:rsidR="006670FF" w:rsidRDefault="0085736C">
          <w:pPr>
            <w:pStyle w:val="TOC2"/>
            <w:rPr>
              <w:rFonts w:asciiTheme="minorHAnsi" w:eastAsiaTheme="minorEastAsia" w:hAnsiTheme="minorHAnsi" w:cstheme="minorBidi"/>
              <w:noProof/>
              <w:color w:val="auto"/>
              <w:sz w:val="22"/>
              <w:szCs w:val="22"/>
              <w:lang w:eastAsia="en-AU"/>
            </w:rPr>
          </w:pPr>
          <w:hyperlink w:anchor="_Toc83108378" w:history="1">
            <w:r w:rsidR="006670FF" w:rsidRPr="001E3EF1">
              <w:rPr>
                <w:rStyle w:val="Hyperlink"/>
                <w:noProof/>
              </w:rPr>
              <w:t>5.1</w:t>
            </w:r>
            <w:r w:rsidR="006670FF">
              <w:rPr>
                <w:rFonts w:asciiTheme="minorHAnsi" w:eastAsiaTheme="minorEastAsia" w:hAnsiTheme="minorHAnsi" w:cstheme="minorBidi"/>
                <w:noProof/>
                <w:color w:val="auto"/>
                <w:sz w:val="22"/>
                <w:szCs w:val="22"/>
                <w:lang w:eastAsia="en-AU"/>
              </w:rPr>
              <w:tab/>
            </w:r>
            <w:r w:rsidR="006670FF" w:rsidRPr="001E3EF1">
              <w:rPr>
                <w:rStyle w:val="Hyperlink"/>
                <w:noProof/>
              </w:rPr>
              <w:t>Overall waste disposal and recovery</w:t>
            </w:r>
            <w:r w:rsidR="006670FF">
              <w:rPr>
                <w:noProof/>
                <w:webHidden/>
              </w:rPr>
              <w:tab/>
            </w:r>
            <w:r w:rsidR="006670FF">
              <w:rPr>
                <w:noProof/>
                <w:webHidden/>
              </w:rPr>
              <w:fldChar w:fldCharType="begin"/>
            </w:r>
            <w:r w:rsidR="006670FF">
              <w:rPr>
                <w:noProof/>
                <w:webHidden/>
              </w:rPr>
              <w:instrText xml:space="preserve"> PAGEREF _Toc83108378 \h </w:instrText>
            </w:r>
            <w:r w:rsidR="006670FF">
              <w:rPr>
                <w:noProof/>
                <w:webHidden/>
              </w:rPr>
            </w:r>
            <w:r w:rsidR="006670FF">
              <w:rPr>
                <w:noProof/>
                <w:webHidden/>
              </w:rPr>
              <w:fldChar w:fldCharType="separate"/>
            </w:r>
            <w:r w:rsidR="00176C53">
              <w:rPr>
                <w:noProof/>
                <w:webHidden/>
              </w:rPr>
              <w:t>29</w:t>
            </w:r>
            <w:r w:rsidR="006670FF">
              <w:rPr>
                <w:noProof/>
                <w:webHidden/>
              </w:rPr>
              <w:fldChar w:fldCharType="end"/>
            </w:r>
          </w:hyperlink>
        </w:p>
        <w:p w14:paraId="30C961A1" w14:textId="77797216" w:rsidR="006670FF" w:rsidRDefault="0085736C">
          <w:pPr>
            <w:pStyle w:val="TOC2"/>
            <w:rPr>
              <w:rFonts w:asciiTheme="minorHAnsi" w:eastAsiaTheme="minorEastAsia" w:hAnsiTheme="minorHAnsi" w:cstheme="minorBidi"/>
              <w:noProof/>
              <w:color w:val="auto"/>
              <w:sz w:val="22"/>
              <w:szCs w:val="22"/>
              <w:lang w:eastAsia="en-AU"/>
            </w:rPr>
          </w:pPr>
          <w:hyperlink w:anchor="_Toc83108379" w:history="1">
            <w:r w:rsidR="006670FF" w:rsidRPr="001E3EF1">
              <w:rPr>
                <w:rStyle w:val="Hyperlink"/>
                <w:noProof/>
              </w:rPr>
              <w:t>5.2</w:t>
            </w:r>
            <w:r w:rsidR="006670FF">
              <w:rPr>
                <w:rFonts w:asciiTheme="minorHAnsi" w:eastAsiaTheme="minorEastAsia" w:hAnsiTheme="minorHAnsi" w:cstheme="minorBidi"/>
                <w:noProof/>
                <w:color w:val="auto"/>
                <w:sz w:val="22"/>
                <w:szCs w:val="22"/>
                <w:lang w:eastAsia="en-AU"/>
              </w:rPr>
              <w:tab/>
            </w:r>
            <w:r w:rsidR="006670FF" w:rsidRPr="001E3EF1">
              <w:rPr>
                <w:rStyle w:val="Hyperlink"/>
                <w:noProof/>
              </w:rPr>
              <w:t>Overall sector disposal and recovery</w:t>
            </w:r>
            <w:r w:rsidR="006670FF">
              <w:rPr>
                <w:noProof/>
                <w:webHidden/>
              </w:rPr>
              <w:tab/>
            </w:r>
            <w:r w:rsidR="006670FF">
              <w:rPr>
                <w:noProof/>
                <w:webHidden/>
              </w:rPr>
              <w:fldChar w:fldCharType="begin"/>
            </w:r>
            <w:r w:rsidR="006670FF">
              <w:rPr>
                <w:noProof/>
                <w:webHidden/>
              </w:rPr>
              <w:instrText xml:space="preserve"> PAGEREF _Toc83108379 \h </w:instrText>
            </w:r>
            <w:r w:rsidR="006670FF">
              <w:rPr>
                <w:noProof/>
                <w:webHidden/>
              </w:rPr>
            </w:r>
            <w:r w:rsidR="006670FF">
              <w:rPr>
                <w:noProof/>
                <w:webHidden/>
              </w:rPr>
              <w:fldChar w:fldCharType="separate"/>
            </w:r>
            <w:r w:rsidR="00176C53">
              <w:rPr>
                <w:noProof/>
                <w:webHidden/>
              </w:rPr>
              <w:t>31</w:t>
            </w:r>
            <w:r w:rsidR="006670FF">
              <w:rPr>
                <w:noProof/>
                <w:webHidden/>
              </w:rPr>
              <w:fldChar w:fldCharType="end"/>
            </w:r>
          </w:hyperlink>
        </w:p>
        <w:p w14:paraId="38B321E6" w14:textId="5D2EEE7B" w:rsidR="006670FF" w:rsidRDefault="0085736C">
          <w:pPr>
            <w:pStyle w:val="TOC2"/>
            <w:rPr>
              <w:rFonts w:asciiTheme="minorHAnsi" w:eastAsiaTheme="minorEastAsia" w:hAnsiTheme="minorHAnsi" w:cstheme="minorBidi"/>
              <w:noProof/>
              <w:color w:val="auto"/>
              <w:sz w:val="22"/>
              <w:szCs w:val="22"/>
              <w:lang w:eastAsia="en-AU"/>
            </w:rPr>
          </w:pPr>
          <w:hyperlink w:anchor="_Toc83108380" w:history="1">
            <w:r w:rsidR="006670FF" w:rsidRPr="001E3EF1">
              <w:rPr>
                <w:rStyle w:val="Hyperlink"/>
                <w:noProof/>
              </w:rPr>
              <w:t>5.3</w:t>
            </w:r>
            <w:r w:rsidR="006670FF">
              <w:rPr>
                <w:rFonts w:asciiTheme="minorHAnsi" w:eastAsiaTheme="minorEastAsia" w:hAnsiTheme="minorHAnsi" w:cstheme="minorBidi"/>
                <w:noProof/>
                <w:color w:val="auto"/>
                <w:sz w:val="22"/>
                <w:szCs w:val="22"/>
                <w:lang w:eastAsia="en-AU"/>
              </w:rPr>
              <w:tab/>
            </w:r>
            <w:r w:rsidR="006670FF" w:rsidRPr="001E3EF1">
              <w:rPr>
                <w:rStyle w:val="Hyperlink"/>
                <w:noProof/>
              </w:rPr>
              <w:t>Overall material disposal and recovery</w:t>
            </w:r>
            <w:r w:rsidR="006670FF">
              <w:rPr>
                <w:noProof/>
                <w:webHidden/>
              </w:rPr>
              <w:tab/>
            </w:r>
            <w:r w:rsidR="006670FF">
              <w:rPr>
                <w:noProof/>
                <w:webHidden/>
              </w:rPr>
              <w:fldChar w:fldCharType="begin"/>
            </w:r>
            <w:r w:rsidR="006670FF">
              <w:rPr>
                <w:noProof/>
                <w:webHidden/>
              </w:rPr>
              <w:instrText xml:space="preserve"> PAGEREF _Toc83108380 \h </w:instrText>
            </w:r>
            <w:r w:rsidR="006670FF">
              <w:rPr>
                <w:noProof/>
                <w:webHidden/>
              </w:rPr>
            </w:r>
            <w:r w:rsidR="006670FF">
              <w:rPr>
                <w:noProof/>
                <w:webHidden/>
              </w:rPr>
              <w:fldChar w:fldCharType="separate"/>
            </w:r>
            <w:r w:rsidR="00176C53">
              <w:rPr>
                <w:noProof/>
                <w:webHidden/>
              </w:rPr>
              <w:t>33</w:t>
            </w:r>
            <w:r w:rsidR="006670FF">
              <w:rPr>
                <w:noProof/>
                <w:webHidden/>
              </w:rPr>
              <w:fldChar w:fldCharType="end"/>
            </w:r>
          </w:hyperlink>
        </w:p>
        <w:p w14:paraId="4B28482D" w14:textId="7DB3F5B7" w:rsidR="006670FF" w:rsidRDefault="0085736C">
          <w:pPr>
            <w:pStyle w:val="TOC1"/>
            <w:rPr>
              <w:rFonts w:asciiTheme="minorHAnsi" w:eastAsiaTheme="minorEastAsia" w:hAnsiTheme="minorHAnsi" w:cstheme="minorBidi"/>
              <w:b w:val="0"/>
              <w:noProof/>
              <w:color w:val="auto"/>
              <w:sz w:val="22"/>
              <w:szCs w:val="22"/>
              <w:lang w:eastAsia="en-AU"/>
            </w:rPr>
          </w:pPr>
          <w:hyperlink w:anchor="_Toc83108381" w:history="1">
            <w:r w:rsidR="006670FF" w:rsidRPr="001E3EF1">
              <w:rPr>
                <w:rStyle w:val="Hyperlink"/>
                <w:noProof/>
              </w:rPr>
              <w:t>6</w:t>
            </w:r>
            <w:r w:rsidR="006670FF">
              <w:rPr>
                <w:rFonts w:asciiTheme="minorHAnsi" w:eastAsiaTheme="minorEastAsia" w:hAnsiTheme="minorHAnsi" w:cstheme="minorBidi"/>
                <w:b w:val="0"/>
                <w:noProof/>
                <w:color w:val="auto"/>
                <w:sz w:val="22"/>
                <w:szCs w:val="22"/>
                <w:lang w:eastAsia="en-AU"/>
              </w:rPr>
              <w:tab/>
            </w:r>
            <w:r w:rsidR="006670FF" w:rsidRPr="001E3EF1">
              <w:rPr>
                <w:rStyle w:val="Hyperlink"/>
                <w:noProof/>
              </w:rPr>
              <w:t>Glossary</w:t>
            </w:r>
            <w:r w:rsidR="006670FF">
              <w:rPr>
                <w:noProof/>
                <w:webHidden/>
              </w:rPr>
              <w:tab/>
            </w:r>
            <w:r w:rsidR="006670FF">
              <w:rPr>
                <w:noProof/>
                <w:webHidden/>
              </w:rPr>
              <w:fldChar w:fldCharType="begin"/>
            </w:r>
            <w:r w:rsidR="006670FF">
              <w:rPr>
                <w:noProof/>
                <w:webHidden/>
              </w:rPr>
              <w:instrText xml:space="preserve"> PAGEREF _Toc83108381 \h </w:instrText>
            </w:r>
            <w:r w:rsidR="006670FF">
              <w:rPr>
                <w:noProof/>
                <w:webHidden/>
              </w:rPr>
            </w:r>
            <w:r w:rsidR="006670FF">
              <w:rPr>
                <w:noProof/>
                <w:webHidden/>
              </w:rPr>
              <w:fldChar w:fldCharType="separate"/>
            </w:r>
            <w:r w:rsidR="00176C53">
              <w:rPr>
                <w:noProof/>
                <w:webHidden/>
              </w:rPr>
              <w:t>36</w:t>
            </w:r>
            <w:r w:rsidR="006670FF">
              <w:rPr>
                <w:noProof/>
                <w:webHidden/>
              </w:rPr>
              <w:fldChar w:fldCharType="end"/>
            </w:r>
          </w:hyperlink>
        </w:p>
        <w:p w14:paraId="6365B518" w14:textId="532457A5" w:rsidR="006670FF" w:rsidRDefault="0085736C">
          <w:pPr>
            <w:pStyle w:val="TOC1"/>
            <w:rPr>
              <w:rFonts w:asciiTheme="minorHAnsi" w:eastAsiaTheme="minorEastAsia" w:hAnsiTheme="minorHAnsi" w:cstheme="minorBidi"/>
              <w:b w:val="0"/>
              <w:noProof/>
              <w:color w:val="auto"/>
              <w:sz w:val="22"/>
              <w:szCs w:val="22"/>
              <w:lang w:eastAsia="en-AU"/>
            </w:rPr>
          </w:pPr>
          <w:hyperlink w:anchor="_Toc83108382" w:history="1">
            <w:r w:rsidR="006670FF" w:rsidRPr="001E3EF1">
              <w:rPr>
                <w:rStyle w:val="Hyperlink"/>
                <w:noProof/>
              </w:rPr>
              <w:t>7</w:t>
            </w:r>
            <w:r w:rsidR="006670FF">
              <w:rPr>
                <w:rFonts w:asciiTheme="minorHAnsi" w:eastAsiaTheme="minorEastAsia" w:hAnsiTheme="minorHAnsi" w:cstheme="minorBidi"/>
                <w:b w:val="0"/>
                <w:noProof/>
                <w:color w:val="auto"/>
                <w:sz w:val="22"/>
                <w:szCs w:val="22"/>
                <w:lang w:eastAsia="en-AU"/>
              </w:rPr>
              <w:tab/>
            </w:r>
            <w:r w:rsidR="006670FF" w:rsidRPr="001E3EF1">
              <w:rPr>
                <w:rStyle w:val="Hyperlink"/>
                <w:noProof/>
              </w:rPr>
              <w:t>Appendix A: Comparison of survey data</w:t>
            </w:r>
            <w:r w:rsidR="006670FF">
              <w:rPr>
                <w:noProof/>
                <w:webHidden/>
              </w:rPr>
              <w:tab/>
            </w:r>
            <w:r w:rsidR="006670FF">
              <w:rPr>
                <w:noProof/>
                <w:webHidden/>
              </w:rPr>
              <w:fldChar w:fldCharType="begin"/>
            </w:r>
            <w:r w:rsidR="006670FF">
              <w:rPr>
                <w:noProof/>
                <w:webHidden/>
              </w:rPr>
              <w:instrText xml:space="preserve"> PAGEREF _Toc83108382 \h </w:instrText>
            </w:r>
            <w:r w:rsidR="006670FF">
              <w:rPr>
                <w:noProof/>
                <w:webHidden/>
              </w:rPr>
            </w:r>
            <w:r w:rsidR="006670FF">
              <w:rPr>
                <w:noProof/>
                <w:webHidden/>
              </w:rPr>
              <w:fldChar w:fldCharType="separate"/>
            </w:r>
            <w:r w:rsidR="00176C53">
              <w:rPr>
                <w:noProof/>
                <w:webHidden/>
              </w:rPr>
              <w:t>40</w:t>
            </w:r>
            <w:r w:rsidR="006670FF">
              <w:rPr>
                <w:noProof/>
                <w:webHidden/>
              </w:rPr>
              <w:fldChar w:fldCharType="end"/>
            </w:r>
          </w:hyperlink>
        </w:p>
        <w:p w14:paraId="4FE15640" w14:textId="141B15A7" w:rsidR="006670FF" w:rsidRDefault="0085736C">
          <w:pPr>
            <w:pStyle w:val="TOC1"/>
            <w:rPr>
              <w:rFonts w:asciiTheme="minorHAnsi" w:eastAsiaTheme="minorEastAsia" w:hAnsiTheme="minorHAnsi" w:cstheme="minorBidi"/>
              <w:b w:val="0"/>
              <w:noProof/>
              <w:color w:val="auto"/>
              <w:sz w:val="22"/>
              <w:szCs w:val="22"/>
              <w:lang w:eastAsia="en-AU"/>
            </w:rPr>
          </w:pPr>
          <w:hyperlink w:anchor="_Toc83108383" w:history="1">
            <w:r w:rsidR="006670FF" w:rsidRPr="001E3EF1">
              <w:rPr>
                <w:rStyle w:val="Hyperlink"/>
                <w:noProof/>
              </w:rPr>
              <w:t>8</w:t>
            </w:r>
            <w:r w:rsidR="006670FF">
              <w:rPr>
                <w:rFonts w:asciiTheme="minorHAnsi" w:eastAsiaTheme="minorEastAsia" w:hAnsiTheme="minorHAnsi" w:cstheme="minorBidi"/>
                <w:b w:val="0"/>
                <w:noProof/>
                <w:color w:val="auto"/>
                <w:sz w:val="22"/>
                <w:szCs w:val="22"/>
                <w:lang w:eastAsia="en-AU"/>
              </w:rPr>
              <w:tab/>
            </w:r>
            <w:r w:rsidR="006670FF" w:rsidRPr="001E3EF1">
              <w:rPr>
                <w:rStyle w:val="Hyperlink"/>
                <w:noProof/>
              </w:rPr>
              <w:t>Appendix B: Data method</w:t>
            </w:r>
            <w:r w:rsidR="006670FF">
              <w:rPr>
                <w:noProof/>
                <w:webHidden/>
              </w:rPr>
              <w:tab/>
            </w:r>
            <w:r w:rsidR="006670FF">
              <w:rPr>
                <w:noProof/>
                <w:webHidden/>
              </w:rPr>
              <w:fldChar w:fldCharType="begin"/>
            </w:r>
            <w:r w:rsidR="006670FF">
              <w:rPr>
                <w:noProof/>
                <w:webHidden/>
              </w:rPr>
              <w:instrText xml:space="preserve"> PAGEREF _Toc83108383 \h </w:instrText>
            </w:r>
            <w:r w:rsidR="006670FF">
              <w:rPr>
                <w:noProof/>
                <w:webHidden/>
              </w:rPr>
            </w:r>
            <w:r w:rsidR="006670FF">
              <w:rPr>
                <w:noProof/>
                <w:webHidden/>
              </w:rPr>
              <w:fldChar w:fldCharType="separate"/>
            </w:r>
            <w:r w:rsidR="00176C53">
              <w:rPr>
                <w:noProof/>
                <w:webHidden/>
              </w:rPr>
              <w:t>42</w:t>
            </w:r>
            <w:r w:rsidR="006670FF">
              <w:rPr>
                <w:noProof/>
                <w:webHidden/>
              </w:rPr>
              <w:fldChar w:fldCharType="end"/>
            </w:r>
          </w:hyperlink>
        </w:p>
        <w:p w14:paraId="0DBEED01" w14:textId="12B6AABF" w:rsidR="00D140CB" w:rsidRDefault="006D0EF2">
          <w:r>
            <w:rPr>
              <w:rFonts w:asciiTheme="majorHAnsi" w:hAnsiTheme="majorHAnsi"/>
            </w:rPr>
            <w:fldChar w:fldCharType="end"/>
          </w:r>
        </w:p>
      </w:sdtContent>
    </w:sdt>
    <w:p w14:paraId="29556E9D" w14:textId="332F4200" w:rsidR="00CE4255" w:rsidRDefault="0044210B" w:rsidP="0044210B">
      <w:pPr>
        <w:tabs>
          <w:tab w:val="left" w:pos="1890"/>
        </w:tabs>
      </w:pPr>
      <w:r>
        <w:tab/>
      </w:r>
    </w:p>
    <w:bookmarkEnd w:id="0"/>
    <w:p w14:paraId="5D143532" w14:textId="77777777" w:rsidR="004B4283" w:rsidRDefault="004B4283" w:rsidP="00D81B17"/>
    <w:p w14:paraId="4E4C7C7A" w14:textId="667A98A3" w:rsidR="0044210B" w:rsidRDefault="006D0EF2" w:rsidP="0044210B">
      <w:pPr>
        <w:spacing w:after="0" w:line="240" w:lineRule="auto"/>
      </w:pPr>
      <w:r>
        <w:br w:type="page"/>
      </w:r>
    </w:p>
    <w:p w14:paraId="083E9CF4" w14:textId="0A90B714" w:rsidR="0044210B" w:rsidRDefault="00200819" w:rsidP="000E210F">
      <w:pPr>
        <w:ind w:hanging="1701"/>
      </w:pPr>
      <w:r>
        <w:rPr>
          <w:noProof/>
        </w:rPr>
        <w:lastRenderedPageBreak/>
        <w:drawing>
          <wp:anchor distT="0" distB="0" distL="114300" distR="114300" simplePos="0" relativeHeight="251658248" behindDoc="0" locked="0" layoutInCell="1" allowOverlap="1" wp14:anchorId="15BBCB5B" wp14:editId="2341231B">
            <wp:simplePos x="0" y="0"/>
            <wp:positionH relativeFrom="margin">
              <wp:posOffset>-1603375</wp:posOffset>
            </wp:positionH>
            <wp:positionV relativeFrom="paragraph">
              <wp:posOffset>-690880</wp:posOffset>
            </wp:positionV>
            <wp:extent cx="6711950" cy="9820576"/>
            <wp:effectExtent l="0" t="0" r="0" b="9525"/>
            <wp:wrapNone/>
            <wp:docPr id="27" name="Picture 27" descr="An infographic presenting the flow of waste per material. These points are detailed later within the report cont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n infographic presenting the flow of waste per material. These points are detailed later within the report content. "/>
                    <pic:cNvPicPr/>
                  </pic:nvPicPr>
                  <pic:blipFill rotWithShape="1">
                    <a:blip r:embed="rId22"/>
                    <a:srcRect l="3554" t="2365" r="4768" b="2809"/>
                    <a:stretch/>
                  </pic:blipFill>
                  <pic:spPr bwMode="auto">
                    <a:xfrm>
                      <a:off x="0" y="0"/>
                      <a:ext cx="6711950" cy="98205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678EEC" w14:textId="5C1B1FCE" w:rsidR="00597A34" w:rsidRDefault="0044210B" w:rsidP="0044210B">
      <w:pPr>
        <w:pStyle w:val="Heading1"/>
      </w:pPr>
      <w:bookmarkStart w:id="1" w:name="_Toc83108356"/>
      <w:r>
        <w:t xml:space="preserve">Key </w:t>
      </w:r>
      <w:r w:rsidR="00434E02">
        <w:t>w</w:t>
      </w:r>
      <w:r>
        <w:t xml:space="preserve">aste </w:t>
      </w:r>
      <w:r w:rsidR="00434E02">
        <w:t>f</w:t>
      </w:r>
      <w:r>
        <w:t>lows in Victoria, 2019–20</w:t>
      </w:r>
      <w:bookmarkEnd w:id="1"/>
    </w:p>
    <w:p w14:paraId="02AC363B" w14:textId="7E73E2F6" w:rsidR="00597A34" w:rsidRPr="00597A34" w:rsidRDefault="00597A34" w:rsidP="00597A34"/>
    <w:p w14:paraId="66DC20AA" w14:textId="738EECE0" w:rsidR="006031C0" w:rsidRDefault="006031C0">
      <w:pPr>
        <w:spacing w:after="0" w:line="240" w:lineRule="auto"/>
      </w:pPr>
    </w:p>
    <w:p w14:paraId="7664207B" w14:textId="43901C0B" w:rsidR="000E210F" w:rsidRDefault="000E210F" w:rsidP="00BF137D"/>
    <w:p w14:paraId="22A005AC" w14:textId="1FB8A22C" w:rsidR="00741F4F" w:rsidRDefault="000E210F">
      <w:pPr>
        <w:spacing w:after="0" w:line="240" w:lineRule="auto"/>
      </w:pPr>
      <w:r>
        <w:br w:type="page"/>
      </w:r>
    </w:p>
    <w:p w14:paraId="5C308EDD" w14:textId="6E3B09F8" w:rsidR="000E210F" w:rsidRDefault="006670FF" w:rsidP="006670FF">
      <w:pPr>
        <w:pStyle w:val="Heading1"/>
      </w:pPr>
      <w:bookmarkStart w:id="2" w:name="_Toc83108357"/>
      <w:r>
        <w:rPr>
          <w:noProof/>
        </w:rPr>
        <w:lastRenderedPageBreak/>
        <w:drawing>
          <wp:anchor distT="0" distB="0" distL="114300" distR="114300" simplePos="0" relativeHeight="251658249" behindDoc="0" locked="0" layoutInCell="1" allowOverlap="1" wp14:anchorId="7DACEA6A" wp14:editId="631D1D0B">
            <wp:simplePos x="0" y="0"/>
            <wp:positionH relativeFrom="column">
              <wp:posOffset>-1659735</wp:posOffset>
            </wp:positionH>
            <wp:positionV relativeFrom="paragraph">
              <wp:posOffset>-569595</wp:posOffset>
            </wp:positionV>
            <wp:extent cx="6965950" cy="9542992"/>
            <wp:effectExtent l="0" t="0" r="6350" b="1270"/>
            <wp:wrapNone/>
            <wp:docPr id="28" name="Picture 28" descr="An infographic presenting the trends of waste recovery and exporting over time at an overall level and per material. These points are detailed later within the report cont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n infographic presenting the trends of waste recovery and exporting over time at an overall level and per material. These points are detailed later within the report content. "/>
                    <pic:cNvPicPr/>
                  </pic:nvPicPr>
                  <pic:blipFill rotWithShape="1">
                    <a:blip r:embed="rId23"/>
                    <a:srcRect l="1395" t="2536" r="2413" b="4306"/>
                    <a:stretch/>
                  </pic:blipFill>
                  <pic:spPr bwMode="auto">
                    <a:xfrm>
                      <a:off x="0" y="0"/>
                      <a:ext cx="6965950" cy="95429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4E02">
        <w:t>Victorian waste management tr</w:t>
      </w:r>
      <w:r w:rsidR="000E210F">
        <w:t>e</w:t>
      </w:r>
      <w:r w:rsidR="00434E02">
        <w:t>nds to</w:t>
      </w:r>
      <w:r w:rsidR="000E210F">
        <w:t xml:space="preserve"> 2019–20</w:t>
      </w:r>
      <w:bookmarkEnd w:id="2"/>
    </w:p>
    <w:p w14:paraId="39717279" w14:textId="680D6D5A" w:rsidR="008C75CD" w:rsidRDefault="008C75CD" w:rsidP="000E210F">
      <w:pPr>
        <w:ind w:right="-313" w:hanging="1985"/>
      </w:pPr>
    </w:p>
    <w:p w14:paraId="75CBCD39" w14:textId="6D63543F" w:rsidR="008C75CD" w:rsidRDefault="008C75CD">
      <w:pPr>
        <w:spacing w:after="0" w:line="240" w:lineRule="auto"/>
      </w:pPr>
      <w:r>
        <w:br w:type="page"/>
      </w:r>
    </w:p>
    <w:p w14:paraId="2363280F" w14:textId="061CFCCE" w:rsidR="00AF7735" w:rsidRPr="006031C0" w:rsidRDefault="004551D9" w:rsidP="000E210F">
      <w:pPr>
        <w:ind w:right="-313" w:hanging="1985"/>
      </w:pPr>
      <w:r>
        <w:rPr>
          <w:noProof/>
          <w:lang w:eastAsia="en-AU"/>
        </w:rPr>
        <w:lastRenderedPageBreak/>
        <w:drawing>
          <wp:anchor distT="0" distB="0" distL="114300" distR="114300" simplePos="0" relativeHeight="251658241" behindDoc="0" locked="1" layoutInCell="1" allowOverlap="1" wp14:anchorId="6696F45A" wp14:editId="211B28CE">
            <wp:simplePos x="0" y="0"/>
            <wp:positionH relativeFrom="page">
              <wp:align>right</wp:align>
            </wp:positionH>
            <wp:positionV relativeFrom="page">
              <wp:align>top</wp:align>
            </wp:positionV>
            <wp:extent cx="7559675" cy="3095625"/>
            <wp:effectExtent l="0" t="0" r="3175" b="9525"/>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24">
                      <a:clrChange>
                        <a:clrFrom>
                          <a:srgbClr val="FFFFFF"/>
                        </a:clrFrom>
                        <a:clrTo>
                          <a:srgbClr val="FFFFFF">
                            <a:alpha val="0"/>
                          </a:srgbClr>
                        </a:clrTo>
                      </a:clrChange>
                    </a:blip>
                    <a:stretch>
                      <a:fillRect/>
                    </a:stretch>
                  </pic:blipFill>
                  <pic:spPr>
                    <a:xfrm>
                      <a:off x="0" y="0"/>
                      <a:ext cx="7559675" cy="3095625"/>
                    </a:xfrm>
                    <a:prstGeom prst="rect">
                      <a:avLst/>
                    </a:prstGeom>
                  </pic:spPr>
                </pic:pic>
              </a:graphicData>
            </a:graphic>
            <wp14:sizeRelH relativeFrom="margin">
              <wp14:pctWidth>0</wp14:pctWidth>
            </wp14:sizeRelH>
            <wp14:sizeRelV relativeFrom="margin">
              <wp14:pctHeight>0</wp14:pctHeight>
            </wp14:sizeRelV>
          </wp:anchor>
        </w:drawing>
      </w:r>
      <w:r w:rsidR="00BF137D">
        <w:t xml:space="preserve"> </w:t>
      </w:r>
    </w:p>
    <w:p w14:paraId="6EE9E6F5" w14:textId="62A2694B" w:rsidR="00F044D7" w:rsidRDefault="00AF7735" w:rsidP="00F044D7">
      <w:pPr>
        <w:pStyle w:val="SectionDividerTitle"/>
        <w:framePr w:wrap="around"/>
      </w:pPr>
      <w:bookmarkStart w:id="3" w:name="_Toc83108358"/>
      <w:r>
        <w:t>Overview</w:t>
      </w:r>
      <w:bookmarkStart w:id="4" w:name="_Ref72945809"/>
      <w:bookmarkEnd w:id="3"/>
    </w:p>
    <w:p w14:paraId="1B665D43" w14:textId="123D92B3" w:rsidR="00C455B8" w:rsidRDefault="00C455B8" w:rsidP="00C455B8">
      <w:bookmarkStart w:id="5" w:name="_Toc78881400"/>
    </w:p>
    <w:p w14:paraId="5F31A256" w14:textId="04E26414" w:rsidR="007C671E" w:rsidRDefault="007C671E" w:rsidP="00C455B8"/>
    <w:p w14:paraId="0CECC9D3" w14:textId="38A48A9C" w:rsidR="00CE4255" w:rsidRDefault="00CE4255" w:rsidP="00CF7B06">
      <w:pPr>
        <w:pStyle w:val="Heading1Numbered"/>
      </w:pPr>
      <w:bookmarkStart w:id="6" w:name="_Toc83108359"/>
      <w:r>
        <w:t>Introduction</w:t>
      </w:r>
      <w:bookmarkEnd w:id="4"/>
      <w:bookmarkEnd w:id="5"/>
      <w:bookmarkEnd w:id="6"/>
    </w:p>
    <w:p w14:paraId="41FBAFB7" w14:textId="77777777" w:rsidR="007C51CE" w:rsidRDefault="007C51CE" w:rsidP="007C51CE">
      <w:bookmarkStart w:id="7" w:name="_Hlk82093982"/>
      <w:r>
        <w:t>Every year, the Victorian Government surveys reprocessing organisations across the state to better understand the amount of waste</w:t>
      </w:r>
      <w:r w:rsidRPr="001F5371">
        <w:t xml:space="preserve"> recovered </w:t>
      </w:r>
      <w:r>
        <w:t>for recycling purposes</w:t>
      </w:r>
      <w:r w:rsidRPr="001F5371">
        <w:t xml:space="preserve"> in Victoria</w:t>
      </w:r>
      <w:r>
        <w:t>.</w:t>
      </w:r>
    </w:p>
    <w:bookmarkEnd w:id="7"/>
    <w:p w14:paraId="01218D3A" w14:textId="51EBC5B0" w:rsidR="001839CC" w:rsidRPr="004551D9" w:rsidRDefault="007C51CE" w:rsidP="007C51CE">
      <w:pPr>
        <w:rPr>
          <w:i/>
          <w:iCs/>
        </w:rPr>
      </w:pPr>
      <w:r w:rsidRPr="001271DD">
        <w:t>Th</w:t>
      </w:r>
      <w:r>
        <w:t>is</w:t>
      </w:r>
      <w:r w:rsidRPr="001271DD">
        <w:t xml:space="preserve"> </w:t>
      </w:r>
      <w:r w:rsidR="004551D9" w:rsidRPr="007C14F5">
        <w:rPr>
          <w:i/>
          <w:iCs/>
        </w:rPr>
        <w:t>Waste and Recycling in Victoria</w:t>
      </w:r>
      <w:r w:rsidR="0012111B">
        <w:rPr>
          <w:i/>
          <w:iCs/>
        </w:rPr>
        <w:t xml:space="preserve"> </w:t>
      </w:r>
      <w:r w:rsidR="004551D9">
        <w:rPr>
          <w:i/>
          <w:iCs/>
        </w:rPr>
        <w:t xml:space="preserve">– </w:t>
      </w:r>
      <w:r w:rsidR="00985E4A">
        <w:rPr>
          <w:i/>
          <w:iCs/>
        </w:rPr>
        <w:t xml:space="preserve">Recycling Industry </w:t>
      </w:r>
      <w:r w:rsidR="00FB2E95">
        <w:rPr>
          <w:i/>
          <w:iCs/>
        </w:rPr>
        <w:t xml:space="preserve">Waste </w:t>
      </w:r>
      <w:r w:rsidR="00985E4A">
        <w:rPr>
          <w:i/>
          <w:iCs/>
        </w:rPr>
        <w:t>Report</w:t>
      </w:r>
      <w:r w:rsidR="004551D9">
        <w:rPr>
          <w:i/>
          <w:iCs/>
        </w:rPr>
        <w:t xml:space="preserve"> 2019–20 </w:t>
      </w:r>
      <w:r w:rsidR="004551D9" w:rsidRPr="001341FB">
        <w:t>(</w:t>
      </w:r>
      <w:r w:rsidR="00AD50CB" w:rsidRPr="001341FB">
        <w:t>R</w:t>
      </w:r>
      <w:r w:rsidR="00985E4A" w:rsidRPr="001341FB">
        <w:t>I</w:t>
      </w:r>
      <w:r w:rsidR="00FB2E95">
        <w:t>W</w:t>
      </w:r>
      <w:r w:rsidR="00985E4A" w:rsidRPr="001341FB">
        <w:t>R</w:t>
      </w:r>
      <w:r w:rsidR="004551D9" w:rsidRPr="001341FB">
        <w:t>)</w:t>
      </w:r>
      <w:r w:rsidR="004551D9">
        <w:rPr>
          <w:i/>
          <w:iCs/>
        </w:rPr>
        <w:t xml:space="preserve"> </w:t>
      </w:r>
      <w:r>
        <w:t xml:space="preserve">presents the results from </w:t>
      </w:r>
      <w:r w:rsidR="001839CC">
        <w:t>a</w:t>
      </w:r>
      <w:r>
        <w:t xml:space="preserve"> survey of resource recovery activities in 2019</w:t>
      </w:r>
      <w:r w:rsidR="00F07D91">
        <w:t>–</w:t>
      </w:r>
      <w:r>
        <w:t xml:space="preserve">20. </w:t>
      </w:r>
      <w:r w:rsidR="001839CC">
        <w:t xml:space="preserve">The findings in this report are based on the data outlined in the </w:t>
      </w:r>
      <w:r w:rsidR="004551D9" w:rsidRPr="007C14F5">
        <w:rPr>
          <w:i/>
          <w:iCs/>
        </w:rPr>
        <w:t>Waste and Recycling in Victoria</w:t>
      </w:r>
      <w:r w:rsidR="0012111B">
        <w:rPr>
          <w:i/>
          <w:iCs/>
        </w:rPr>
        <w:t xml:space="preserve"> </w:t>
      </w:r>
      <w:r w:rsidR="004551D9">
        <w:rPr>
          <w:i/>
          <w:iCs/>
        </w:rPr>
        <w:t>–</w:t>
      </w:r>
      <w:r w:rsidR="00B80D05">
        <w:rPr>
          <w:i/>
          <w:iCs/>
        </w:rPr>
        <w:t xml:space="preserve"> </w:t>
      </w:r>
      <w:r w:rsidR="0073746D">
        <w:rPr>
          <w:i/>
          <w:iCs/>
        </w:rPr>
        <w:t>Recycling</w:t>
      </w:r>
      <w:r w:rsidR="00AD50CB">
        <w:rPr>
          <w:i/>
          <w:iCs/>
        </w:rPr>
        <w:t xml:space="preserve"> </w:t>
      </w:r>
      <w:r w:rsidR="004551D9">
        <w:rPr>
          <w:i/>
          <w:iCs/>
        </w:rPr>
        <w:t>Industry</w:t>
      </w:r>
      <w:r w:rsidR="006676C7">
        <w:rPr>
          <w:i/>
          <w:iCs/>
        </w:rPr>
        <w:t xml:space="preserve"> </w:t>
      </w:r>
      <w:r w:rsidR="00C7630B">
        <w:rPr>
          <w:i/>
          <w:iCs/>
        </w:rPr>
        <w:t xml:space="preserve">Waste </w:t>
      </w:r>
      <w:r w:rsidR="004551D9">
        <w:rPr>
          <w:i/>
          <w:iCs/>
        </w:rPr>
        <w:t>Workbook 2019–20</w:t>
      </w:r>
      <w:r w:rsidR="00891FD5">
        <w:rPr>
          <w:i/>
          <w:iCs/>
        </w:rPr>
        <w:t xml:space="preserve">, </w:t>
      </w:r>
      <w:r w:rsidR="001839CC">
        <w:t xml:space="preserve">which is available to download from the </w:t>
      </w:r>
      <w:r w:rsidR="001839CC" w:rsidRPr="00D0358B">
        <w:t>Sustainability Victoria</w:t>
      </w:r>
      <w:r w:rsidR="001839CC">
        <w:t xml:space="preserve"> </w:t>
      </w:r>
      <w:r w:rsidR="00BF4638">
        <w:t xml:space="preserve">(SV) </w:t>
      </w:r>
      <w:r w:rsidR="001839CC">
        <w:t xml:space="preserve">website </w:t>
      </w:r>
      <w:r w:rsidR="001839CC" w:rsidRPr="00F81F42">
        <w:t>(</w:t>
      </w:r>
      <w:hyperlink r:id="rId25" w:tooltip="Sustainability Victoria website" w:history="1">
        <w:r w:rsidR="001839CC" w:rsidRPr="00F81F42">
          <w:rPr>
            <w:rStyle w:val="Hyperlink"/>
          </w:rPr>
          <w:t>sustainability.vic.gov.au</w:t>
        </w:r>
      </w:hyperlink>
      <w:r w:rsidR="001839CC" w:rsidRPr="00F81F42">
        <w:t>).</w:t>
      </w:r>
    </w:p>
    <w:p w14:paraId="393045A2" w14:textId="13B044EB" w:rsidR="00083D06" w:rsidRPr="004551D9" w:rsidRDefault="001839CC" w:rsidP="007C51CE">
      <w:r>
        <w:t>Th</w:t>
      </w:r>
      <w:r w:rsidR="00A31007">
        <w:t xml:space="preserve">is report and </w:t>
      </w:r>
      <w:r w:rsidR="007C4975">
        <w:t xml:space="preserve">the </w:t>
      </w:r>
      <w:r w:rsidR="00A31007">
        <w:t>workbook</w:t>
      </w:r>
      <w:r>
        <w:t xml:space="preserve"> are released </w:t>
      </w:r>
      <w:r w:rsidR="00083D06">
        <w:t xml:space="preserve">concurrently </w:t>
      </w:r>
      <w:r>
        <w:t xml:space="preserve">with the </w:t>
      </w:r>
      <w:r w:rsidR="004551D9" w:rsidRPr="007C14F5">
        <w:rPr>
          <w:i/>
          <w:iCs/>
        </w:rPr>
        <w:t xml:space="preserve">Waste and Recycling in Victoria – </w:t>
      </w:r>
      <w:r w:rsidR="006676C7">
        <w:rPr>
          <w:i/>
          <w:iCs/>
        </w:rPr>
        <w:t>Local Government</w:t>
      </w:r>
      <w:r w:rsidR="004551D9" w:rsidRPr="007C14F5">
        <w:rPr>
          <w:i/>
          <w:iCs/>
        </w:rPr>
        <w:t xml:space="preserve"> </w:t>
      </w:r>
      <w:r w:rsidR="005D2691">
        <w:rPr>
          <w:i/>
          <w:iCs/>
        </w:rPr>
        <w:t xml:space="preserve">Waste Services </w:t>
      </w:r>
      <w:r w:rsidR="004551D9" w:rsidRPr="007C14F5">
        <w:rPr>
          <w:i/>
          <w:iCs/>
        </w:rPr>
        <w:t>Repor</w:t>
      </w:r>
      <w:r w:rsidR="004551D9">
        <w:rPr>
          <w:i/>
          <w:iCs/>
        </w:rPr>
        <w:t>t 2019–20</w:t>
      </w:r>
      <w:r w:rsidR="00B80D05">
        <w:rPr>
          <w:i/>
          <w:iCs/>
        </w:rPr>
        <w:t xml:space="preserve"> </w:t>
      </w:r>
      <w:r w:rsidR="00B80D05" w:rsidRPr="001341FB">
        <w:t>(LG</w:t>
      </w:r>
      <w:r w:rsidR="005D2691" w:rsidRPr="001341FB">
        <w:t>WS</w:t>
      </w:r>
      <w:r w:rsidR="00B80D05" w:rsidRPr="001341FB">
        <w:t>R)</w:t>
      </w:r>
      <w:r w:rsidR="00843567">
        <w:t>,</w:t>
      </w:r>
      <w:r>
        <w:rPr>
          <w:i/>
          <w:iCs/>
        </w:rPr>
        <w:t xml:space="preserve"> </w:t>
      </w:r>
      <w:r>
        <w:t xml:space="preserve">which </w:t>
      </w:r>
      <w:r w:rsidR="00083D06">
        <w:t xml:space="preserve">summarises the management of kerbside collected waste in Victoria, </w:t>
      </w:r>
      <w:r w:rsidR="00A31007">
        <w:t xml:space="preserve">the </w:t>
      </w:r>
      <w:r w:rsidR="004551D9" w:rsidRPr="007C14F5">
        <w:rPr>
          <w:i/>
          <w:iCs/>
        </w:rPr>
        <w:t xml:space="preserve">Waste and Recycling in Victoria – </w:t>
      </w:r>
      <w:r w:rsidR="006676C7">
        <w:rPr>
          <w:i/>
          <w:iCs/>
        </w:rPr>
        <w:t>Local Government</w:t>
      </w:r>
      <w:r w:rsidR="004551D9" w:rsidRPr="007C14F5">
        <w:rPr>
          <w:i/>
          <w:iCs/>
        </w:rPr>
        <w:t xml:space="preserve"> </w:t>
      </w:r>
      <w:r w:rsidR="00293737">
        <w:rPr>
          <w:i/>
          <w:iCs/>
        </w:rPr>
        <w:t xml:space="preserve">Waste Services </w:t>
      </w:r>
      <w:r w:rsidR="004551D9">
        <w:rPr>
          <w:i/>
          <w:iCs/>
        </w:rPr>
        <w:t>Workbook</w:t>
      </w:r>
      <w:r>
        <w:rPr>
          <w:i/>
          <w:iCs/>
        </w:rPr>
        <w:t xml:space="preserve"> </w:t>
      </w:r>
      <w:r w:rsidR="00083D06">
        <w:t>containing the data</w:t>
      </w:r>
      <w:r w:rsidR="00843567">
        <w:t>,</w:t>
      </w:r>
      <w:r w:rsidR="00083D06">
        <w:t xml:space="preserve"> </w:t>
      </w:r>
      <w:r>
        <w:t xml:space="preserve">and the </w:t>
      </w:r>
      <w:r w:rsidR="004551D9" w:rsidRPr="007C14F5">
        <w:rPr>
          <w:i/>
          <w:iCs/>
        </w:rPr>
        <w:t xml:space="preserve">Waste and Recycling in Victoria – </w:t>
      </w:r>
      <w:r w:rsidR="006676C7">
        <w:rPr>
          <w:i/>
          <w:iCs/>
        </w:rPr>
        <w:t>S</w:t>
      </w:r>
      <w:r w:rsidR="00657B67">
        <w:rPr>
          <w:i/>
          <w:iCs/>
        </w:rPr>
        <w:t xml:space="preserve">trategic </w:t>
      </w:r>
      <w:r w:rsidR="008236C4">
        <w:rPr>
          <w:i/>
          <w:iCs/>
        </w:rPr>
        <w:t>Summary</w:t>
      </w:r>
      <w:r w:rsidR="008236C4" w:rsidRPr="007C14F5">
        <w:rPr>
          <w:i/>
          <w:iCs/>
        </w:rPr>
        <w:t xml:space="preserve"> </w:t>
      </w:r>
      <w:r w:rsidR="004551D9" w:rsidRPr="007C14F5">
        <w:rPr>
          <w:i/>
          <w:iCs/>
        </w:rPr>
        <w:t>Report</w:t>
      </w:r>
      <w:r w:rsidR="00B80D05">
        <w:rPr>
          <w:i/>
          <w:iCs/>
        </w:rPr>
        <w:t xml:space="preserve"> </w:t>
      </w:r>
      <w:r w:rsidR="00B80D05" w:rsidRPr="001341FB">
        <w:t>(S</w:t>
      </w:r>
      <w:r w:rsidR="00657B67" w:rsidRPr="001341FB">
        <w:t>S</w:t>
      </w:r>
      <w:r w:rsidR="00B80D05" w:rsidRPr="001341FB">
        <w:t>R)</w:t>
      </w:r>
      <w:r w:rsidR="00843567" w:rsidRPr="008236C4">
        <w:t>,</w:t>
      </w:r>
      <w:r w:rsidR="00083D06">
        <w:rPr>
          <w:i/>
          <w:iCs/>
        </w:rPr>
        <w:t xml:space="preserve"> </w:t>
      </w:r>
      <w:r w:rsidR="00083D06">
        <w:t>which positions key insights from both reports into context, relating</w:t>
      </w:r>
      <w:r w:rsidR="00A31007">
        <w:t xml:space="preserve"> trends</w:t>
      </w:r>
      <w:r w:rsidR="00083D06">
        <w:t xml:space="preserve"> to events </w:t>
      </w:r>
      <w:r w:rsidR="00A31007">
        <w:t xml:space="preserve">such as </w:t>
      </w:r>
      <w:r w:rsidR="00083D06">
        <w:t>industry changes and government actions</w:t>
      </w:r>
      <w:r w:rsidR="00A31007">
        <w:t>.</w:t>
      </w:r>
      <w:r w:rsidR="000A7D8F">
        <w:t xml:space="preserve"> </w:t>
      </w:r>
      <w:r w:rsidR="00071CA7">
        <w:t xml:space="preserve">For a comparison </w:t>
      </w:r>
      <w:r w:rsidR="00A74D2B">
        <w:t xml:space="preserve">of </w:t>
      </w:r>
      <w:r w:rsidR="00071CA7">
        <w:t xml:space="preserve">the differences between the LGWSR and this report, please refer to </w:t>
      </w:r>
      <w:r w:rsidR="00071CA7">
        <w:fldChar w:fldCharType="begin"/>
      </w:r>
      <w:r w:rsidR="00071CA7">
        <w:instrText xml:space="preserve"> REF _Ref80209103 \h </w:instrText>
      </w:r>
      <w:r w:rsidR="00071CA7">
        <w:fldChar w:fldCharType="separate"/>
      </w:r>
      <w:r w:rsidR="00176C53">
        <w:t>Comparison of survey data</w:t>
      </w:r>
      <w:r w:rsidR="00071CA7">
        <w:fldChar w:fldCharType="end"/>
      </w:r>
      <w:r w:rsidR="00071CA7">
        <w:t>.</w:t>
      </w:r>
    </w:p>
    <w:p w14:paraId="5BAA6522" w14:textId="64E90AED" w:rsidR="00083D06" w:rsidRDefault="001839CC" w:rsidP="007C51CE">
      <w:r>
        <w:t xml:space="preserve">All </w:t>
      </w:r>
      <w:r w:rsidR="00A31007">
        <w:t xml:space="preserve">of these publications are </w:t>
      </w:r>
      <w:r>
        <w:t>available</w:t>
      </w:r>
      <w:r w:rsidR="00083D06">
        <w:t xml:space="preserve"> </w:t>
      </w:r>
      <w:r>
        <w:t xml:space="preserve">on the </w:t>
      </w:r>
      <w:r w:rsidR="00BF4638">
        <w:t>SV</w:t>
      </w:r>
      <w:r w:rsidR="00083D06">
        <w:t xml:space="preserve"> website </w:t>
      </w:r>
      <w:r w:rsidR="00083D06" w:rsidRPr="00F81F42">
        <w:t>(</w:t>
      </w:r>
      <w:hyperlink r:id="rId26" w:tooltip="Sustainability Victoria website" w:history="1">
        <w:r w:rsidR="00083D06" w:rsidRPr="00F81F42">
          <w:rPr>
            <w:rStyle w:val="Hyperlink"/>
          </w:rPr>
          <w:t>sustainability.vic.gov.au</w:t>
        </w:r>
      </w:hyperlink>
      <w:r w:rsidR="00083D06" w:rsidRPr="00F81F42">
        <w:t>)</w:t>
      </w:r>
      <w:r w:rsidR="00083D06">
        <w:t xml:space="preserve">, </w:t>
      </w:r>
      <w:r w:rsidR="00843567">
        <w:t xml:space="preserve">which provides </w:t>
      </w:r>
      <w:r>
        <w:t>public access to the underlying data and includes historically available figures.</w:t>
      </w:r>
    </w:p>
    <w:p w14:paraId="765E399C" w14:textId="5B550136" w:rsidR="008A080D" w:rsidRDefault="00A065C6" w:rsidP="008A080D">
      <w:r>
        <w:t xml:space="preserve">These publications and the data collected in </w:t>
      </w:r>
      <w:r w:rsidR="008A080D">
        <w:t>the</w:t>
      </w:r>
      <w:r>
        <w:t xml:space="preserve"> surveys contribute to our understanding of </w:t>
      </w:r>
      <w:r w:rsidR="008A080D">
        <w:t xml:space="preserve">ongoing reform in the sector and allows Victoria to monitor progress towards some of the targets set out in </w:t>
      </w:r>
      <w:hyperlink r:id="rId27" w:tooltip="Hyperlink to: Recycling Victoria: A New Economy" w:history="1">
        <w:r w:rsidR="00A74D2B" w:rsidRPr="00BF4638">
          <w:rPr>
            <w:rStyle w:val="Hyperlink"/>
            <w:i/>
            <w:iCs/>
          </w:rPr>
          <w:t>Recycling Victoria: A New Economy</w:t>
        </w:r>
      </w:hyperlink>
      <w:r w:rsidR="008A080D">
        <w:rPr>
          <w:i/>
          <w:iCs/>
        </w:rPr>
        <w:t>,</w:t>
      </w:r>
      <w:r>
        <w:t xml:space="preserve"> the Victorian Government’s circular economy policy and action plan, released in early 2020 by the Department</w:t>
      </w:r>
      <w:r w:rsidR="00D57855">
        <w:t xml:space="preserve"> of</w:t>
      </w:r>
      <w:r>
        <w:t xml:space="preserve"> Environment, Land, Water and Planning (DELWP). </w:t>
      </w:r>
      <w:r w:rsidR="008A080D">
        <w:t xml:space="preserve">This is an ambitious decade-long policy and framework to transition Victoria’s waste management to a functioning circular economy by 2030. These targets are outlined below and reported on in the </w:t>
      </w:r>
      <w:r w:rsidR="008A080D" w:rsidRPr="001341FB">
        <w:t>S</w:t>
      </w:r>
      <w:r w:rsidR="00D57855">
        <w:t>S</w:t>
      </w:r>
      <w:r w:rsidR="008A080D" w:rsidRPr="001341FB">
        <w:t>R</w:t>
      </w:r>
      <w:r w:rsidR="000A7D8F">
        <w:t>:</w:t>
      </w:r>
    </w:p>
    <w:p w14:paraId="5324E86C" w14:textId="6D9D15FD" w:rsidR="008A080D" w:rsidRDefault="008A080D" w:rsidP="008A080D">
      <w:pPr>
        <w:pStyle w:val="ListBullet"/>
      </w:pPr>
      <w:r>
        <w:t>to divert 8</w:t>
      </w:r>
      <w:r w:rsidR="00C64428">
        <w:t>0 p</w:t>
      </w:r>
      <w:r w:rsidR="00657B67">
        <w:t>er cent</w:t>
      </w:r>
      <w:r>
        <w:t xml:space="preserve"> of waste from landfill by 2030</w:t>
      </w:r>
    </w:p>
    <w:p w14:paraId="7C4C375E" w14:textId="505BD80E" w:rsidR="008A080D" w:rsidRDefault="008A080D" w:rsidP="008A080D">
      <w:pPr>
        <w:pStyle w:val="ListBullet"/>
      </w:pPr>
      <w:r>
        <w:t>to cut total waste generation by 1</w:t>
      </w:r>
      <w:r w:rsidR="00C64428">
        <w:t>5 p</w:t>
      </w:r>
      <w:r>
        <w:t>er cent per capita</w:t>
      </w:r>
    </w:p>
    <w:p w14:paraId="75152AC4" w14:textId="5DF8F6E8" w:rsidR="008A080D" w:rsidRDefault="008A080D" w:rsidP="008A080D">
      <w:pPr>
        <w:pStyle w:val="ListBullet"/>
      </w:pPr>
      <w:r>
        <w:t>to halve</w:t>
      </w:r>
      <w:r w:rsidRPr="008A080D">
        <w:t xml:space="preserve"> the volume of organic material going to landfill between 2020 and 2030</w:t>
      </w:r>
    </w:p>
    <w:p w14:paraId="3B953349" w14:textId="24EC960A" w:rsidR="00E30EE8" w:rsidRPr="00083D06" w:rsidRDefault="008A080D" w:rsidP="00A35AB4">
      <w:pPr>
        <w:pStyle w:val="ListBullet"/>
      </w:pPr>
      <w:r>
        <w:t>to ensure</w:t>
      </w:r>
      <w:r w:rsidRPr="008A080D">
        <w:t xml:space="preserve"> every Victorian household has access to food and garden organic </w:t>
      </w:r>
      <w:r w:rsidR="00D57855">
        <w:t xml:space="preserve">(FOGO) </w:t>
      </w:r>
      <w:r w:rsidRPr="008A080D">
        <w:t>waste recycling services or local composting by 2030</w:t>
      </w:r>
      <w:r w:rsidR="00A47FF2">
        <w:t>.</w:t>
      </w:r>
    </w:p>
    <w:p w14:paraId="2B1FD074" w14:textId="61E9676E" w:rsidR="007C51CE" w:rsidRDefault="00CF04CA" w:rsidP="007C51CE">
      <w:r>
        <w:t>Th</w:t>
      </w:r>
      <w:r w:rsidR="00083D06">
        <w:t xml:space="preserve">is </w:t>
      </w:r>
      <w:r w:rsidR="00985E4A">
        <w:t>RI</w:t>
      </w:r>
      <w:r w:rsidR="00FB2E95">
        <w:t>W</w:t>
      </w:r>
      <w:r w:rsidR="00985E4A">
        <w:t>R</w:t>
      </w:r>
      <w:r>
        <w:t xml:space="preserve"> report is divided into</w:t>
      </w:r>
      <w:r w:rsidR="007C51CE">
        <w:t xml:space="preserve"> </w:t>
      </w:r>
      <w:r w:rsidR="00482F84">
        <w:t xml:space="preserve">five </w:t>
      </w:r>
      <w:r w:rsidR="007C51CE">
        <w:t>chapters</w:t>
      </w:r>
      <w:r w:rsidR="00BB7605">
        <w:t xml:space="preserve"> including</w:t>
      </w:r>
      <w:r>
        <w:t>:</w:t>
      </w:r>
    </w:p>
    <w:p w14:paraId="17CAD28D" w14:textId="3D180B22" w:rsidR="007C51CE" w:rsidRDefault="00CF04CA" w:rsidP="007C51CE">
      <w:pPr>
        <w:pStyle w:val="ListBullet"/>
      </w:pPr>
      <w:r>
        <w:t>this</w:t>
      </w:r>
      <w:r w:rsidR="007C51CE">
        <w:t xml:space="preserve"> introduct</w:t>
      </w:r>
      <w:r w:rsidR="003A40F1">
        <w:t>ory chapter</w:t>
      </w:r>
    </w:p>
    <w:p w14:paraId="11BE7417" w14:textId="3324FF45" w:rsidR="00657B67" w:rsidRPr="001839CC" w:rsidRDefault="00657B67" w:rsidP="00657B67">
      <w:pPr>
        <w:pStyle w:val="ListBullet"/>
      </w:pPr>
      <w:r>
        <w:t>a chapter with brief discussions on key insights from the report</w:t>
      </w:r>
    </w:p>
    <w:p w14:paraId="5E6FD95D" w14:textId="34A8042E" w:rsidR="00657B67" w:rsidRDefault="00657B67" w:rsidP="00657B67">
      <w:pPr>
        <w:pStyle w:val="ListBullet"/>
      </w:pPr>
      <w:r>
        <w:t>a chapter on materials recovered for reprocessing by material type</w:t>
      </w:r>
    </w:p>
    <w:p w14:paraId="7991E916" w14:textId="77777777" w:rsidR="00657B67" w:rsidRDefault="00657B67" w:rsidP="00657B67">
      <w:pPr>
        <w:pStyle w:val="ListBullet"/>
      </w:pPr>
      <w:r>
        <w:t>a chapter on material exports</w:t>
      </w:r>
    </w:p>
    <w:p w14:paraId="7791AED0" w14:textId="0280CA31" w:rsidR="007C51CE" w:rsidRDefault="00CF04CA" w:rsidP="007C51CE">
      <w:pPr>
        <w:pStyle w:val="ListBullet"/>
      </w:pPr>
      <w:r>
        <w:lastRenderedPageBreak/>
        <w:t>a</w:t>
      </w:r>
      <w:r w:rsidR="007C51CE">
        <w:t xml:space="preserve"> </w:t>
      </w:r>
      <w:r>
        <w:t>c</w:t>
      </w:r>
      <w:r w:rsidR="007C51CE">
        <w:t>hapter on</w:t>
      </w:r>
      <w:r w:rsidR="003A40F1">
        <w:t xml:space="preserve"> the</w:t>
      </w:r>
      <w:r>
        <w:t xml:space="preserve"> overall </w:t>
      </w:r>
      <w:r w:rsidR="00BB7605">
        <w:t xml:space="preserve">trends </w:t>
      </w:r>
      <w:r>
        <w:t xml:space="preserve">of </w:t>
      </w:r>
      <w:r w:rsidR="007C51CE">
        <w:t>disposal and recover</w:t>
      </w:r>
      <w:r w:rsidR="003A40F1">
        <w:t>y</w:t>
      </w:r>
      <w:r>
        <w:t>, source sectors and composition of waste materials</w:t>
      </w:r>
      <w:r w:rsidR="00A47FF2">
        <w:t>.</w:t>
      </w:r>
    </w:p>
    <w:p w14:paraId="1DA8BBD1" w14:textId="1A9CD5FE" w:rsidR="00657B67" w:rsidRDefault="00071CA7" w:rsidP="008D4B1F">
      <w:r w:rsidRPr="00DE5D7D">
        <w:t xml:space="preserve">This </w:t>
      </w:r>
      <w:r>
        <w:t>RI</w:t>
      </w:r>
      <w:r w:rsidR="00FB2E95">
        <w:t>W</w:t>
      </w:r>
      <w:r>
        <w:t>R</w:t>
      </w:r>
      <w:r w:rsidRPr="00DE5D7D">
        <w:t xml:space="preserve"> presents the results from the survey of resource recovery activities</w:t>
      </w:r>
      <w:r>
        <w:t xml:space="preserve"> in 2019–20</w:t>
      </w:r>
      <w:r w:rsidRPr="00DE5D7D">
        <w:t xml:space="preserve">. Resource recovery covers a wide range of activities, including collecting waste, sorting waste, reprocessing </w:t>
      </w:r>
      <w:r w:rsidRPr="00382BCA">
        <w:t>waste</w:t>
      </w:r>
      <w:r w:rsidRPr="00DE5D7D">
        <w:t xml:space="preserve">, manufacturing new </w:t>
      </w:r>
      <w:proofErr w:type="gramStart"/>
      <w:r w:rsidRPr="00DE5D7D">
        <w:t>products</w:t>
      </w:r>
      <w:proofErr w:type="gramEnd"/>
      <w:r w:rsidRPr="00DE5D7D">
        <w:t xml:space="preserve"> and producing energy from waste. The </w:t>
      </w:r>
      <w:r>
        <w:t>RI</w:t>
      </w:r>
      <w:r w:rsidR="00FB2E95">
        <w:t>W</w:t>
      </w:r>
      <w:r>
        <w:t>R</w:t>
      </w:r>
      <w:r w:rsidRPr="00DE5D7D">
        <w:t xml:space="preserve"> provides a detailed summary of</w:t>
      </w:r>
      <w:r w:rsidR="00657B67">
        <w:t>:</w:t>
      </w:r>
    </w:p>
    <w:p w14:paraId="08E34492" w14:textId="2D61BD81" w:rsidR="00071CA7" w:rsidRDefault="00071CA7" w:rsidP="00657B67">
      <w:pPr>
        <w:pStyle w:val="ListBullet"/>
      </w:pPr>
      <w:r w:rsidRPr="00DE5D7D">
        <w:t xml:space="preserve">the quantities of materials recovered via reprocessing of waste in Victoria. These materials include aggregates, </w:t>
      </w:r>
      <w:proofErr w:type="gramStart"/>
      <w:r w:rsidRPr="00DE5D7D">
        <w:t>masonry</w:t>
      </w:r>
      <w:proofErr w:type="gramEnd"/>
      <w:r w:rsidRPr="00DE5D7D">
        <w:t xml:space="preserve"> and soil; glass; metals; organics; paper and cardboard; plastics; rubber; and textiles</w:t>
      </w:r>
    </w:p>
    <w:p w14:paraId="136CDE19" w14:textId="5C6EC35D" w:rsidR="00071CA7" w:rsidRPr="00657B67" w:rsidRDefault="00071CA7" w:rsidP="00657B67">
      <w:pPr>
        <w:pStyle w:val="ListBullet"/>
      </w:pPr>
      <w:r>
        <w:rPr>
          <w:rFonts w:cstheme="minorHAnsi"/>
        </w:rPr>
        <w:t>t</w:t>
      </w:r>
      <w:r w:rsidRPr="00DE5D7D">
        <w:rPr>
          <w:rFonts w:cstheme="minorHAnsi"/>
        </w:rPr>
        <w:t>he</w:t>
      </w:r>
      <w:r>
        <w:rPr>
          <w:rFonts w:cstheme="minorHAnsi"/>
        </w:rPr>
        <w:t xml:space="preserve"> quantities and</w:t>
      </w:r>
      <w:r w:rsidRPr="00DE5D7D">
        <w:rPr>
          <w:rFonts w:cstheme="minorHAnsi"/>
        </w:rPr>
        <w:t xml:space="preserve"> </w:t>
      </w:r>
      <w:r>
        <w:rPr>
          <w:rFonts w:cstheme="minorHAnsi"/>
        </w:rPr>
        <w:t>types</w:t>
      </w:r>
      <w:r w:rsidRPr="00DE5D7D">
        <w:rPr>
          <w:rFonts w:cstheme="minorHAnsi"/>
        </w:rPr>
        <w:t xml:space="preserve"> </w:t>
      </w:r>
      <w:r>
        <w:rPr>
          <w:rFonts w:cstheme="minorHAnsi"/>
        </w:rPr>
        <w:t xml:space="preserve">of materials </w:t>
      </w:r>
      <w:r w:rsidRPr="00DE5D7D">
        <w:rPr>
          <w:rFonts w:cstheme="minorHAnsi"/>
        </w:rPr>
        <w:t>sourced from</w:t>
      </w:r>
      <w:r>
        <w:rPr>
          <w:rFonts w:cstheme="minorHAnsi"/>
        </w:rPr>
        <w:t xml:space="preserve"> three sectors. These sectors are</w:t>
      </w:r>
      <w:r w:rsidRPr="00DE5D7D">
        <w:rPr>
          <w:rFonts w:cstheme="minorHAnsi"/>
        </w:rPr>
        <w:t xml:space="preserve"> municipal solid waste (households</w:t>
      </w:r>
      <w:r>
        <w:rPr>
          <w:rFonts w:cstheme="minorHAnsi"/>
        </w:rPr>
        <w:t xml:space="preserve"> and council activities</w:t>
      </w:r>
      <w:r w:rsidRPr="00DE5D7D">
        <w:rPr>
          <w:rFonts w:cstheme="minorHAnsi"/>
        </w:rPr>
        <w:t xml:space="preserve">, also known as municipal or MSW), commercial and industrial operations (C&amp;I), </w:t>
      </w:r>
      <w:r>
        <w:rPr>
          <w:rFonts w:cstheme="minorHAnsi"/>
        </w:rPr>
        <w:t>and</w:t>
      </w:r>
      <w:r w:rsidRPr="00DE5D7D">
        <w:rPr>
          <w:rFonts w:cstheme="minorHAnsi"/>
        </w:rPr>
        <w:t xml:space="preserve"> construction and demolition sites (C&amp;D).</w:t>
      </w:r>
    </w:p>
    <w:p w14:paraId="05FA9208" w14:textId="19AFC3A0" w:rsidR="00071CA7" w:rsidRDefault="00E262AA" w:rsidP="008D4B1F">
      <w:r w:rsidRPr="00DE5D7D">
        <w:t>Th</w:t>
      </w:r>
      <w:r>
        <w:t>is</w:t>
      </w:r>
      <w:r w:rsidRPr="00DE5D7D">
        <w:t xml:space="preserve"> </w:t>
      </w:r>
      <w:r w:rsidR="00071CA7">
        <w:t>RI</w:t>
      </w:r>
      <w:r w:rsidR="00FB2E95">
        <w:t>W</w:t>
      </w:r>
      <w:r w:rsidR="00071CA7">
        <w:t>R</w:t>
      </w:r>
      <w:r w:rsidR="00071CA7" w:rsidRPr="00DE5D7D">
        <w:t xml:space="preserve"> includes data estimates and trends for materials exported</w:t>
      </w:r>
      <w:r w:rsidR="00071CA7">
        <w:t xml:space="preserve"> </w:t>
      </w:r>
      <w:r w:rsidR="00E56C8F">
        <w:t>overseas</w:t>
      </w:r>
      <w:r w:rsidR="00071CA7" w:rsidRPr="00DE5D7D">
        <w:t xml:space="preserve"> from Victoria for reprocessing and waste sent for landfill disposal in Victoria</w:t>
      </w:r>
      <w:r w:rsidR="00071CA7">
        <w:t>. These additional insights are provided to give a comprehensive view of waste management in Victoria</w:t>
      </w:r>
      <w:r w:rsidR="00F24B11" w:rsidRPr="00C06887">
        <w:rPr>
          <w:rStyle w:val="FootnoteReference"/>
          <w:sz w:val="18"/>
          <w:szCs w:val="18"/>
        </w:rPr>
        <w:footnoteReference w:id="2"/>
      </w:r>
      <w:r w:rsidR="00071CA7" w:rsidRPr="008D4B1F">
        <w:rPr>
          <w:vertAlign w:val="superscript"/>
        </w:rPr>
        <w:t xml:space="preserve"> </w:t>
      </w:r>
      <w:r w:rsidR="00071CA7">
        <w:t xml:space="preserve">and is done by </w:t>
      </w:r>
      <w:r w:rsidR="00E56C8F">
        <w:t xml:space="preserve">including data from </w:t>
      </w:r>
      <w:r w:rsidR="00071CA7">
        <w:t>the following sources:</w:t>
      </w:r>
    </w:p>
    <w:p w14:paraId="78C0F9BF" w14:textId="77777777" w:rsidR="00071CA7" w:rsidRDefault="00071CA7" w:rsidP="00071CA7">
      <w:pPr>
        <w:pStyle w:val="ListBullet"/>
      </w:pPr>
      <w:r w:rsidRPr="001271DD">
        <w:t xml:space="preserve">Environment Protection Authority (EPA) </w:t>
      </w:r>
      <w:r>
        <w:t>Victoria</w:t>
      </w:r>
      <w:r w:rsidRPr="001271DD">
        <w:t xml:space="preserve"> </w:t>
      </w:r>
      <w:r>
        <w:t xml:space="preserve">data </w:t>
      </w:r>
      <w:r w:rsidRPr="001271DD">
        <w:t xml:space="preserve">on </w:t>
      </w:r>
      <w:r>
        <w:t xml:space="preserve">quantities sent to </w:t>
      </w:r>
      <w:r w:rsidRPr="001271DD">
        <w:t>landfill</w:t>
      </w:r>
    </w:p>
    <w:p w14:paraId="1E3A011C" w14:textId="77777777" w:rsidR="00071CA7" w:rsidRDefault="00071CA7" w:rsidP="00071CA7">
      <w:pPr>
        <w:pStyle w:val="ListBullet"/>
      </w:pPr>
      <w:r w:rsidRPr="001271DD">
        <w:t xml:space="preserve">Australian Bureau of Statistics (ABS) </w:t>
      </w:r>
      <w:r>
        <w:t>commodity</w:t>
      </w:r>
      <w:r w:rsidRPr="001271DD">
        <w:t xml:space="preserve"> export data</w:t>
      </w:r>
    </w:p>
    <w:p w14:paraId="4BF6C8E5" w14:textId="0BF4AE00" w:rsidR="00C157F0" w:rsidRPr="00071CA7" w:rsidRDefault="00071CA7" w:rsidP="00071CA7">
      <w:pPr>
        <w:pStyle w:val="ListBullet"/>
      </w:pPr>
      <w:r w:rsidRPr="007504E5">
        <w:rPr>
          <w:iCs/>
        </w:rPr>
        <w:t>Australian Plastics Recycling Survey</w:t>
      </w:r>
      <w:r w:rsidRPr="001271DD">
        <w:t xml:space="preserve"> </w:t>
      </w:r>
      <w:r>
        <w:t xml:space="preserve">data </w:t>
      </w:r>
      <w:r w:rsidRPr="001271DD">
        <w:t>on plastic</w:t>
      </w:r>
      <w:r>
        <w:t>s consumption and</w:t>
      </w:r>
      <w:r w:rsidRPr="001271DD">
        <w:t xml:space="preserve"> recovery</w:t>
      </w:r>
      <w:r w:rsidR="00CE4255" w:rsidRPr="00071CA7">
        <w:rPr>
          <w:rFonts w:cstheme="minorHAnsi"/>
        </w:rPr>
        <w:t>.</w:t>
      </w:r>
    </w:p>
    <w:p w14:paraId="7C37CE79" w14:textId="2049BF32" w:rsidR="007C51CE" w:rsidRPr="00DE5D7D" w:rsidRDefault="00074F11" w:rsidP="008D4B1F">
      <w:r>
        <w:t xml:space="preserve">In the context of this survey and report, it is not reasonable to </w:t>
      </w:r>
      <w:r w:rsidR="00EF54BD">
        <w:t xml:space="preserve">report numbers to the last available digit as it may give a false impression about the </w:t>
      </w:r>
      <w:r w:rsidR="00382BCA">
        <w:t xml:space="preserve">precision </w:t>
      </w:r>
      <w:r w:rsidR="00EF54BD">
        <w:t xml:space="preserve">of the data. For this reason, rounding of large numbers and long decimals has been performed at the latest stage of analysis and in doing so </w:t>
      </w:r>
      <w:r w:rsidR="00EF54BD" w:rsidRPr="00074F11">
        <w:t xml:space="preserve">numbers presented throughout this </w:t>
      </w:r>
      <w:r w:rsidR="00EF54BD">
        <w:t>report</w:t>
      </w:r>
      <w:r w:rsidR="00EF54BD" w:rsidRPr="00074F11">
        <w:t xml:space="preserve"> may not add up </w:t>
      </w:r>
      <w:r w:rsidR="00382BCA">
        <w:t xml:space="preserve">exactly </w:t>
      </w:r>
      <w:r w:rsidR="00EF54BD" w:rsidRPr="00074F11">
        <w:t xml:space="preserve">to the totals provided and percentages may not </w:t>
      </w:r>
      <w:r w:rsidR="00382BCA">
        <w:t xml:space="preserve">exactly </w:t>
      </w:r>
      <w:r w:rsidR="00EF54BD" w:rsidRPr="00074F11">
        <w:t>reflect the absolute figures</w:t>
      </w:r>
      <w:r w:rsidR="00EF54BD">
        <w:t>. Rounding makes the publication more readable and avoids spurious accuracy.</w:t>
      </w:r>
    </w:p>
    <w:p w14:paraId="5DC8820C" w14:textId="77777777" w:rsidR="000B4165" w:rsidRDefault="000B4165" w:rsidP="000B4165"/>
    <w:p w14:paraId="080231F7" w14:textId="65B6A2FB" w:rsidR="00171637" w:rsidRDefault="00171637">
      <w:pPr>
        <w:spacing w:after="0" w:line="240" w:lineRule="auto"/>
      </w:pPr>
      <w:r>
        <w:br w:type="page"/>
      </w:r>
    </w:p>
    <w:p w14:paraId="5E665F2B" w14:textId="77777777" w:rsidR="00171637" w:rsidRDefault="00171637" w:rsidP="00171637">
      <w:pPr>
        <w:pStyle w:val="SectionDividerTitle"/>
        <w:framePr w:wrap="around"/>
      </w:pPr>
      <w:bookmarkStart w:id="8" w:name="_Toc83108360"/>
      <w:r>
        <w:lastRenderedPageBreak/>
        <w:t>Key points</w:t>
      </w:r>
      <w:bookmarkEnd w:id="8"/>
    </w:p>
    <w:p w14:paraId="185DD3B5" w14:textId="77777777" w:rsidR="00171637" w:rsidRDefault="00171637" w:rsidP="00171637"/>
    <w:p w14:paraId="628F8D7C" w14:textId="252982C5" w:rsidR="00171637" w:rsidRDefault="00171637" w:rsidP="00171637"/>
    <w:p w14:paraId="448A8C85" w14:textId="77777777" w:rsidR="007C671E" w:rsidRDefault="007C671E" w:rsidP="00171637"/>
    <w:p w14:paraId="3AC76A3B" w14:textId="25C4973F" w:rsidR="001A3CA8" w:rsidRDefault="001A3CA8" w:rsidP="001A3CA8">
      <w:r>
        <w:t xml:space="preserve">To better understand our waste streams, data are only useful if they can be used to set benchmarks, understand </w:t>
      </w:r>
      <w:proofErr w:type="gramStart"/>
      <w:r>
        <w:t>trends</w:t>
      </w:r>
      <w:proofErr w:type="gramEnd"/>
      <w:r>
        <w:t xml:space="preserve"> and determine if goals are being achieved. Likewise, data are less useful if looked at in isolation, without understanding the circumstances and variables that affect the numbers. </w:t>
      </w:r>
      <w:r>
        <w:rPr>
          <w:iCs/>
        </w:rPr>
        <w:t>S</w:t>
      </w:r>
      <w:r>
        <w:t xml:space="preserve">V has made a particular effort in bringing more depth and understanding to the survey data by highlighting key points of interest about the data and explaining the trends and achievements against the targets set out in the Victorian Government </w:t>
      </w:r>
      <w:r w:rsidRPr="001A3CA8">
        <w:rPr>
          <w:i/>
          <w:iCs/>
        </w:rPr>
        <w:t>Recycling Victoria</w:t>
      </w:r>
      <w:r>
        <w:t xml:space="preserve"> policy. Key points relating to this RIWR are discussed below. These key points are explored in more detail in the SSR.</w:t>
      </w:r>
    </w:p>
    <w:p w14:paraId="3833B9DF" w14:textId="77777777" w:rsidR="00171637" w:rsidRDefault="00171637" w:rsidP="00171637">
      <w:pPr>
        <w:pStyle w:val="Heading1Numbered"/>
      </w:pPr>
      <w:bookmarkStart w:id="9" w:name="_Toc83108361"/>
      <w:r>
        <w:rPr>
          <w:noProof/>
          <w:lang w:eastAsia="en-AU"/>
        </w:rPr>
        <w:drawing>
          <wp:anchor distT="0" distB="0" distL="114300" distR="114300" simplePos="0" relativeHeight="251658243" behindDoc="1" locked="1" layoutInCell="1" allowOverlap="1" wp14:anchorId="7E18D3AB" wp14:editId="0C32246D">
            <wp:simplePos x="0" y="0"/>
            <wp:positionH relativeFrom="rightMargin">
              <wp:posOffset>-6948170</wp:posOffset>
            </wp:positionH>
            <wp:positionV relativeFrom="page">
              <wp:posOffset>9525</wp:posOffset>
            </wp:positionV>
            <wp:extent cx="7559675" cy="3095625"/>
            <wp:effectExtent l="0" t="0" r="3175" b="9525"/>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24">
                      <a:clrChange>
                        <a:clrFrom>
                          <a:srgbClr val="FFFFFF"/>
                        </a:clrFrom>
                        <a:clrTo>
                          <a:srgbClr val="FFFFFF">
                            <a:alpha val="0"/>
                          </a:srgbClr>
                        </a:clrTo>
                      </a:clrChange>
                    </a:blip>
                    <a:stretch>
                      <a:fillRect/>
                    </a:stretch>
                  </pic:blipFill>
                  <pic:spPr>
                    <a:xfrm>
                      <a:off x="0" y="0"/>
                      <a:ext cx="7559675" cy="3095625"/>
                    </a:xfrm>
                    <a:prstGeom prst="rect">
                      <a:avLst/>
                    </a:prstGeom>
                  </pic:spPr>
                </pic:pic>
              </a:graphicData>
            </a:graphic>
            <wp14:sizeRelH relativeFrom="margin">
              <wp14:pctWidth>0</wp14:pctWidth>
            </wp14:sizeRelH>
            <wp14:sizeRelV relativeFrom="margin">
              <wp14:pctHeight>0</wp14:pctHeight>
            </wp14:sizeRelV>
          </wp:anchor>
        </w:drawing>
      </w:r>
      <w:r>
        <w:t>Our waste, our responsibility</w:t>
      </w:r>
      <w:bookmarkEnd w:id="9"/>
    </w:p>
    <w:p w14:paraId="336E6219" w14:textId="198681DA" w:rsidR="00171637" w:rsidRDefault="007828C2" w:rsidP="00171637">
      <w:r>
        <w:t xml:space="preserve">Chapter </w:t>
      </w:r>
      <w:r w:rsidR="00171637">
        <w:fldChar w:fldCharType="begin"/>
      </w:r>
      <w:r w:rsidR="00171637">
        <w:instrText xml:space="preserve"> REF _Ref72505103 \r \h </w:instrText>
      </w:r>
      <w:r w:rsidR="00E56C8F">
        <w:instrText xml:space="preserve"> \* MERGEFORMAT </w:instrText>
      </w:r>
      <w:r w:rsidR="00171637">
        <w:fldChar w:fldCharType="separate"/>
      </w:r>
      <w:r w:rsidR="00176C53">
        <w:t>4</w:t>
      </w:r>
      <w:r w:rsidR="00171637">
        <w:fldChar w:fldCharType="end"/>
      </w:r>
      <w:r w:rsidR="00171637">
        <w:t xml:space="preserve"> </w:t>
      </w:r>
      <w:r w:rsidR="001B26B0">
        <w:t xml:space="preserve">presents evidence that </w:t>
      </w:r>
      <w:r w:rsidR="00171637">
        <w:t xml:space="preserve">over the last 5 years Victoria continues a positive trend for increased local reprocessing of recovered materials and decreased export of </w:t>
      </w:r>
      <w:r w:rsidR="00E56C8F">
        <w:t xml:space="preserve">material for </w:t>
      </w:r>
      <w:r w:rsidR="00171637">
        <w:t>recover</w:t>
      </w:r>
      <w:r w:rsidR="00E56C8F">
        <w:t>y</w:t>
      </w:r>
      <w:r w:rsidR="00171637">
        <w:t xml:space="preserve">. Compared with 2018–19, there was a </w:t>
      </w:r>
      <w:r w:rsidR="00F37B06">
        <w:t>3.8</w:t>
      </w:r>
      <w:r w:rsidR="00171637">
        <w:t xml:space="preserve"> per cent increase in the amount of recovered material remaining in Victoria for reprocessing and a </w:t>
      </w:r>
      <w:r w:rsidR="00A03C75">
        <w:t>7</w:t>
      </w:r>
      <w:r w:rsidR="00F37B06">
        <w:t>.</w:t>
      </w:r>
      <w:r w:rsidR="00A03C75">
        <w:t>0</w:t>
      </w:r>
      <w:r w:rsidR="00171637">
        <w:t xml:space="preserve"> per cent decrease </w:t>
      </w:r>
      <w:r w:rsidR="003971B0">
        <w:t xml:space="preserve">in </w:t>
      </w:r>
      <w:r w:rsidR="00171637">
        <w:t>the amount of recovered material exported for reprocessing. Material exports of plastics were down 3</w:t>
      </w:r>
      <w:r w:rsidR="00A03C75">
        <w:t>5</w:t>
      </w:r>
      <w:r w:rsidR="00F37B06">
        <w:t>.</w:t>
      </w:r>
      <w:r w:rsidR="00A03C75">
        <w:t>9</w:t>
      </w:r>
      <w:r w:rsidR="00171637">
        <w:t xml:space="preserve"> per cent to </w:t>
      </w:r>
      <w:r w:rsidR="00D64C63">
        <w:t>52.5 kt kilo</w:t>
      </w:r>
      <w:r w:rsidR="004619A5">
        <w:t xml:space="preserve"> tonnes</w:t>
      </w:r>
      <w:r w:rsidR="005441C5">
        <w:t xml:space="preserve"> (</w:t>
      </w:r>
      <w:r w:rsidR="00D64C63">
        <w:t>kt</w:t>
      </w:r>
      <w:r w:rsidR="005441C5">
        <w:t>)</w:t>
      </w:r>
      <w:r w:rsidR="00171637">
        <w:t xml:space="preserve"> and </w:t>
      </w:r>
      <w:r w:rsidR="00D64C63">
        <w:t>glass</w:t>
      </w:r>
      <w:r w:rsidR="00171637">
        <w:t xml:space="preserve"> exports were down </w:t>
      </w:r>
      <w:r w:rsidR="00D64C63">
        <w:t>72.8</w:t>
      </w:r>
      <w:r w:rsidR="00171637">
        <w:t xml:space="preserve"> per cent </w:t>
      </w:r>
      <w:r w:rsidR="00D64C63">
        <w:t xml:space="preserve">from 14.4 kt </w:t>
      </w:r>
      <w:r w:rsidR="00171637">
        <w:t xml:space="preserve">to </w:t>
      </w:r>
      <w:r w:rsidR="00D64C63">
        <w:t>3.9 kt</w:t>
      </w:r>
      <w:r w:rsidR="00171637">
        <w:t>.</w:t>
      </w:r>
      <w:r w:rsidR="00D64C63">
        <w:t xml:space="preserve"> </w:t>
      </w:r>
    </w:p>
    <w:p w14:paraId="2CB63ADD" w14:textId="2143A3A2" w:rsidR="00171637" w:rsidRDefault="00171637" w:rsidP="00171637">
      <w:r>
        <w:t xml:space="preserve">This trend, as well as indicating a reduction in export market availability, demonstrates the shift by government and industry to encourage the onshore management of our own waste through actions and initiatives such as the Council of Australian Governments (COAG) export ban to phase out waste exports, federal and state investments into programs and funding to boost onshore manufacturing and innovation pertaining to these materials, and the </w:t>
      </w:r>
      <w:r w:rsidR="001A3CA8" w:rsidRPr="00C12053">
        <w:rPr>
          <w:rFonts w:ascii="Arial" w:hAnsi="Arial" w:cs="Arial"/>
          <w:i/>
          <w:color w:val="auto"/>
          <w:szCs w:val="19"/>
        </w:rPr>
        <w:t>Recycling</w:t>
      </w:r>
      <w:r w:rsidR="001A3CA8" w:rsidRPr="001A3CA8">
        <w:rPr>
          <w:i/>
          <w:iCs/>
        </w:rPr>
        <w:t xml:space="preserve"> </w:t>
      </w:r>
      <w:r w:rsidRPr="001A3CA8">
        <w:rPr>
          <w:i/>
          <w:iCs/>
        </w:rPr>
        <w:t>Victoria</w:t>
      </w:r>
      <w:r>
        <w:t xml:space="preserve"> policy outlining key targets to measure and drive our shift to a circular economy.</w:t>
      </w:r>
    </w:p>
    <w:p w14:paraId="65FD0BB2" w14:textId="77777777" w:rsidR="00171637" w:rsidRDefault="00171637" w:rsidP="00171637">
      <w:pPr>
        <w:pStyle w:val="Heading1Numbered"/>
      </w:pPr>
      <w:bookmarkStart w:id="10" w:name="_Toc83108362"/>
      <w:r>
        <w:t>Strengthening sector resilience</w:t>
      </w:r>
      <w:bookmarkEnd w:id="10"/>
    </w:p>
    <w:p w14:paraId="37B69C95" w14:textId="4DF24135" w:rsidR="00171637" w:rsidRDefault="00171637" w:rsidP="00171637">
      <w:r>
        <w:t xml:space="preserve">A noteworthy increase in the recovery of glass material </w:t>
      </w:r>
      <w:r w:rsidR="002105B4">
        <w:t>is</w:t>
      </w:r>
      <w:r>
        <w:t xml:space="preserve"> highlighted in Section </w:t>
      </w:r>
      <w:r w:rsidR="002105B4">
        <w:fldChar w:fldCharType="begin"/>
      </w:r>
      <w:r w:rsidR="002105B4">
        <w:instrText xml:space="preserve"> REF _Ref80095013 \r \h </w:instrText>
      </w:r>
      <w:r w:rsidR="002105B4">
        <w:fldChar w:fldCharType="separate"/>
      </w:r>
      <w:r w:rsidR="00176C53">
        <w:t>3.2</w:t>
      </w:r>
      <w:r w:rsidR="002105B4">
        <w:fldChar w:fldCharType="end"/>
      </w:r>
      <w:r>
        <w:t>, where a 54</w:t>
      </w:r>
      <w:r w:rsidR="00F37B06">
        <w:t>.5</w:t>
      </w:r>
      <w:r>
        <w:t xml:space="preserve"> per cent increase was observed compared with 2018–19. This increase is likely to be </w:t>
      </w:r>
      <w:r w:rsidR="001B26B0">
        <w:t>predominately</w:t>
      </w:r>
      <w:r>
        <w:t xml:space="preserve"> sourced from long-term glass material stockpiles</w:t>
      </w:r>
      <w:r w:rsidR="001B26B0">
        <w:t>. Future v</w:t>
      </w:r>
      <w:r>
        <w:t>olumes</w:t>
      </w:r>
      <w:r w:rsidR="00E56C8F">
        <w:t xml:space="preserve"> </w:t>
      </w:r>
      <w:r w:rsidR="00C81BD6">
        <w:t xml:space="preserve">and quality </w:t>
      </w:r>
      <w:r w:rsidR="00E56C8F">
        <w:t>of</w:t>
      </w:r>
      <w:r>
        <w:t xml:space="preserve"> locally </w:t>
      </w:r>
      <w:r w:rsidR="001B26B0">
        <w:t xml:space="preserve">recovered glass for reprocessing </w:t>
      </w:r>
      <w:r>
        <w:t xml:space="preserve">are expected to increase with the introduction of a </w:t>
      </w:r>
      <w:r w:rsidR="00AB4031">
        <w:t xml:space="preserve">fourth </w:t>
      </w:r>
      <w:r>
        <w:t>bin for household glass collections as well as a container deposit scheme (CDS) in Victoria</w:t>
      </w:r>
      <w:r w:rsidR="001B26B0">
        <w:t xml:space="preserve"> from 2023</w:t>
      </w:r>
      <w:r>
        <w:t>. Announcements associated with new glass beneficiation capacity and the existing capacity of the recycling network show that Victoria is well placed to handle increased volumes.</w:t>
      </w:r>
    </w:p>
    <w:p w14:paraId="73A1CFB3" w14:textId="6DBDBEF9" w:rsidR="00B54BB2" w:rsidRDefault="00171637" w:rsidP="00171637">
      <w:r>
        <w:t xml:space="preserve">The impact of </w:t>
      </w:r>
      <w:r w:rsidR="001609D4">
        <w:t>import</w:t>
      </w:r>
      <w:r>
        <w:t xml:space="preserve"> ban</w:t>
      </w:r>
      <w:r w:rsidR="001609D4">
        <w:t>s in other countries</w:t>
      </w:r>
      <w:r>
        <w:t xml:space="preserve"> and the resulting stockpiling of recyclables is evident, with reports of the forced landfilling of recyclables given the absence of alternative recycling pathways </w:t>
      </w:r>
      <w:r w:rsidR="00E56C8F">
        <w:t xml:space="preserve">throughout 2019–20 </w:t>
      </w:r>
      <w:r>
        <w:t>(</w:t>
      </w:r>
      <w:hyperlink r:id="rId28" w:tooltip="Hyperlink to: Recovered Resources Market Bulletin" w:history="1">
        <w:r w:rsidRPr="00BF4638">
          <w:rPr>
            <w:rStyle w:val="Hyperlink"/>
            <w:i/>
            <w:iCs/>
          </w:rPr>
          <w:t>Recovered Resources Market Bulletin</w:t>
        </w:r>
      </w:hyperlink>
      <w:r>
        <w:t xml:space="preserve">, December 2019). However, </w:t>
      </w:r>
      <w:r w:rsidR="001B26B0">
        <w:t>as evident here with</w:t>
      </w:r>
      <w:r>
        <w:t xml:space="preserve"> glass, we see the potential of industry to rise to a </w:t>
      </w:r>
      <w:r>
        <w:lastRenderedPageBreak/>
        <w:t>challenge in a complex and highly interdependent waste and resource recovery management sector.</w:t>
      </w:r>
    </w:p>
    <w:p w14:paraId="21AA027C" w14:textId="5C38E0D8" w:rsidR="00171637" w:rsidRDefault="00171637" w:rsidP="00171637">
      <w:pPr>
        <w:pStyle w:val="Heading1Numbered"/>
      </w:pPr>
      <w:bookmarkStart w:id="11" w:name="_Toc83108363"/>
      <w:r>
        <w:t xml:space="preserve">Sector opportunities </w:t>
      </w:r>
      <w:r w:rsidR="00E56C8F">
        <w:t xml:space="preserve">in </w:t>
      </w:r>
      <w:r w:rsidRPr="001341FB">
        <w:rPr>
          <w:i/>
          <w:iCs/>
        </w:rPr>
        <w:t>Recycling Victoria</w:t>
      </w:r>
      <w:r>
        <w:t xml:space="preserve"> policy targets</w:t>
      </w:r>
      <w:bookmarkEnd w:id="11"/>
    </w:p>
    <w:p w14:paraId="122E1DA6" w14:textId="4F6F31D0" w:rsidR="00171637" w:rsidRDefault="00171637" w:rsidP="00171637">
      <w:pPr>
        <w:rPr>
          <w:rFonts w:cstheme="minorHAnsi"/>
          <w:szCs w:val="19"/>
        </w:rPr>
      </w:pPr>
      <w:r w:rsidRPr="005226D6">
        <w:rPr>
          <w:szCs w:val="19"/>
        </w:rPr>
        <w:t xml:space="preserve">C&amp;D remains the </w:t>
      </w:r>
      <w:r>
        <w:rPr>
          <w:szCs w:val="19"/>
        </w:rPr>
        <w:t xml:space="preserve">source </w:t>
      </w:r>
      <w:r w:rsidRPr="005226D6">
        <w:rPr>
          <w:szCs w:val="19"/>
        </w:rPr>
        <w:t>sector with the highest diversion rate at 86</w:t>
      </w:r>
      <w:r w:rsidR="00F37B06">
        <w:rPr>
          <w:szCs w:val="19"/>
        </w:rPr>
        <w:t>.2</w:t>
      </w:r>
      <w:r>
        <w:rPr>
          <w:szCs w:val="19"/>
        </w:rPr>
        <w:t> </w:t>
      </w:r>
      <w:r w:rsidRPr="005226D6">
        <w:rPr>
          <w:szCs w:val="19"/>
        </w:rPr>
        <w:t>per cent, followed by C&amp;I at 5</w:t>
      </w:r>
      <w:r w:rsidR="00F37B06">
        <w:rPr>
          <w:szCs w:val="19"/>
        </w:rPr>
        <w:t>8.8</w:t>
      </w:r>
      <w:r>
        <w:rPr>
          <w:szCs w:val="19"/>
        </w:rPr>
        <w:t> </w:t>
      </w:r>
      <w:r w:rsidRPr="005226D6">
        <w:rPr>
          <w:szCs w:val="19"/>
        </w:rPr>
        <w:t>per cent and MSW at 4</w:t>
      </w:r>
      <w:r w:rsidR="00F37B06">
        <w:rPr>
          <w:szCs w:val="19"/>
        </w:rPr>
        <w:t>8</w:t>
      </w:r>
      <w:r w:rsidR="00E91204">
        <w:rPr>
          <w:szCs w:val="19"/>
        </w:rPr>
        <w:t>.0</w:t>
      </w:r>
      <w:r>
        <w:rPr>
          <w:szCs w:val="19"/>
        </w:rPr>
        <w:t> </w:t>
      </w:r>
      <w:r w:rsidRPr="005226D6">
        <w:rPr>
          <w:szCs w:val="19"/>
        </w:rPr>
        <w:t>per cent</w:t>
      </w:r>
      <w:r>
        <w:rPr>
          <w:rFonts w:cstheme="minorHAnsi"/>
          <w:szCs w:val="19"/>
        </w:rPr>
        <w:t xml:space="preserve">. </w:t>
      </w:r>
      <w:r w:rsidRPr="005226D6">
        <w:rPr>
          <w:szCs w:val="19"/>
        </w:rPr>
        <w:t xml:space="preserve">Given the </w:t>
      </w:r>
      <w:r>
        <w:rPr>
          <w:szCs w:val="19"/>
        </w:rPr>
        <w:t xml:space="preserve">stable and continuing </w:t>
      </w:r>
      <w:r w:rsidRPr="005226D6">
        <w:rPr>
          <w:szCs w:val="19"/>
        </w:rPr>
        <w:t xml:space="preserve">high diversion rate </w:t>
      </w:r>
      <w:r>
        <w:rPr>
          <w:szCs w:val="19"/>
        </w:rPr>
        <w:t>of</w:t>
      </w:r>
      <w:r w:rsidRPr="005226D6">
        <w:rPr>
          <w:szCs w:val="19"/>
        </w:rPr>
        <w:t xml:space="preserve"> </w:t>
      </w:r>
      <w:r>
        <w:rPr>
          <w:szCs w:val="19"/>
        </w:rPr>
        <w:t xml:space="preserve">the </w:t>
      </w:r>
      <w:r w:rsidRPr="005226D6">
        <w:rPr>
          <w:szCs w:val="19"/>
        </w:rPr>
        <w:t>C&amp;D</w:t>
      </w:r>
      <w:r>
        <w:rPr>
          <w:szCs w:val="19"/>
        </w:rPr>
        <w:t xml:space="preserve"> sector</w:t>
      </w:r>
      <w:r w:rsidRPr="005226D6">
        <w:rPr>
          <w:szCs w:val="19"/>
        </w:rPr>
        <w:t xml:space="preserve">, </w:t>
      </w:r>
      <w:r>
        <w:rPr>
          <w:szCs w:val="19"/>
        </w:rPr>
        <w:t xml:space="preserve">the </w:t>
      </w:r>
      <w:r w:rsidRPr="005226D6">
        <w:rPr>
          <w:szCs w:val="19"/>
        </w:rPr>
        <w:t xml:space="preserve">C&amp;I and MSW </w:t>
      </w:r>
      <w:r>
        <w:rPr>
          <w:szCs w:val="19"/>
        </w:rPr>
        <w:t xml:space="preserve">sectors </w:t>
      </w:r>
      <w:r w:rsidRPr="005226D6">
        <w:rPr>
          <w:szCs w:val="19"/>
        </w:rPr>
        <w:t xml:space="preserve">present the largest opportunities for </w:t>
      </w:r>
      <w:r>
        <w:rPr>
          <w:szCs w:val="19"/>
        </w:rPr>
        <w:t>taking steps</w:t>
      </w:r>
      <w:r w:rsidRPr="005226D6">
        <w:rPr>
          <w:szCs w:val="19"/>
        </w:rPr>
        <w:t xml:space="preserve"> towards </w:t>
      </w:r>
      <w:r>
        <w:rPr>
          <w:szCs w:val="19"/>
        </w:rPr>
        <w:t xml:space="preserve">the targets outlined in the </w:t>
      </w:r>
      <w:r w:rsidR="001A20C4" w:rsidRPr="00C12053">
        <w:rPr>
          <w:rFonts w:ascii="Arial" w:hAnsi="Arial" w:cs="Arial"/>
          <w:i/>
          <w:color w:val="auto"/>
          <w:szCs w:val="19"/>
        </w:rPr>
        <w:t>Recycling Victoria</w:t>
      </w:r>
      <w:r w:rsidR="001A20C4">
        <w:rPr>
          <w:rFonts w:ascii="Arial" w:hAnsi="Arial" w:cs="Arial"/>
          <w:color w:val="auto"/>
          <w:szCs w:val="19"/>
        </w:rPr>
        <w:t xml:space="preserve"> </w:t>
      </w:r>
      <w:r>
        <w:rPr>
          <w:szCs w:val="19"/>
        </w:rPr>
        <w:t xml:space="preserve">policy. One of the </w:t>
      </w:r>
      <w:r w:rsidR="001A20C4" w:rsidRPr="00C12053">
        <w:rPr>
          <w:rFonts w:ascii="Arial" w:hAnsi="Arial" w:cs="Arial"/>
          <w:i/>
          <w:color w:val="auto"/>
          <w:szCs w:val="19"/>
        </w:rPr>
        <w:t>Recycling Victoria</w:t>
      </w:r>
      <w:r>
        <w:rPr>
          <w:szCs w:val="19"/>
        </w:rPr>
        <w:t xml:space="preserve"> policy targets is to</w:t>
      </w:r>
      <w:r w:rsidRPr="005226D6">
        <w:rPr>
          <w:szCs w:val="19"/>
        </w:rPr>
        <w:t xml:space="preserve"> </w:t>
      </w:r>
      <w:r w:rsidRPr="005226D6">
        <w:rPr>
          <w:rFonts w:cstheme="minorHAnsi"/>
          <w:szCs w:val="19"/>
        </w:rPr>
        <w:t>divert 80</w:t>
      </w:r>
      <w:r>
        <w:rPr>
          <w:rFonts w:cstheme="minorHAnsi"/>
          <w:szCs w:val="19"/>
        </w:rPr>
        <w:t xml:space="preserve"> per cent </w:t>
      </w:r>
      <w:r w:rsidRPr="005226D6">
        <w:rPr>
          <w:rFonts w:cstheme="minorHAnsi"/>
          <w:szCs w:val="19"/>
        </w:rPr>
        <w:t xml:space="preserve">of waste from landfill by 2030. Currently we are diverting </w:t>
      </w:r>
      <w:r w:rsidR="00A71CEC">
        <w:rPr>
          <w:rFonts w:cstheme="minorHAnsi"/>
          <w:szCs w:val="19"/>
        </w:rPr>
        <w:t>69.7</w:t>
      </w:r>
      <w:r>
        <w:rPr>
          <w:rFonts w:cstheme="minorHAnsi"/>
          <w:szCs w:val="19"/>
        </w:rPr>
        <w:t> per cent.</w:t>
      </w:r>
    </w:p>
    <w:p w14:paraId="0E34318A" w14:textId="3988DE0E" w:rsidR="00171637" w:rsidRPr="00F136AF" w:rsidRDefault="00171637" w:rsidP="00171637">
      <w:pPr>
        <w:rPr>
          <w:szCs w:val="19"/>
        </w:rPr>
      </w:pPr>
      <w:r>
        <w:t xml:space="preserve">In 2019–20, </w:t>
      </w:r>
      <w:r w:rsidRPr="005226D6">
        <w:rPr>
          <w:szCs w:val="19"/>
        </w:rPr>
        <w:t xml:space="preserve">MSW </w:t>
      </w:r>
      <w:r>
        <w:rPr>
          <w:szCs w:val="19"/>
        </w:rPr>
        <w:t>demonstrated</w:t>
      </w:r>
      <w:r w:rsidRPr="005226D6">
        <w:rPr>
          <w:szCs w:val="19"/>
        </w:rPr>
        <w:t xml:space="preserve"> a noteworthy change in diversion rate, with an increase of </w:t>
      </w:r>
      <w:r w:rsidR="00A71CEC">
        <w:rPr>
          <w:szCs w:val="19"/>
        </w:rPr>
        <w:t>4.7</w:t>
      </w:r>
      <w:r>
        <w:rPr>
          <w:szCs w:val="19"/>
        </w:rPr>
        <w:t> </w:t>
      </w:r>
      <w:r w:rsidRPr="005226D6">
        <w:rPr>
          <w:szCs w:val="19"/>
        </w:rPr>
        <w:t>percentage points</w:t>
      </w:r>
      <w:r>
        <w:rPr>
          <w:szCs w:val="19"/>
        </w:rPr>
        <w:t xml:space="preserve"> to 1.6</w:t>
      </w:r>
      <w:r w:rsidR="005A0CF1">
        <w:rPr>
          <w:szCs w:val="19"/>
        </w:rPr>
        <w:t>5</w:t>
      </w:r>
      <w:r>
        <w:rPr>
          <w:szCs w:val="19"/>
        </w:rPr>
        <w:t> </w:t>
      </w:r>
      <w:r w:rsidR="00D64C63">
        <w:rPr>
          <w:szCs w:val="19"/>
        </w:rPr>
        <w:t>million tonnes (</w:t>
      </w:r>
      <w:r>
        <w:rPr>
          <w:szCs w:val="19"/>
        </w:rPr>
        <w:t>Mt</w:t>
      </w:r>
      <w:r w:rsidR="00D64C63">
        <w:rPr>
          <w:szCs w:val="19"/>
        </w:rPr>
        <w:t>)</w:t>
      </w:r>
      <w:r>
        <w:rPr>
          <w:szCs w:val="19"/>
        </w:rPr>
        <w:t xml:space="preserve"> compared with 1.</w:t>
      </w:r>
      <w:r w:rsidR="005A0CF1">
        <w:rPr>
          <w:szCs w:val="19"/>
        </w:rPr>
        <w:t>28</w:t>
      </w:r>
      <w:r>
        <w:rPr>
          <w:szCs w:val="19"/>
        </w:rPr>
        <w:t xml:space="preserve"> Mt in 2018–19. </w:t>
      </w:r>
      <w:r>
        <w:rPr>
          <w:rFonts w:cstheme="minorHAnsi"/>
          <w:szCs w:val="19"/>
        </w:rPr>
        <w:t>Future</w:t>
      </w:r>
      <w:r w:rsidRPr="005226D6">
        <w:rPr>
          <w:rFonts w:cstheme="minorHAnsi"/>
          <w:szCs w:val="19"/>
        </w:rPr>
        <w:t xml:space="preserve"> actions</w:t>
      </w:r>
      <w:r>
        <w:rPr>
          <w:rFonts w:cstheme="minorHAnsi"/>
          <w:szCs w:val="19"/>
        </w:rPr>
        <w:t>,</w:t>
      </w:r>
      <w:r w:rsidRPr="005226D6">
        <w:rPr>
          <w:rFonts w:cstheme="minorHAnsi"/>
          <w:szCs w:val="19"/>
        </w:rPr>
        <w:t xml:space="preserve"> such as the rollout of the CDS from 2023 and </w:t>
      </w:r>
      <w:r>
        <w:rPr>
          <w:rFonts w:cstheme="minorHAnsi"/>
          <w:szCs w:val="19"/>
        </w:rPr>
        <w:t xml:space="preserve">the reform of the </w:t>
      </w:r>
      <w:r w:rsidRPr="005226D6">
        <w:rPr>
          <w:rFonts w:cstheme="minorHAnsi"/>
          <w:szCs w:val="19"/>
        </w:rPr>
        <w:t xml:space="preserve">kerbside </w:t>
      </w:r>
      <w:r>
        <w:rPr>
          <w:rFonts w:cstheme="minorHAnsi"/>
          <w:szCs w:val="19"/>
        </w:rPr>
        <w:t>recycling system</w:t>
      </w:r>
      <w:r w:rsidRPr="005226D6">
        <w:rPr>
          <w:rFonts w:cstheme="minorHAnsi"/>
          <w:szCs w:val="19"/>
        </w:rPr>
        <w:t xml:space="preserve"> from 2021, </w:t>
      </w:r>
      <w:r w:rsidRPr="005226D6">
        <w:rPr>
          <w:szCs w:val="19"/>
        </w:rPr>
        <w:t>supported by education and public awareness campaigns around recycling and other practices such as reusing, repairing, and sharing products</w:t>
      </w:r>
      <w:r>
        <w:rPr>
          <w:szCs w:val="19"/>
        </w:rPr>
        <w:t>,</w:t>
      </w:r>
      <w:r w:rsidRPr="005226D6">
        <w:rPr>
          <w:szCs w:val="19"/>
        </w:rPr>
        <w:t xml:space="preserve"> </w:t>
      </w:r>
      <w:r>
        <w:rPr>
          <w:szCs w:val="19"/>
        </w:rPr>
        <w:t xml:space="preserve">aim to </w:t>
      </w:r>
      <w:r w:rsidRPr="005226D6">
        <w:rPr>
          <w:szCs w:val="19"/>
        </w:rPr>
        <w:t xml:space="preserve">move us closer to </w:t>
      </w:r>
      <w:r>
        <w:rPr>
          <w:szCs w:val="19"/>
        </w:rPr>
        <w:t>the 80 per cent diversion</w:t>
      </w:r>
      <w:r w:rsidRPr="005226D6">
        <w:rPr>
          <w:szCs w:val="19"/>
        </w:rPr>
        <w:t xml:space="preserve"> target.</w:t>
      </w:r>
    </w:p>
    <w:p w14:paraId="035D3282" w14:textId="77777777" w:rsidR="00171637" w:rsidRPr="005226D6" w:rsidRDefault="00171637" w:rsidP="00171637">
      <w:pPr>
        <w:rPr>
          <w:szCs w:val="19"/>
        </w:rPr>
      </w:pPr>
    </w:p>
    <w:p w14:paraId="131F720F" w14:textId="54C30AD4" w:rsidR="00431099" w:rsidRDefault="00431099">
      <w:pPr>
        <w:spacing w:after="0" w:line="240" w:lineRule="auto"/>
      </w:pPr>
      <w:r w:rsidRPr="00630BF2">
        <w:rPr>
          <w:color w:val="BCBEC0" w:themeColor="accent3"/>
        </w:rPr>
        <w:br w:type="page"/>
      </w:r>
    </w:p>
    <w:p w14:paraId="226D22D8" w14:textId="5EC76EB2" w:rsidR="00BB7506" w:rsidRDefault="00AE0773" w:rsidP="00BB7506">
      <w:pPr>
        <w:pStyle w:val="SectionDividerTitle"/>
        <w:framePr w:wrap="around"/>
      </w:pPr>
      <w:bookmarkStart w:id="12" w:name="_Toc78881406"/>
      <w:bookmarkStart w:id="13" w:name="_Toc83108364"/>
      <w:r>
        <w:lastRenderedPageBreak/>
        <w:t>Material</w:t>
      </w:r>
      <w:r w:rsidR="003B36C5">
        <w:t>-</w:t>
      </w:r>
      <w:r w:rsidR="00631741">
        <w:t xml:space="preserve">specific </w:t>
      </w:r>
      <w:r>
        <w:t xml:space="preserve">recovery </w:t>
      </w:r>
      <w:bookmarkEnd w:id="12"/>
      <w:r w:rsidR="00631741">
        <w:t>data</w:t>
      </w:r>
      <w:bookmarkEnd w:id="13"/>
    </w:p>
    <w:p w14:paraId="1C2F9738" w14:textId="77777777" w:rsidR="00E74C12" w:rsidRDefault="00E74C12" w:rsidP="00631741"/>
    <w:p w14:paraId="49875329" w14:textId="77777777" w:rsidR="00A47FF2" w:rsidRDefault="00A47FF2" w:rsidP="00631741"/>
    <w:p w14:paraId="1F36066E" w14:textId="14372F4A" w:rsidR="00631741" w:rsidRDefault="00631741" w:rsidP="00631741">
      <w:r>
        <w:t>The following sections present</w:t>
      </w:r>
      <w:r w:rsidR="00E74C12">
        <w:rPr>
          <w:noProof/>
          <w:lang w:eastAsia="en-AU"/>
        </w:rPr>
        <w:drawing>
          <wp:anchor distT="0" distB="0" distL="114300" distR="114300" simplePos="0" relativeHeight="251658244" behindDoc="0" locked="1" layoutInCell="1" allowOverlap="1" wp14:anchorId="5AA1983C" wp14:editId="7AAC2F34">
            <wp:simplePos x="0" y="0"/>
            <wp:positionH relativeFrom="page">
              <wp:align>right</wp:align>
            </wp:positionH>
            <wp:positionV relativeFrom="page">
              <wp:align>top</wp:align>
            </wp:positionV>
            <wp:extent cx="7559675" cy="3095625"/>
            <wp:effectExtent l="0" t="0" r="3175" b="952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24">
                      <a:clrChange>
                        <a:clrFrom>
                          <a:srgbClr val="FFFFFF"/>
                        </a:clrFrom>
                        <a:clrTo>
                          <a:srgbClr val="FFFFFF">
                            <a:alpha val="0"/>
                          </a:srgbClr>
                        </a:clrTo>
                      </a:clrChange>
                    </a:blip>
                    <a:stretch>
                      <a:fillRect/>
                    </a:stretch>
                  </pic:blipFill>
                  <pic:spPr>
                    <a:xfrm>
                      <a:off x="0" y="0"/>
                      <a:ext cx="7559675" cy="3095625"/>
                    </a:xfrm>
                    <a:prstGeom prst="rect">
                      <a:avLst/>
                    </a:prstGeom>
                  </pic:spPr>
                </pic:pic>
              </a:graphicData>
            </a:graphic>
            <wp14:sizeRelH relativeFrom="margin">
              <wp14:pctWidth>0</wp14:pctWidth>
            </wp14:sizeRelH>
            <wp14:sizeRelV relativeFrom="margin">
              <wp14:pctHeight>0</wp14:pctHeight>
            </wp14:sizeRelV>
          </wp:anchor>
        </w:drawing>
      </w:r>
      <w:r>
        <w:t xml:space="preserve"> data on the tonnages recovered per material for reprocessing</w:t>
      </w:r>
      <w:r w:rsidR="00C01E9A">
        <w:t>,</w:t>
      </w:r>
      <w:r>
        <w:t xml:space="preserve"> either locally or abroad. Information on the quantities and material types locally reprocessed and exported are presented in Chapter </w:t>
      </w:r>
      <w:r>
        <w:fldChar w:fldCharType="begin"/>
      </w:r>
      <w:r>
        <w:instrText xml:space="preserve"> REF _Ref72505103 \r \h </w:instrText>
      </w:r>
      <w:r>
        <w:fldChar w:fldCharType="separate"/>
      </w:r>
      <w:r w:rsidR="00176C53">
        <w:t>4</w:t>
      </w:r>
      <w:r>
        <w:fldChar w:fldCharType="end"/>
      </w:r>
      <w:r>
        <w:t>.</w:t>
      </w:r>
    </w:p>
    <w:p w14:paraId="5A228E40" w14:textId="359C4485" w:rsidR="00954B8B" w:rsidRDefault="00D6074C" w:rsidP="00954B8B">
      <w:pPr>
        <w:pStyle w:val="Heading1Numbered"/>
      </w:pPr>
      <w:bookmarkStart w:id="14" w:name="_Toc83108365"/>
      <w:r>
        <w:t>Aggregate</w:t>
      </w:r>
      <w:r w:rsidR="00631741">
        <w:t>s</w:t>
      </w:r>
      <w:r w:rsidR="00630BF2">
        <w:t>,</w:t>
      </w:r>
      <w:r>
        <w:t xml:space="preserve"> </w:t>
      </w:r>
      <w:proofErr w:type="gramStart"/>
      <w:r w:rsidR="00631741">
        <w:t>masonry</w:t>
      </w:r>
      <w:proofErr w:type="gramEnd"/>
      <w:r>
        <w:t xml:space="preserve"> and soil</w:t>
      </w:r>
      <w:bookmarkStart w:id="15" w:name="_Hlk71104460"/>
      <w:bookmarkEnd w:id="14"/>
    </w:p>
    <w:p w14:paraId="02F0E671" w14:textId="0B1B8119" w:rsidR="00954B8B" w:rsidRPr="00954B8B" w:rsidRDefault="007D11FD" w:rsidP="00A73696">
      <w:pPr>
        <w:pStyle w:val="casestudybox"/>
      </w:pPr>
      <w:bookmarkStart w:id="16" w:name="_Hlk82419989"/>
      <w:bookmarkStart w:id="17" w:name="_Hlk81992138"/>
      <w:r w:rsidRPr="00A73696">
        <w:t>»</w:t>
      </w:r>
      <w:r>
        <w:t xml:space="preserve"> </w:t>
      </w:r>
      <w:r w:rsidR="00954B8B" w:rsidRPr="00954B8B">
        <w:t xml:space="preserve">Aggregate, masonry and soil material recovered for reprocessing increased by </w:t>
      </w:r>
      <w:r w:rsidR="00CF19A5">
        <w:t>3.5</w:t>
      </w:r>
      <w:r w:rsidR="00954B8B" w:rsidRPr="00954B8B">
        <w:t xml:space="preserve"> per cent to 6.54 Mt since 2018–19.</w:t>
      </w:r>
    </w:p>
    <w:bookmarkEnd w:id="16"/>
    <w:p w14:paraId="6EC53133" w14:textId="447E20FD" w:rsidR="00954B8B" w:rsidRPr="00954B8B" w:rsidRDefault="007D11FD" w:rsidP="00A73696">
      <w:pPr>
        <w:pStyle w:val="casestudybox"/>
      </w:pPr>
      <w:r w:rsidRPr="00A73696">
        <w:t>»</w:t>
      </w:r>
      <w:r>
        <w:t xml:space="preserve"> </w:t>
      </w:r>
      <w:r w:rsidR="00954B8B" w:rsidRPr="00954B8B">
        <w:t>Ninety-seven per cent of the total aggregate, masonry and soil material recovered for reprocessing was sourced from the C&amp;D sector.</w:t>
      </w:r>
    </w:p>
    <w:bookmarkEnd w:id="17"/>
    <w:p w14:paraId="6F937E22" w14:textId="0D1B77BD" w:rsidR="0002447A" w:rsidRDefault="00CE4255" w:rsidP="001A55F1">
      <w:pPr>
        <w:spacing w:before="240"/>
      </w:pPr>
      <w:r>
        <w:t>In 2019</w:t>
      </w:r>
      <w:r w:rsidR="00F07D91">
        <w:t>–</w:t>
      </w:r>
      <w:r>
        <w:t>20, the amount of aggregate, masonry and soil recovered for reprocessing</w:t>
      </w:r>
      <w:r w:rsidR="0002447A">
        <w:t xml:space="preserve"> in Victoria</w:t>
      </w:r>
      <w:r>
        <w:t xml:space="preserve"> was 6.54 </w:t>
      </w:r>
      <w:r w:rsidR="00F65324">
        <w:t>Mt</w:t>
      </w:r>
      <w:r>
        <w:t xml:space="preserve">, an increase of </w:t>
      </w:r>
      <w:r w:rsidR="00CF19A5">
        <w:t>3.5</w:t>
      </w:r>
      <w:r>
        <w:t xml:space="preserve"> per cent from </w:t>
      </w:r>
      <w:r w:rsidR="0002447A">
        <w:t>2018</w:t>
      </w:r>
      <w:r w:rsidR="00EC6D92">
        <w:t>–</w:t>
      </w:r>
      <w:r w:rsidR="0002447A">
        <w:t>19.</w:t>
      </w:r>
      <w:r>
        <w:t xml:space="preserve"> This is a smaller increase </w:t>
      </w:r>
      <w:r w:rsidR="0002447A">
        <w:t>than previously observed in</w:t>
      </w:r>
      <w:r>
        <w:t xml:space="preserve"> 2017</w:t>
      </w:r>
      <w:r w:rsidR="00F07D91">
        <w:t>–</w:t>
      </w:r>
      <w:r>
        <w:t>18 and 2018</w:t>
      </w:r>
      <w:r w:rsidR="00F07D91">
        <w:t>–</w:t>
      </w:r>
      <w:r>
        <w:t xml:space="preserve">19 but demonstrates a continuing </w:t>
      </w:r>
      <w:r w:rsidR="00E512FD">
        <w:t xml:space="preserve">upward </w:t>
      </w:r>
      <w:r>
        <w:t>trend</w:t>
      </w:r>
      <w:r w:rsidR="0002447A">
        <w:t xml:space="preserve"> in the recover</w:t>
      </w:r>
      <w:r w:rsidR="00631741">
        <w:t xml:space="preserve">y of aggregates, </w:t>
      </w:r>
      <w:proofErr w:type="gramStart"/>
      <w:r w:rsidR="00631741">
        <w:t>masonry</w:t>
      </w:r>
      <w:proofErr w:type="gramEnd"/>
      <w:r w:rsidR="00631741">
        <w:t xml:space="preserve"> and soil</w:t>
      </w:r>
      <w:r w:rsidR="0002447A">
        <w:t>.</w:t>
      </w:r>
    </w:p>
    <w:p w14:paraId="222D6298" w14:textId="68AA3053" w:rsidR="00CE4255" w:rsidRDefault="0002447A" w:rsidP="00CE4255">
      <w:r>
        <w:t>Since</w:t>
      </w:r>
      <w:r w:rsidR="00CE4255">
        <w:t xml:space="preserve"> 20</w:t>
      </w:r>
      <w:r>
        <w:t>10–11</w:t>
      </w:r>
      <w:r w:rsidR="00CE4255">
        <w:t xml:space="preserve">, there has been a </w:t>
      </w:r>
      <w:r w:rsidR="00CF19A5">
        <w:t>55.9</w:t>
      </w:r>
      <w:r w:rsidR="00CE4255">
        <w:t> per cent increase in the total amount of aggregate, masonry and soil recovered for reprocessing.</w:t>
      </w:r>
      <w:r w:rsidR="00243202">
        <w:t xml:space="preserve"> </w:t>
      </w:r>
      <w:r w:rsidR="00243202">
        <w:fldChar w:fldCharType="begin"/>
      </w:r>
      <w:r w:rsidR="00243202">
        <w:instrText xml:space="preserve"> REF _Ref72496473 \h </w:instrText>
      </w:r>
      <w:r w:rsidR="00243202">
        <w:fldChar w:fldCharType="separate"/>
      </w:r>
      <w:r w:rsidR="00176C53">
        <w:t xml:space="preserve">Figure </w:t>
      </w:r>
      <w:r w:rsidR="00176C53">
        <w:rPr>
          <w:noProof/>
        </w:rPr>
        <w:t>1</w:t>
      </w:r>
      <w:r w:rsidR="00243202">
        <w:fldChar w:fldCharType="end"/>
      </w:r>
      <w:r w:rsidR="00CE4255">
        <w:t xml:space="preserve"> shows the trend over the last 1</w:t>
      </w:r>
      <w:r w:rsidR="00667F9B">
        <w:t>0 y</w:t>
      </w:r>
      <w:r w:rsidR="00CE4255">
        <w:t>ears. This increase has been due to continued land clearing associated with new housing developments and infrastructure developments such as rail and roadworks.</w:t>
      </w:r>
    </w:p>
    <w:p w14:paraId="11C9DEB0" w14:textId="572038FA" w:rsidR="00261D72" w:rsidRDefault="00243202" w:rsidP="00243202">
      <w:pPr>
        <w:pStyle w:val="FigureCaption"/>
        <w:rPr>
          <w:lang w:eastAsia="en-AU"/>
        </w:rPr>
      </w:pPr>
      <w:bookmarkStart w:id="18" w:name="_Ref72496473"/>
      <w:bookmarkStart w:id="19" w:name="_Toc77087501"/>
      <w:r>
        <w:t xml:space="preserve">Figure </w:t>
      </w:r>
      <w:r w:rsidR="0085736C">
        <w:fldChar w:fldCharType="begin"/>
      </w:r>
      <w:r w:rsidR="0085736C">
        <w:instrText xml:space="preserve"> SEQ Figure \* ARABIC </w:instrText>
      </w:r>
      <w:r w:rsidR="0085736C">
        <w:fldChar w:fldCharType="separate"/>
      </w:r>
      <w:r w:rsidR="00176C53">
        <w:rPr>
          <w:noProof/>
        </w:rPr>
        <w:t>1</w:t>
      </w:r>
      <w:r w:rsidR="0085736C">
        <w:rPr>
          <w:noProof/>
        </w:rPr>
        <w:fldChar w:fldCharType="end"/>
      </w:r>
      <w:bookmarkEnd w:id="18"/>
      <w:r>
        <w:t xml:space="preserve">: </w:t>
      </w:r>
      <w:r w:rsidR="00261D72" w:rsidRPr="00261D72">
        <w:rPr>
          <w:lang w:eastAsia="en-AU"/>
        </w:rPr>
        <w:t xml:space="preserve">Aggregates, masonry </w:t>
      </w:r>
      <w:r w:rsidR="00B06B8C">
        <w:rPr>
          <w:lang w:eastAsia="en-AU"/>
        </w:rPr>
        <w:t>and</w:t>
      </w:r>
      <w:r w:rsidR="00B06B8C" w:rsidRPr="00261D72">
        <w:rPr>
          <w:lang w:eastAsia="en-AU"/>
        </w:rPr>
        <w:t xml:space="preserve"> </w:t>
      </w:r>
      <w:r w:rsidR="00261D72" w:rsidRPr="00261D72">
        <w:rPr>
          <w:lang w:eastAsia="en-AU"/>
        </w:rPr>
        <w:t>soil waste recovered for reprocessing</w:t>
      </w:r>
      <w:r w:rsidR="00E82CE7">
        <w:rPr>
          <w:lang w:eastAsia="en-AU"/>
        </w:rPr>
        <w:t xml:space="preserve"> </w:t>
      </w:r>
      <w:r w:rsidR="00E82CE7">
        <w:t>(</w:t>
      </w:r>
      <w:r w:rsidR="00280084">
        <w:t>k</w:t>
      </w:r>
      <w:r w:rsidR="00280084">
        <w:rPr>
          <w:rFonts w:ascii="Arial" w:hAnsi="Arial" w:cs="Arial"/>
        </w:rPr>
        <w:t>t</w:t>
      </w:r>
      <w:r w:rsidR="00E82CE7">
        <w:t>)</w:t>
      </w:r>
      <w:r w:rsidR="00D83B6D">
        <w:rPr>
          <w:lang w:eastAsia="en-AU"/>
        </w:rPr>
        <w:t xml:space="preserve"> in</w:t>
      </w:r>
      <w:r w:rsidR="00D83B6D" w:rsidRPr="00261D72">
        <w:rPr>
          <w:lang w:eastAsia="en-AU"/>
        </w:rPr>
        <w:t xml:space="preserve"> </w:t>
      </w:r>
      <w:r w:rsidR="00261D72" w:rsidRPr="00261D72">
        <w:rPr>
          <w:lang w:eastAsia="en-AU"/>
        </w:rPr>
        <w:t>Victoria</w:t>
      </w:r>
      <w:r w:rsidR="00D83B6D">
        <w:rPr>
          <w:lang w:eastAsia="en-AU"/>
        </w:rPr>
        <w:t>,</w:t>
      </w:r>
      <w:r w:rsidR="00261D72" w:rsidRPr="00261D72">
        <w:rPr>
          <w:lang w:eastAsia="en-AU"/>
        </w:rPr>
        <w:t xml:space="preserve"> 2010</w:t>
      </w:r>
      <w:r w:rsidR="00F07D91">
        <w:rPr>
          <w:lang w:eastAsia="en-AU"/>
        </w:rPr>
        <w:t>–</w:t>
      </w:r>
      <w:r w:rsidR="00261D72" w:rsidRPr="00261D72">
        <w:rPr>
          <w:lang w:eastAsia="en-AU"/>
        </w:rPr>
        <w:t>11 to 2019</w:t>
      </w:r>
      <w:r w:rsidR="00F07D91">
        <w:rPr>
          <w:lang w:eastAsia="en-AU"/>
        </w:rPr>
        <w:t>–</w:t>
      </w:r>
      <w:r w:rsidR="00261D72" w:rsidRPr="00261D72">
        <w:rPr>
          <w:lang w:eastAsia="en-AU"/>
        </w:rPr>
        <w:t>20</w:t>
      </w:r>
      <w:bookmarkEnd w:id="19"/>
    </w:p>
    <w:p w14:paraId="422C1884" w14:textId="276A949A" w:rsidR="00CE4255" w:rsidRDefault="001A3CA8" w:rsidP="00CE4255">
      <w:pPr>
        <w:rPr>
          <w:lang w:eastAsia="en-AU"/>
        </w:rPr>
      </w:pPr>
      <w:r>
        <w:rPr>
          <w:noProof/>
          <w:lang w:eastAsia="en-AU"/>
        </w:rPr>
        <w:drawing>
          <wp:inline distT="0" distB="0" distL="0" distR="0" wp14:anchorId="0FDA0158" wp14:editId="788DE165">
            <wp:extent cx="4930140" cy="2301240"/>
            <wp:effectExtent l="0" t="0" r="3810" b="381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30140" cy="2301240"/>
                    </a:xfrm>
                    <a:prstGeom prst="rect">
                      <a:avLst/>
                    </a:prstGeom>
                    <a:noFill/>
                  </pic:spPr>
                </pic:pic>
              </a:graphicData>
            </a:graphic>
          </wp:inline>
        </w:drawing>
      </w:r>
    </w:p>
    <w:p w14:paraId="127146E4" w14:textId="09DE700B" w:rsidR="00AB68D4" w:rsidRDefault="00AB68D4" w:rsidP="00CE4255">
      <w:r>
        <w:t>Concrete, bricks, clean fill (including rock and excavation stone) and rubble contributed to 9</w:t>
      </w:r>
      <w:r w:rsidR="00FF2BB3">
        <w:t>1.7</w:t>
      </w:r>
      <w:r w:rsidR="00667F9B">
        <w:t> p</w:t>
      </w:r>
      <w:r>
        <w:t>er cent of all aggregate, masonry and soil waste types recovered</w:t>
      </w:r>
      <w:r w:rsidR="001E2342">
        <w:t xml:space="preserve">. </w:t>
      </w:r>
      <w:r w:rsidR="001E2342">
        <w:fldChar w:fldCharType="begin"/>
      </w:r>
      <w:r w:rsidR="001E2342">
        <w:instrText xml:space="preserve"> REF _Ref77065247 \h </w:instrText>
      </w:r>
      <w:r w:rsidR="001E2342">
        <w:fldChar w:fldCharType="separate"/>
      </w:r>
      <w:r w:rsidR="00176C53">
        <w:t xml:space="preserve">Figure </w:t>
      </w:r>
      <w:r w:rsidR="00176C53">
        <w:rPr>
          <w:noProof/>
        </w:rPr>
        <w:t>2</w:t>
      </w:r>
      <w:r w:rsidR="001E2342">
        <w:fldChar w:fldCharType="end"/>
      </w:r>
      <w:r w:rsidR="001E2342">
        <w:t xml:space="preserve"> shows the breakdown with </w:t>
      </w:r>
      <w:r w:rsidR="00FF2BB3">
        <w:t>48.7</w:t>
      </w:r>
      <w:r w:rsidR="00CE4255">
        <w:t> per cent concrete at 3.</w:t>
      </w:r>
      <w:r w:rsidR="005A0CF1">
        <w:t>18</w:t>
      </w:r>
      <w:r w:rsidR="00CE4255">
        <w:t> </w:t>
      </w:r>
      <w:r w:rsidR="00F65324">
        <w:t>Mt</w:t>
      </w:r>
      <w:r>
        <w:t>,</w:t>
      </w:r>
      <w:r w:rsidR="00CE4255">
        <w:t xml:space="preserve"> </w:t>
      </w:r>
      <w:r w:rsidR="00FF2BB3">
        <w:t>19.8</w:t>
      </w:r>
      <w:r w:rsidR="00CE4255">
        <w:t> per cent bricks at 1.29 </w:t>
      </w:r>
      <w:r w:rsidR="00F65324">
        <w:t>Mt</w:t>
      </w:r>
      <w:r w:rsidR="00CE4255">
        <w:t>,</w:t>
      </w:r>
      <w:r w:rsidR="00CE4255" w:rsidRPr="00895F17">
        <w:t xml:space="preserve"> </w:t>
      </w:r>
      <w:r w:rsidR="00FF2BB3">
        <w:t>13.7</w:t>
      </w:r>
      <w:r w:rsidR="00CE4255">
        <w:t xml:space="preserve"> per </w:t>
      </w:r>
      <w:r w:rsidR="00CE4255">
        <w:lastRenderedPageBreak/>
        <w:t>cent clean fill at 0.89 </w:t>
      </w:r>
      <w:r w:rsidR="00F65324">
        <w:t>Mt</w:t>
      </w:r>
      <w:r>
        <w:t xml:space="preserve"> and </w:t>
      </w:r>
      <w:r w:rsidR="00272092">
        <w:t>9</w:t>
      </w:r>
      <w:r w:rsidR="00FF2BB3">
        <w:t>.6</w:t>
      </w:r>
      <w:r w:rsidR="00667F9B">
        <w:t> p</w:t>
      </w:r>
      <w:r>
        <w:t>er cent rubble at 0.6</w:t>
      </w:r>
      <w:r w:rsidR="00667F9B">
        <w:t>3 </w:t>
      </w:r>
      <w:r w:rsidR="00F65324">
        <w:t>Mt</w:t>
      </w:r>
      <w:r w:rsidR="00CE4255">
        <w:t xml:space="preserve">. </w:t>
      </w:r>
      <w:r>
        <w:t xml:space="preserve">Aggregate, bitumen, </w:t>
      </w:r>
      <w:proofErr w:type="gramStart"/>
      <w:r>
        <w:t>asphalt</w:t>
      </w:r>
      <w:proofErr w:type="gramEnd"/>
      <w:r>
        <w:t xml:space="preserve"> and plaster contributed to the remaining </w:t>
      </w:r>
      <w:r w:rsidR="00FF2BB3">
        <w:t>8.3</w:t>
      </w:r>
      <w:r w:rsidR="00667F9B">
        <w:t> p</w:t>
      </w:r>
      <w:r>
        <w:t>er cent</w:t>
      </w:r>
      <w:r w:rsidR="006D4735">
        <w:t>.</w:t>
      </w:r>
    </w:p>
    <w:p w14:paraId="0FF9B5BA" w14:textId="7A9A7613" w:rsidR="001E2342" w:rsidRDefault="001E2342" w:rsidP="001E2342">
      <w:pPr>
        <w:pStyle w:val="FigureCaption"/>
      </w:pPr>
      <w:bookmarkStart w:id="20" w:name="_Ref77065247"/>
      <w:bookmarkStart w:id="21" w:name="_Toc77087502"/>
      <w:r>
        <w:t xml:space="preserve">Figure </w:t>
      </w:r>
      <w:r w:rsidR="0085736C">
        <w:fldChar w:fldCharType="begin"/>
      </w:r>
      <w:r w:rsidR="0085736C">
        <w:instrText xml:space="preserve"> SEQ Figure \* AR</w:instrText>
      </w:r>
      <w:r w:rsidR="0085736C">
        <w:instrText xml:space="preserve">ABIC </w:instrText>
      </w:r>
      <w:r w:rsidR="0085736C">
        <w:fldChar w:fldCharType="separate"/>
      </w:r>
      <w:r w:rsidR="00176C53">
        <w:rPr>
          <w:noProof/>
        </w:rPr>
        <w:t>2</w:t>
      </w:r>
      <w:r w:rsidR="0085736C">
        <w:rPr>
          <w:noProof/>
        </w:rPr>
        <w:fldChar w:fldCharType="end"/>
      </w:r>
      <w:bookmarkEnd w:id="20"/>
      <w:r>
        <w:t>: Material type composition</w:t>
      </w:r>
      <w:r w:rsidRPr="00DB1C49">
        <w:t xml:space="preserve"> </w:t>
      </w:r>
      <w:r>
        <w:t>of a</w:t>
      </w:r>
      <w:r w:rsidRPr="00895F17">
        <w:t xml:space="preserve">ggregate, masonry </w:t>
      </w:r>
      <w:r>
        <w:t>and</w:t>
      </w:r>
      <w:r w:rsidRPr="00895F17">
        <w:t xml:space="preserve"> soil</w:t>
      </w:r>
      <w:r>
        <w:t xml:space="preserve"> wastes</w:t>
      </w:r>
      <w:r w:rsidRPr="00A0608D">
        <w:t xml:space="preserve"> </w:t>
      </w:r>
      <w:r w:rsidRPr="003B3E01">
        <w:t>recovered for reprocessing</w:t>
      </w:r>
      <w:r>
        <w:t xml:space="preserve"> in Victoria, 2019–20</w:t>
      </w:r>
      <w:bookmarkEnd w:id="21"/>
    </w:p>
    <w:p w14:paraId="540E5105" w14:textId="017FF5D6" w:rsidR="001E2342" w:rsidRPr="001E2342" w:rsidRDefault="00840D60" w:rsidP="001E2342">
      <w:r>
        <w:rPr>
          <w:noProof/>
        </w:rPr>
        <w:drawing>
          <wp:inline distT="0" distB="0" distL="0" distR="0" wp14:anchorId="6452F97F" wp14:editId="6EF029F3">
            <wp:extent cx="4968240" cy="2270760"/>
            <wp:effectExtent l="0" t="0" r="381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68240" cy="2270760"/>
                    </a:xfrm>
                    <a:prstGeom prst="rect">
                      <a:avLst/>
                    </a:prstGeom>
                    <a:noFill/>
                  </pic:spPr>
                </pic:pic>
              </a:graphicData>
            </a:graphic>
          </wp:inline>
        </w:drawing>
      </w:r>
    </w:p>
    <w:p w14:paraId="3010FBCB" w14:textId="490EE6CD" w:rsidR="00F32357" w:rsidRDefault="00F32357" w:rsidP="00CE4255">
      <w:r>
        <w:fldChar w:fldCharType="begin"/>
      </w:r>
      <w:r>
        <w:instrText xml:space="preserve"> REF _Ref72496517 \h </w:instrText>
      </w:r>
      <w:r>
        <w:fldChar w:fldCharType="separate"/>
      </w:r>
      <w:r w:rsidR="00176C53" w:rsidRPr="00E20D5E">
        <w:t xml:space="preserve">Figure </w:t>
      </w:r>
      <w:r w:rsidR="00176C53">
        <w:rPr>
          <w:noProof/>
        </w:rPr>
        <w:t>3</w:t>
      </w:r>
      <w:r>
        <w:fldChar w:fldCharType="end"/>
      </w:r>
      <w:r>
        <w:t xml:space="preserve"> shows the </w:t>
      </w:r>
      <w:r w:rsidR="00440FA9">
        <w:t xml:space="preserve">weight </w:t>
      </w:r>
      <w:r>
        <w:t xml:space="preserve">(in </w:t>
      </w:r>
      <w:r w:rsidR="00440FA9">
        <w:t>kilotonnes</w:t>
      </w:r>
      <w:r>
        <w:t xml:space="preserve">) of </w:t>
      </w:r>
      <w:r w:rsidRPr="006634EB">
        <w:t>waste recovered for reprocessing</w:t>
      </w:r>
      <w:r>
        <w:t xml:space="preserve"> by source sector and by material type</w:t>
      </w:r>
      <w:r w:rsidR="00440FA9">
        <w:t>.</w:t>
      </w:r>
      <w:r>
        <w:t xml:space="preserve"> </w:t>
      </w:r>
      <w:r w:rsidR="00440FA9">
        <w:t>T</w:t>
      </w:r>
      <w:r>
        <w:t>he materials were sourced primarily from the C&amp;D sector, which accounted for 9</w:t>
      </w:r>
      <w:r w:rsidR="00FF2BB3">
        <w:t>6.8</w:t>
      </w:r>
      <w:r>
        <w:t> per cent of the total aggregate, masonry and soil materials recovered for reprocessing. This is a consistent trend observed over the last 10 years.</w:t>
      </w:r>
    </w:p>
    <w:p w14:paraId="0158256D" w14:textId="3B8C37D4" w:rsidR="00E313D0" w:rsidRDefault="00CE4255" w:rsidP="00CE4255">
      <w:r>
        <w:t xml:space="preserve">While MSW </w:t>
      </w:r>
      <w:r w:rsidR="006D4735">
        <w:t xml:space="preserve">and C&amp;I </w:t>
      </w:r>
      <w:r>
        <w:t xml:space="preserve">account for only </w:t>
      </w:r>
      <w:r w:rsidR="00667F9B">
        <w:t>1</w:t>
      </w:r>
      <w:r w:rsidR="00FF2BB3">
        <w:t>.5</w:t>
      </w:r>
      <w:r w:rsidR="00667F9B">
        <w:t> p</w:t>
      </w:r>
      <w:r>
        <w:t>er cent</w:t>
      </w:r>
      <w:r w:rsidR="006D4735">
        <w:t xml:space="preserve"> and </w:t>
      </w:r>
      <w:r w:rsidR="00FF2BB3">
        <w:t>1.8</w:t>
      </w:r>
      <w:r w:rsidR="00667F9B">
        <w:t> p</w:t>
      </w:r>
      <w:r w:rsidR="006D4735">
        <w:t>er cent respectively</w:t>
      </w:r>
      <w:r>
        <w:t xml:space="preserve"> of </w:t>
      </w:r>
      <w:r w:rsidR="00AB68D4">
        <w:t>the</w:t>
      </w:r>
      <w:r>
        <w:t xml:space="preserve"> recovered</w:t>
      </w:r>
      <w:r w:rsidR="00AB68D4">
        <w:t xml:space="preserve"> aggregate, </w:t>
      </w:r>
      <w:proofErr w:type="gramStart"/>
      <w:r w:rsidR="00AB68D4">
        <w:t>masonry</w:t>
      </w:r>
      <w:proofErr w:type="gramEnd"/>
      <w:r w:rsidR="00AB68D4">
        <w:t xml:space="preserve"> and soil</w:t>
      </w:r>
      <w:r w:rsidR="006D4735">
        <w:t xml:space="preserve"> for reprocessing</w:t>
      </w:r>
      <w:r>
        <w:t xml:space="preserve">, </w:t>
      </w:r>
      <w:r w:rsidR="006D4735">
        <w:t>MSW</w:t>
      </w:r>
      <w:r>
        <w:t xml:space="preserve"> increased by </w:t>
      </w:r>
      <w:r w:rsidR="00162187">
        <w:t>9</w:t>
      </w:r>
      <w:r w:rsidR="00FF2BB3">
        <w:t>1.6</w:t>
      </w:r>
      <w:r w:rsidR="00667F9B">
        <w:t> p</w:t>
      </w:r>
      <w:r>
        <w:t>er cent to 0.</w:t>
      </w:r>
      <w:r w:rsidR="00162187">
        <w:t>1</w:t>
      </w:r>
      <w:r w:rsidR="00667F9B">
        <w:t>0 </w:t>
      </w:r>
      <w:r w:rsidR="00F65324">
        <w:t>Mt</w:t>
      </w:r>
      <w:r w:rsidR="006D4735">
        <w:t xml:space="preserve"> </w:t>
      </w:r>
      <w:r>
        <w:t xml:space="preserve">and </w:t>
      </w:r>
      <w:r w:rsidR="006D4735">
        <w:t xml:space="preserve">C&amp;I </w:t>
      </w:r>
      <w:r>
        <w:t xml:space="preserve">increased by </w:t>
      </w:r>
      <w:r w:rsidR="00FF2BB3">
        <w:t>111.8</w:t>
      </w:r>
      <w:r w:rsidR="00667F9B">
        <w:t> p</w:t>
      </w:r>
      <w:r w:rsidR="006D4735">
        <w:t>er cent</w:t>
      </w:r>
      <w:r>
        <w:t xml:space="preserve"> to </w:t>
      </w:r>
      <w:r w:rsidR="00162187">
        <w:t>0.1</w:t>
      </w:r>
      <w:r w:rsidR="00667F9B">
        <w:t>1 </w:t>
      </w:r>
      <w:r w:rsidR="00F65324">
        <w:t>Mt</w:t>
      </w:r>
      <w:r>
        <w:t>.</w:t>
      </w:r>
    </w:p>
    <w:p w14:paraId="201EAD6C" w14:textId="03E6E2BF" w:rsidR="00CE4255" w:rsidRDefault="00243202" w:rsidP="00E20D5E">
      <w:pPr>
        <w:pStyle w:val="FigureCaption"/>
        <w:rPr>
          <w:szCs w:val="19"/>
        </w:rPr>
      </w:pPr>
      <w:bookmarkStart w:id="22" w:name="_Ref72496517"/>
      <w:bookmarkStart w:id="23" w:name="_Toc77087503"/>
      <w:bookmarkStart w:id="24" w:name="_Hlk76646026"/>
      <w:r w:rsidRPr="00E20D5E">
        <w:t xml:space="preserve">Figure </w:t>
      </w:r>
      <w:r w:rsidR="0085736C">
        <w:fldChar w:fldCharType="begin"/>
      </w:r>
      <w:r w:rsidR="0085736C">
        <w:instrText xml:space="preserve"> SEQ Figure \* ARABIC </w:instrText>
      </w:r>
      <w:r w:rsidR="0085736C">
        <w:fldChar w:fldCharType="separate"/>
      </w:r>
      <w:r w:rsidR="00176C53">
        <w:rPr>
          <w:noProof/>
        </w:rPr>
        <w:t>3</w:t>
      </w:r>
      <w:r w:rsidR="0085736C">
        <w:rPr>
          <w:noProof/>
        </w:rPr>
        <w:fldChar w:fldCharType="end"/>
      </w:r>
      <w:bookmarkEnd w:id="22"/>
      <w:r w:rsidRPr="00E20D5E">
        <w:t xml:space="preserve">: </w:t>
      </w:r>
      <w:r w:rsidR="00261D72" w:rsidRPr="00E20D5E">
        <w:t xml:space="preserve">Aggregate, </w:t>
      </w:r>
      <w:proofErr w:type="gramStart"/>
      <w:r w:rsidR="00261D72" w:rsidRPr="00E20D5E">
        <w:t>masonry</w:t>
      </w:r>
      <w:proofErr w:type="gramEnd"/>
      <w:r w:rsidR="00261D72" w:rsidRPr="00E20D5E">
        <w:t xml:space="preserve"> and soil material type </w:t>
      </w:r>
      <w:r w:rsidR="00E313D0">
        <w:t xml:space="preserve">composition </w:t>
      </w:r>
      <w:r w:rsidR="00261D72" w:rsidRPr="00E20D5E">
        <w:t>by source sector</w:t>
      </w:r>
      <w:r w:rsidR="00B06B8C" w:rsidRPr="00E20D5E">
        <w:t xml:space="preserve"> in</w:t>
      </w:r>
      <w:r w:rsidR="00261D72" w:rsidRPr="00E20D5E">
        <w:t xml:space="preserve"> Victo</w:t>
      </w:r>
      <w:r w:rsidR="00261D72" w:rsidRPr="00E20D5E">
        <w:rPr>
          <w:szCs w:val="19"/>
        </w:rPr>
        <w:t>ria, 2019</w:t>
      </w:r>
      <w:r w:rsidR="00F07D91" w:rsidRPr="00E20D5E">
        <w:rPr>
          <w:szCs w:val="19"/>
        </w:rPr>
        <w:t>–</w:t>
      </w:r>
      <w:r w:rsidR="00261D72" w:rsidRPr="00E20D5E">
        <w:rPr>
          <w:szCs w:val="19"/>
        </w:rPr>
        <w:t>20</w:t>
      </w:r>
      <w:bookmarkEnd w:id="23"/>
    </w:p>
    <w:p w14:paraId="53EFB9D6" w14:textId="6B100713" w:rsidR="00CE4255" w:rsidRDefault="00EA50B6" w:rsidP="00CE4255">
      <w:r>
        <w:rPr>
          <w:noProof/>
        </w:rPr>
        <w:drawing>
          <wp:inline distT="0" distB="0" distL="0" distR="0" wp14:anchorId="4765BD8F" wp14:editId="65F091A1">
            <wp:extent cx="4876800" cy="2156460"/>
            <wp:effectExtent l="0" t="0" r="0" b="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76800" cy="2156460"/>
                    </a:xfrm>
                    <a:prstGeom prst="rect">
                      <a:avLst/>
                    </a:prstGeom>
                    <a:noFill/>
                  </pic:spPr>
                </pic:pic>
              </a:graphicData>
            </a:graphic>
          </wp:inline>
        </w:drawing>
      </w:r>
      <w:bookmarkEnd w:id="24"/>
    </w:p>
    <w:bookmarkEnd w:id="15"/>
    <w:p w14:paraId="2EB92A06" w14:textId="4EAB6ACC" w:rsidR="00CE4255" w:rsidRDefault="00243202" w:rsidP="00CE4255">
      <w:r>
        <w:fldChar w:fldCharType="begin"/>
      </w:r>
      <w:r>
        <w:instrText xml:space="preserve"> REF _Ref72496573 \h </w:instrText>
      </w:r>
      <w:r>
        <w:fldChar w:fldCharType="separate"/>
      </w:r>
      <w:r w:rsidR="00176C53">
        <w:t xml:space="preserve">Figure </w:t>
      </w:r>
      <w:r w:rsidR="00176C53">
        <w:rPr>
          <w:noProof/>
        </w:rPr>
        <w:t>4</w:t>
      </w:r>
      <w:r>
        <w:fldChar w:fldCharType="end"/>
      </w:r>
      <w:r>
        <w:t xml:space="preserve"> </w:t>
      </w:r>
      <w:r w:rsidR="00CE4255">
        <w:t>presents the material type composition of waste recovered for reprocessing by source sector in 201</w:t>
      </w:r>
      <w:r w:rsidR="006D4735">
        <w:t>9</w:t>
      </w:r>
      <w:r w:rsidR="00CE4255">
        <w:t>–</w:t>
      </w:r>
      <w:r w:rsidR="006D4735">
        <w:t>20</w:t>
      </w:r>
      <w:r w:rsidR="00CE4255">
        <w:t xml:space="preserve">. </w:t>
      </w:r>
      <w:r w:rsidR="00D62BB2">
        <w:t xml:space="preserve">The figure </w:t>
      </w:r>
      <w:r w:rsidR="00CE4255">
        <w:t>shows:</w:t>
      </w:r>
    </w:p>
    <w:p w14:paraId="108DF582" w14:textId="067DD4AA" w:rsidR="00CE4255" w:rsidRPr="00935993" w:rsidRDefault="00044C09" w:rsidP="006D4735">
      <w:pPr>
        <w:pStyle w:val="ListBullet"/>
      </w:pPr>
      <w:r>
        <w:t>r</w:t>
      </w:r>
      <w:r w:rsidRPr="00935993">
        <w:t>ubbl</w:t>
      </w:r>
      <w:r w:rsidR="00CE4255" w:rsidRPr="00935993">
        <w:t xml:space="preserve">e was the </w:t>
      </w:r>
      <w:r w:rsidR="006D4735">
        <w:t>main</w:t>
      </w:r>
      <w:r w:rsidR="00CE4255" w:rsidRPr="00935993">
        <w:t xml:space="preserve"> material recovered from the MSW source sector at </w:t>
      </w:r>
      <w:r w:rsidR="00FF2BB3">
        <w:t>71</w:t>
      </w:r>
      <w:r w:rsidR="00E91204">
        <w:t>.0</w:t>
      </w:r>
      <w:r w:rsidR="00667F9B">
        <w:t> </w:t>
      </w:r>
      <w:r w:rsidR="00667F9B" w:rsidRPr="00935993">
        <w:t>p</w:t>
      </w:r>
      <w:r w:rsidR="00CE4255" w:rsidRPr="00935993">
        <w:t>er cent</w:t>
      </w:r>
      <w:r w:rsidR="006D4735">
        <w:t xml:space="preserve"> (</w:t>
      </w:r>
      <w:r w:rsidR="00162187">
        <w:t>0</w:t>
      </w:r>
      <w:r w:rsidR="006D4735">
        <w:t>.0</w:t>
      </w:r>
      <w:r w:rsidR="00667F9B">
        <w:t>7 </w:t>
      </w:r>
      <w:r w:rsidR="00F65324">
        <w:t>Mt</w:t>
      </w:r>
      <w:r w:rsidR="006D4735">
        <w:t>)</w:t>
      </w:r>
    </w:p>
    <w:p w14:paraId="1C9958B7" w14:textId="18CA0397" w:rsidR="006D4735" w:rsidRPr="006D4735" w:rsidRDefault="00044C09" w:rsidP="006D4735">
      <w:pPr>
        <w:pStyle w:val="ListBullet"/>
      </w:pPr>
      <w:r>
        <w:t>r</w:t>
      </w:r>
      <w:r w:rsidRPr="006D4735">
        <w:t xml:space="preserve">ubble </w:t>
      </w:r>
      <w:r w:rsidR="00CE4255" w:rsidRPr="006D4735">
        <w:t>and plaster were the main materials recovered from the C&amp;I source sector, at 42</w:t>
      </w:r>
      <w:r w:rsidR="00FF2BB3">
        <w:t>.4</w:t>
      </w:r>
      <w:r w:rsidR="00CE4255" w:rsidRPr="006D4735">
        <w:t xml:space="preserve"> per cent </w:t>
      </w:r>
      <w:r w:rsidR="006D4735">
        <w:t>(</w:t>
      </w:r>
      <w:r w:rsidR="00162187">
        <w:t>0</w:t>
      </w:r>
      <w:r w:rsidR="006D4735">
        <w:t>.0</w:t>
      </w:r>
      <w:r w:rsidR="00667F9B">
        <w:t>5 </w:t>
      </w:r>
      <w:r w:rsidR="00F65324">
        <w:t>Mt</w:t>
      </w:r>
      <w:r w:rsidR="006D4735">
        <w:t xml:space="preserve">) </w:t>
      </w:r>
      <w:r w:rsidR="00CE4255" w:rsidRPr="006D4735">
        <w:t>and 2</w:t>
      </w:r>
      <w:r w:rsidR="00FF2BB3">
        <w:t>7.9</w:t>
      </w:r>
      <w:r w:rsidR="00CE4255" w:rsidRPr="006D4735">
        <w:t xml:space="preserve"> per cent </w:t>
      </w:r>
      <w:r w:rsidR="006D4735">
        <w:t>(</w:t>
      </w:r>
      <w:r w:rsidR="00162187">
        <w:t>0</w:t>
      </w:r>
      <w:r w:rsidR="006D4735">
        <w:t>.0</w:t>
      </w:r>
      <w:r w:rsidR="00667F9B">
        <w:t>3 </w:t>
      </w:r>
      <w:r w:rsidR="00F65324">
        <w:t>Mt</w:t>
      </w:r>
      <w:r w:rsidR="006D4735">
        <w:t xml:space="preserve">) </w:t>
      </w:r>
      <w:r w:rsidR="00CE4255" w:rsidRPr="006D4735">
        <w:t>respectively</w:t>
      </w:r>
    </w:p>
    <w:p w14:paraId="793B3D4A" w14:textId="32732F66" w:rsidR="00935993" w:rsidRPr="00475A9B" w:rsidRDefault="00044C09" w:rsidP="00475A9B">
      <w:pPr>
        <w:pStyle w:val="ListBullet"/>
      </w:pPr>
      <w:r>
        <w:t>concrete</w:t>
      </w:r>
      <w:r w:rsidR="00475A9B">
        <w:t xml:space="preserve">, </w:t>
      </w:r>
      <w:proofErr w:type="gramStart"/>
      <w:r w:rsidR="00475A9B">
        <w:t>bricks</w:t>
      </w:r>
      <w:proofErr w:type="gramEnd"/>
      <w:r w:rsidR="00475A9B">
        <w:t xml:space="preserve"> and clean fill were the main materials recovered from the C&amp;D source sector at</w:t>
      </w:r>
      <w:r w:rsidR="00CE4255" w:rsidRPr="006D4735">
        <w:t xml:space="preserve"> </w:t>
      </w:r>
      <w:r w:rsidR="00007A56">
        <w:t>49.7</w:t>
      </w:r>
      <w:r w:rsidR="00CE4255" w:rsidRPr="006D4735">
        <w:t xml:space="preserve"> per cent </w:t>
      </w:r>
      <w:r w:rsidR="00475A9B">
        <w:t>(3.1</w:t>
      </w:r>
      <w:r w:rsidR="00667F9B">
        <w:t>4 </w:t>
      </w:r>
      <w:r w:rsidR="00F65324">
        <w:t>Mt</w:t>
      </w:r>
      <w:r w:rsidR="00475A9B">
        <w:t>)</w:t>
      </w:r>
      <w:r w:rsidR="00CE4255" w:rsidRPr="006D4735">
        <w:t>, 20</w:t>
      </w:r>
      <w:r w:rsidR="00007A56">
        <w:t xml:space="preserve">.4 </w:t>
      </w:r>
      <w:r w:rsidR="00CE4255" w:rsidRPr="006D4735">
        <w:t xml:space="preserve">per cent </w:t>
      </w:r>
      <w:r w:rsidR="00475A9B">
        <w:t>(1.2</w:t>
      </w:r>
      <w:r w:rsidR="00667F9B">
        <w:t>9 </w:t>
      </w:r>
      <w:r w:rsidR="00F65324">
        <w:t>Mt</w:t>
      </w:r>
      <w:r w:rsidR="00475A9B">
        <w:t>) and</w:t>
      </w:r>
      <w:r w:rsidR="00CE4255" w:rsidRPr="006D4735">
        <w:t xml:space="preserve"> 14</w:t>
      </w:r>
      <w:r w:rsidR="00007A56">
        <w:t>.1</w:t>
      </w:r>
      <w:r w:rsidR="00CE4255" w:rsidRPr="006D4735">
        <w:t xml:space="preserve"> per cent </w:t>
      </w:r>
      <w:r w:rsidR="00475A9B">
        <w:t>(0.8</w:t>
      </w:r>
      <w:r w:rsidR="00667F9B">
        <w:t>9 </w:t>
      </w:r>
      <w:r w:rsidR="00F65324">
        <w:t>Mt</w:t>
      </w:r>
      <w:r w:rsidR="00475A9B">
        <w:t>)</w:t>
      </w:r>
      <w:r w:rsidR="00E22026">
        <w:t xml:space="preserve"> respectively</w:t>
      </w:r>
      <w:r w:rsidR="00475A9B">
        <w:t>.</w:t>
      </w:r>
    </w:p>
    <w:p w14:paraId="59DDDBD6" w14:textId="2B6FD03E" w:rsidR="00CE4255" w:rsidRDefault="00243202" w:rsidP="00243202">
      <w:pPr>
        <w:pStyle w:val="FigureCaption"/>
      </w:pPr>
      <w:bookmarkStart w:id="25" w:name="_Ref72496573"/>
      <w:bookmarkStart w:id="26" w:name="_Toc77087504"/>
      <w:bookmarkStart w:id="27" w:name="_Hlk76646054"/>
      <w:r>
        <w:lastRenderedPageBreak/>
        <w:t xml:space="preserve">Figure </w:t>
      </w:r>
      <w:r w:rsidR="0085736C">
        <w:fldChar w:fldCharType="begin"/>
      </w:r>
      <w:r w:rsidR="0085736C">
        <w:instrText xml:space="preserve"> SEQ Figure \* ARABIC </w:instrText>
      </w:r>
      <w:r w:rsidR="0085736C">
        <w:fldChar w:fldCharType="separate"/>
      </w:r>
      <w:r w:rsidR="00176C53">
        <w:rPr>
          <w:noProof/>
        </w:rPr>
        <w:t>4</w:t>
      </w:r>
      <w:r w:rsidR="0085736C">
        <w:rPr>
          <w:noProof/>
        </w:rPr>
        <w:fldChar w:fldCharType="end"/>
      </w:r>
      <w:bookmarkEnd w:id="25"/>
      <w:r>
        <w:t xml:space="preserve">: </w:t>
      </w:r>
      <w:r w:rsidR="008E156D">
        <w:t>Material type composition</w:t>
      </w:r>
      <w:r w:rsidR="008E156D" w:rsidRPr="00DB1C49">
        <w:t xml:space="preserve"> </w:t>
      </w:r>
      <w:r w:rsidR="008E156D">
        <w:t>of a</w:t>
      </w:r>
      <w:r w:rsidR="008E156D" w:rsidRPr="00895F17">
        <w:t xml:space="preserve">ggregate, masonry </w:t>
      </w:r>
      <w:r w:rsidR="008E156D">
        <w:t>and</w:t>
      </w:r>
      <w:r w:rsidR="008E156D" w:rsidRPr="00895F17">
        <w:t xml:space="preserve"> soil</w:t>
      </w:r>
      <w:r w:rsidR="008E156D">
        <w:t xml:space="preserve"> wastes</w:t>
      </w:r>
      <w:r w:rsidR="008E156D" w:rsidRPr="00A0608D">
        <w:t xml:space="preserve"> </w:t>
      </w:r>
      <w:r w:rsidR="008E156D" w:rsidRPr="003B3E01">
        <w:t>recovered for reprocessing</w:t>
      </w:r>
      <w:r w:rsidR="008E156D">
        <w:t xml:space="preserve"> by source sector</w:t>
      </w:r>
      <w:r w:rsidR="00B06B8C">
        <w:t xml:space="preserve"> in </w:t>
      </w:r>
      <w:r w:rsidR="008E156D">
        <w:t>Victoria, 2019</w:t>
      </w:r>
      <w:r w:rsidR="00F07D91">
        <w:t>–</w:t>
      </w:r>
      <w:r w:rsidR="008E156D">
        <w:t>20</w:t>
      </w:r>
      <w:bookmarkEnd w:id="26"/>
    </w:p>
    <w:p w14:paraId="2F477929" w14:textId="1C2A5D52" w:rsidR="002105B4" w:rsidRDefault="00007A56" w:rsidP="002105B4">
      <w:r>
        <w:rPr>
          <w:noProof/>
        </w:rPr>
        <w:drawing>
          <wp:inline distT="0" distB="0" distL="0" distR="0" wp14:anchorId="1664FF95" wp14:editId="0E865241">
            <wp:extent cx="5089480" cy="2001328"/>
            <wp:effectExtent l="0" t="0" r="0" b="0"/>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a:picLocks noChangeAspect="1" noChangeArrowheads="1"/>
                    </pic:cNvPicPr>
                  </pic:nvPicPr>
                  <pic:blipFill rotWithShape="1">
                    <a:blip r:embed="rId32">
                      <a:extLst>
                        <a:ext uri="{28A0092B-C50C-407E-A947-70E740481C1C}">
                          <a14:useLocalDpi xmlns:a14="http://schemas.microsoft.com/office/drawing/2010/main" val="0"/>
                        </a:ext>
                      </a:extLst>
                    </a:blip>
                    <a:srcRect t="6469" b="10141"/>
                    <a:stretch/>
                  </pic:blipFill>
                  <pic:spPr bwMode="auto">
                    <a:xfrm>
                      <a:off x="0" y="0"/>
                      <a:ext cx="5090160" cy="2001595"/>
                    </a:xfrm>
                    <a:prstGeom prst="rect">
                      <a:avLst/>
                    </a:prstGeom>
                    <a:noFill/>
                    <a:ln>
                      <a:noFill/>
                    </a:ln>
                    <a:extLst>
                      <a:ext uri="{53640926-AAD7-44D8-BBD7-CCE9431645EC}">
                        <a14:shadowObscured xmlns:a14="http://schemas.microsoft.com/office/drawing/2010/main"/>
                      </a:ext>
                    </a:extLst>
                  </pic:spPr>
                </pic:pic>
              </a:graphicData>
            </a:graphic>
          </wp:inline>
        </w:drawing>
      </w:r>
      <w:bookmarkEnd w:id="27"/>
    </w:p>
    <w:p w14:paraId="5E7D2EDE" w14:textId="3E00CF69" w:rsidR="00954B8B" w:rsidRDefault="00D6074C" w:rsidP="00954B8B">
      <w:pPr>
        <w:pStyle w:val="Heading1Numbered"/>
      </w:pPr>
      <w:bookmarkStart w:id="28" w:name="_Ref80095013"/>
      <w:bookmarkStart w:id="29" w:name="_Toc83108366"/>
      <w:r>
        <w:t>Glass</w:t>
      </w:r>
      <w:bookmarkEnd w:id="28"/>
      <w:bookmarkEnd w:id="29"/>
    </w:p>
    <w:p w14:paraId="6BCF6AC7" w14:textId="4C95A09B" w:rsidR="00954B8B" w:rsidRDefault="007D11FD" w:rsidP="00A73696">
      <w:pPr>
        <w:pStyle w:val="casestudybox"/>
      </w:pPr>
      <w:r w:rsidRPr="00A73696">
        <w:t>»</w:t>
      </w:r>
      <w:r>
        <w:t xml:space="preserve"> </w:t>
      </w:r>
      <w:r w:rsidR="00954B8B">
        <w:t>Glass</w:t>
      </w:r>
      <w:r w:rsidR="00954B8B" w:rsidRPr="00A70672">
        <w:t xml:space="preserve"> </w:t>
      </w:r>
      <w:r w:rsidR="00954B8B">
        <w:t>material recovered for reprocessing increased by 54</w:t>
      </w:r>
      <w:r w:rsidR="00E91204">
        <w:t>.5</w:t>
      </w:r>
      <w:r w:rsidR="00954B8B">
        <w:t xml:space="preserve"> per cent to </w:t>
      </w:r>
      <w:r w:rsidR="001E7FDA">
        <w:t>30</w:t>
      </w:r>
      <w:r w:rsidR="00D64C63">
        <w:t>0.7</w:t>
      </w:r>
      <w:r w:rsidR="001E7FDA">
        <w:t xml:space="preserve"> kt</w:t>
      </w:r>
      <w:r w:rsidR="00954B8B">
        <w:t xml:space="preserve"> since 2018–19. This is likely to be due to material sourced from long-term glass stockpiles.</w:t>
      </w:r>
    </w:p>
    <w:p w14:paraId="43FD69C4" w14:textId="07260CD3" w:rsidR="00954B8B" w:rsidRDefault="007D11FD" w:rsidP="00A73696">
      <w:pPr>
        <w:pStyle w:val="casestudybox"/>
      </w:pPr>
      <w:r w:rsidRPr="00A73696">
        <w:t>»</w:t>
      </w:r>
      <w:r>
        <w:t xml:space="preserve"> </w:t>
      </w:r>
      <w:r w:rsidR="00F64B5E">
        <w:t>95.6</w:t>
      </w:r>
      <w:r w:rsidR="00007A56">
        <w:t xml:space="preserve"> </w:t>
      </w:r>
      <w:r w:rsidR="00954B8B">
        <w:t>per cent of the total glass material recovered for reprocessing was sourced from MSW.</w:t>
      </w:r>
    </w:p>
    <w:p w14:paraId="590AE496" w14:textId="3DF8DDDF" w:rsidR="001A55F1" w:rsidRDefault="0076192D" w:rsidP="001A55F1">
      <w:pPr>
        <w:spacing w:before="240"/>
      </w:pPr>
      <w:r>
        <w:t xml:space="preserve">In 2019–20, </w:t>
      </w:r>
      <w:r w:rsidR="001E7FDA">
        <w:t>30</w:t>
      </w:r>
      <w:r w:rsidR="005441C5">
        <w:t>0.7</w:t>
      </w:r>
      <w:r w:rsidR="001E7FDA">
        <w:t xml:space="preserve"> kt</w:t>
      </w:r>
      <w:r>
        <w:t xml:space="preserve"> of glass was recovered for reprocessing in Victoria, a 54</w:t>
      </w:r>
      <w:r w:rsidR="00007A56">
        <w:t>.5</w:t>
      </w:r>
      <w:r>
        <w:t> per cent increase from 2018–19</w:t>
      </w:r>
      <w:r w:rsidR="004F0658">
        <w:t xml:space="preserve"> (</w:t>
      </w:r>
      <w:r w:rsidR="001E7FDA">
        <w:t>19</w:t>
      </w:r>
      <w:r w:rsidR="00A87CA0">
        <w:t>4.7</w:t>
      </w:r>
      <w:r w:rsidR="001E7FDA">
        <w:t xml:space="preserve"> kt</w:t>
      </w:r>
      <w:r w:rsidR="004F0658">
        <w:t>).</w:t>
      </w:r>
    </w:p>
    <w:p w14:paraId="770C53C9" w14:textId="4242C0BF" w:rsidR="00787A98" w:rsidRDefault="00787A98" w:rsidP="00787A98">
      <w:r>
        <w:t>Over the last 1</w:t>
      </w:r>
      <w:r w:rsidR="00667F9B">
        <w:t>0 y</w:t>
      </w:r>
      <w:r>
        <w:t xml:space="preserve">ears, the amount of glass </w:t>
      </w:r>
      <w:r w:rsidR="00FE5C09">
        <w:t xml:space="preserve">that has been </w:t>
      </w:r>
      <w:r>
        <w:t xml:space="preserve">reprocessed has varied considerably, as illustrated in </w:t>
      </w:r>
      <w:r>
        <w:fldChar w:fldCharType="begin"/>
      </w:r>
      <w:r>
        <w:instrText xml:space="preserve"> REF _Ref72496642 \h </w:instrText>
      </w:r>
      <w:r>
        <w:fldChar w:fldCharType="separate"/>
      </w:r>
      <w:r w:rsidR="00176C53">
        <w:t xml:space="preserve">Figure </w:t>
      </w:r>
      <w:r w:rsidR="00176C53">
        <w:rPr>
          <w:noProof/>
        </w:rPr>
        <w:t>5</w:t>
      </w:r>
      <w:r>
        <w:fldChar w:fldCharType="end"/>
      </w:r>
      <w:r>
        <w:t xml:space="preserve">. The reduction in quantities witnessed between 2014–15 and 2016–17 </w:t>
      </w:r>
      <w:r w:rsidR="00250196">
        <w:t>is likely</w:t>
      </w:r>
      <w:r>
        <w:t xml:space="preserve"> to signify glass material entering storage following </w:t>
      </w:r>
      <w:r w:rsidR="008525E7">
        <w:t>material recovery facility (</w:t>
      </w:r>
      <w:r>
        <w:t>MRF</w:t>
      </w:r>
      <w:r w:rsidR="008525E7">
        <w:t>)</w:t>
      </w:r>
      <w:r>
        <w:t xml:space="preserve"> sorting and then the rise in 2017–18 due to material coming out of storage. Similarly, the fall and rise witnessed from 2018–19 to 2019–20 is thought to largely be associated with stockpiling of unsorted kerbside recyclable materials by former MRF operator SKM in 2018–19 followed by industry addressing some of this unsorted material and reprocessing stockpiled glass in 2019–20.</w:t>
      </w:r>
    </w:p>
    <w:p w14:paraId="02B2A84F" w14:textId="3B3D1578" w:rsidR="00544FAC" w:rsidRDefault="00243202" w:rsidP="00250196">
      <w:pPr>
        <w:pStyle w:val="FigureCaption"/>
      </w:pPr>
      <w:bookmarkStart w:id="30" w:name="_Ref72496642"/>
      <w:bookmarkStart w:id="31" w:name="_Ref72505296"/>
      <w:bookmarkStart w:id="32" w:name="_Toc77087505"/>
      <w:r>
        <w:t xml:space="preserve">Figure </w:t>
      </w:r>
      <w:r w:rsidR="0085736C">
        <w:fldChar w:fldCharType="begin"/>
      </w:r>
      <w:r w:rsidR="0085736C">
        <w:instrText xml:space="preserve"> SEQ Figure \* ARABIC </w:instrText>
      </w:r>
      <w:r w:rsidR="0085736C">
        <w:fldChar w:fldCharType="separate"/>
      </w:r>
      <w:r w:rsidR="00176C53">
        <w:rPr>
          <w:noProof/>
        </w:rPr>
        <w:t>5</w:t>
      </w:r>
      <w:r w:rsidR="0085736C">
        <w:rPr>
          <w:noProof/>
        </w:rPr>
        <w:fldChar w:fldCharType="end"/>
      </w:r>
      <w:bookmarkEnd w:id="30"/>
      <w:r>
        <w:t xml:space="preserve">: </w:t>
      </w:r>
      <w:r w:rsidR="008E156D" w:rsidRPr="00936964">
        <w:t>Glass waste recovered for reprocessing</w:t>
      </w:r>
      <w:r w:rsidR="00E82CE7">
        <w:t xml:space="preserve"> (</w:t>
      </w:r>
      <w:r w:rsidR="001555FB">
        <w:rPr>
          <w:rFonts w:ascii="Arial" w:hAnsi="Arial" w:cs="Arial"/>
        </w:rPr>
        <w:t>kt</w:t>
      </w:r>
      <w:r w:rsidR="00E82CE7">
        <w:t>)</w:t>
      </w:r>
      <w:r w:rsidR="008E156D" w:rsidRPr="00936964">
        <w:t xml:space="preserve"> in Victoria,</w:t>
      </w:r>
      <w:r w:rsidR="008E156D">
        <w:t xml:space="preserve"> 2010</w:t>
      </w:r>
      <w:r w:rsidR="00F07D91">
        <w:t>–</w:t>
      </w:r>
      <w:r w:rsidR="008E156D">
        <w:t>11 to 2019</w:t>
      </w:r>
      <w:r w:rsidR="00F07D91">
        <w:t>–</w:t>
      </w:r>
      <w:r w:rsidR="008E156D">
        <w:t>20</w:t>
      </w:r>
      <w:bookmarkEnd w:id="31"/>
      <w:bookmarkEnd w:id="32"/>
    </w:p>
    <w:p w14:paraId="3B4294AC" w14:textId="1CDDEEE3" w:rsidR="007070E9" w:rsidRDefault="00EA50B6" w:rsidP="00544FAC">
      <w:r>
        <w:rPr>
          <w:noProof/>
        </w:rPr>
        <w:drawing>
          <wp:inline distT="0" distB="0" distL="0" distR="0" wp14:anchorId="0D3ADDD9" wp14:editId="424A030D">
            <wp:extent cx="4930140" cy="2400300"/>
            <wp:effectExtent l="0" t="0" r="3810"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30140" cy="2400300"/>
                    </a:xfrm>
                    <a:prstGeom prst="rect">
                      <a:avLst/>
                    </a:prstGeom>
                    <a:noFill/>
                  </pic:spPr>
                </pic:pic>
              </a:graphicData>
            </a:graphic>
          </wp:inline>
        </w:drawing>
      </w:r>
    </w:p>
    <w:p w14:paraId="399DBEB0" w14:textId="3DFAB230" w:rsidR="00544FAC" w:rsidRPr="00544FAC" w:rsidRDefault="00257F91" w:rsidP="00544FAC">
      <w:r>
        <w:lastRenderedPageBreak/>
        <w:t>Glass recovered for reprocessing has increased by 5</w:t>
      </w:r>
      <w:r w:rsidR="00667F9B">
        <w:t>4</w:t>
      </w:r>
      <w:r w:rsidR="00007A56">
        <w:t>.5</w:t>
      </w:r>
      <w:r w:rsidR="00667F9B">
        <w:t> p</w:t>
      </w:r>
      <w:r>
        <w:t xml:space="preserve">er cent </w:t>
      </w:r>
      <w:r w:rsidR="00EC2C95">
        <w:t>s</w:t>
      </w:r>
      <w:r w:rsidR="007070E9">
        <w:t>ince 2010</w:t>
      </w:r>
      <w:r w:rsidR="00F07D91">
        <w:t>–</w:t>
      </w:r>
      <w:r w:rsidR="007070E9">
        <w:t>11</w:t>
      </w:r>
      <w:r w:rsidR="00544FAC">
        <w:t>.</w:t>
      </w:r>
      <w:r w:rsidR="00824E21">
        <w:t xml:space="preserve"> Since this </w:t>
      </w:r>
      <w:r w:rsidR="00D11258">
        <w:t>considers</w:t>
      </w:r>
      <w:r w:rsidR="00824E21">
        <w:t xml:space="preserve"> an anomalous amount of glass reprocessing coming from </w:t>
      </w:r>
      <w:r w:rsidR="00D11258">
        <w:t xml:space="preserve">the </w:t>
      </w:r>
      <w:proofErr w:type="gramStart"/>
      <w:r w:rsidR="00D11258">
        <w:t>aforementioned stockpiles</w:t>
      </w:r>
      <w:proofErr w:type="gramEnd"/>
      <w:r w:rsidR="00824E21">
        <w:t xml:space="preserve">, it is likely </w:t>
      </w:r>
      <w:r w:rsidR="00D11258">
        <w:t xml:space="preserve">that </w:t>
      </w:r>
      <w:r w:rsidR="0036445E">
        <w:t>this</w:t>
      </w:r>
      <w:r w:rsidR="00D11258">
        <w:t xml:space="preserve"> degree of increased reprocessing </w:t>
      </w:r>
      <w:r w:rsidR="0036445E">
        <w:t xml:space="preserve">is somewhat </w:t>
      </w:r>
      <w:r w:rsidR="00D11258">
        <w:t xml:space="preserve">distorted. If considering a smoothed distribution of these reported tonnages, </w:t>
      </w:r>
      <w:r w:rsidR="00041904">
        <w:t>in other words,</w:t>
      </w:r>
      <w:r w:rsidR="0036445E">
        <w:t xml:space="preserve"> </w:t>
      </w:r>
      <w:r w:rsidR="00041904">
        <w:t>if redistributing these values across the time</w:t>
      </w:r>
      <w:r w:rsidR="00D010F6">
        <w:t xml:space="preserve"> </w:t>
      </w:r>
      <w:r w:rsidR="00041904">
        <w:t>frame of the abnormal stockpiles</w:t>
      </w:r>
      <w:r w:rsidR="00D11258">
        <w:t xml:space="preserve">, it is more likely that the </w:t>
      </w:r>
      <w:r w:rsidR="0036445E">
        <w:t xml:space="preserve">typical </w:t>
      </w:r>
      <w:r w:rsidR="00D11258">
        <w:t xml:space="preserve">increased </w:t>
      </w:r>
      <w:r w:rsidR="0036445E">
        <w:t xml:space="preserve">glass </w:t>
      </w:r>
      <w:r w:rsidR="00D11258">
        <w:t xml:space="preserve">reprocessing compared </w:t>
      </w:r>
      <w:r w:rsidR="00191C3B">
        <w:t xml:space="preserve">with </w:t>
      </w:r>
      <w:r w:rsidR="00D11258">
        <w:t>2010–11 is in the range of 5</w:t>
      </w:r>
      <w:r w:rsidR="00041904">
        <w:t xml:space="preserve"> to </w:t>
      </w:r>
      <w:r w:rsidR="00D11258">
        <w:t>15</w:t>
      </w:r>
      <w:r w:rsidR="00041904">
        <w:t> </w:t>
      </w:r>
      <w:r w:rsidR="00D11258">
        <w:t xml:space="preserve">per cent. </w:t>
      </w:r>
      <w:r w:rsidR="0036445E">
        <w:t xml:space="preserve">Taking either view, smoothed or unsmoothed, there has been a </w:t>
      </w:r>
      <w:r w:rsidR="00250196">
        <w:t xml:space="preserve">continued </w:t>
      </w:r>
      <w:r w:rsidR="0036445E">
        <w:t xml:space="preserve">rise in reprocessed glass </w:t>
      </w:r>
      <w:r w:rsidR="00544FAC">
        <w:t xml:space="preserve">due to growing </w:t>
      </w:r>
      <w:r w:rsidR="009665B4">
        <w:t xml:space="preserve">domestic </w:t>
      </w:r>
      <w:r w:rsidR="00544FAC">
        <w:t xml:space="preserve">demand and reuse of </w:t>
      </w:r>
      <w:r w:rsidR="00544FAC" w:rsidRPr="001E7DF0">
        <w:t>glass for road construction and asphalt production.</w:t>
      </w:r>
    </w:p>
    <w:p w14:paraId="0BEB7EF3" w14:textId="1556CEFC" w:rsidR="00561C1D" w:rsidRDefault="0036445E" w:rsidP="00561C1D">
      <w:r>
        <w:t xml:space="preserve">MSW remains the primary sector from which glass material is recovered. </w:t>
      </w:r>
      <w:r w:rsidR="00561C1D">
        <w:t>In 2019</w:t>
      </w:r>
      <w:r w:rsidR="00F07D91">
        <w:t>–</w:t>
      </w:r>
      <w:r w:rsidR="00561C1D">
        <w:t>20</w:t>
      </w:r>
      <w:r>
        <w:t xml:space="preserve">, </w:t>
      </w:r>
      <w:r w:rsidR="00561C1D" w:rsidRPr="001249D6">
        <w:t>9</w:t>
      </w:r>
      <w:r w:rsidR="0083554E">
        <w:t>5</w:t>
      </w:r>
      <w:r w:rsidR="00007A56">
        <w:t>.6</w:t>
      </w:r>
      <w:r w:rsidR="00561C1D">
        <w:t xml:space="preserve"> per cent </w:t>
      </w:r>
      <w:r w:rsidR="00561C1D" w:rsidRPr="001249D6">
        <w:t xml:space="preserve">of </w:t>
      </w:r>
      <w:r w:rsidR="00561C1D">
        <w:t xml:space="preserve">total </w:t>
      </w:r>
      <w:r w:rsidR="00561C1D" w:rsidRPr="001249D6">
        <w:t>glass came from MSW</w:t>
      </w:r>
      <w:r>
        <w:t xml:space="preserve"> as illustrated by </w:t>
      </w:r>
      <w:r>
        <w:fldChar w:fldCharType="begin"/>
      </w:r>
      <w:r>
        <w:instrText xml:space="preserve"> REF _Ref72496688 \h </w:instrText>
      </w:r>
      <w:r>
        <w:fldChar w:fldCharType="separate"/>
      </w:r>
      <w:r w:rsidR="00176C53">
        <w:t xml:space="preserve">Figure </w:t>
      </w:r>
      <w:r w:rsidR="00176C53">
        <w:rPr>
          <w:noProof/>
        </w:rPr>
        <w:t>6</w:t>
      </w:r>
      <w:r>
        <w:fldChar w:fldCharType="end"/>
      </w:r>
      <w:r w:rsidR="00F32357">
        <w:t>, and most of this was container glass</w:t>
      </w:r>
      <w:r w:rsidR="00561C1D">
        <w:t xml:space="preserve">. </w:t>
      </w:r>
      <w:r w:rsidR="00F32357">
        <w:t xml:space="preserve">Around </w:t>
      </w:r>
      <w:r w:rsidR="00667F9B">
        <w:t>4</w:t>
      </w:r>
      <w:r w:rsidR="00007A56">
        <w:t>.1</w:t>
      </w:r>
      <w:r w:rsidR="00667F9B">
        <w:t> p</w:t>
      </w:r>
      <w:r>
        <w:t>er cent</w:t>
      </w:r>
      <w:r w:rsidR="00561C1D">
        <w:t xml:space="preserve"> came from the C&amp;I sector</w:t>
      </w:r>
      <w:r w:rsidR="00F32357">
        <w:t xml:space="preserve"> and </w:t>
      </w:r>
      <w:r w:rsidR="00007A56">
        <w:t>0.3</w:t>
      </w:r>
      <w:r w:rsidR="00667F9B">
        <w:t> p</w:t>
      </w:r>
      <w:r w:rsidR="00561C1D">
        <w:t>er cent came from the C&amp;D sector</w:t>
      </w:r>
      <w:r w:rsidR="00F32357">
        <w:t>, and this was mostly mixed glass</w:t>
      </w:r>
      <w:r>
        <w:t>.</w:t>
      </w:r>
    </w:p>
    <w:p w14:paraId="520EA07E" w14:textId="660843D4" w:rsidR="00F32357" w:rsidRDefault="00243202" w:rsidP="000101DA">
      <w:pPr>
        <w:pStyle w:val="FigureCaption"/>
      </w:pPr>
      <w:bookmarkStart w:id="33" w:name="_Ref72496688"/>
      <w:bookmarkStart w:id="34" w:name="_Toc77087506"/>
      <w:r>
        <w:t xml:space="preserve">Figure </w:t>
      </w:r>
      <w:r w:rsidR="0085736C">
        <w:fldChar w:fldCharType="begin"/>
      </w:r>
      <w:r w:rsidR="0085736C">
        <w:instrText xml:space="preserve"> SEQ Figure \* ARABIC </w:instrText>
      </w:r>
      <w:r w:rsidR="0085736C">
        <w:fldChar w:fldCharType="separate"/>
      </w:r>
      <w:r w:rsidR="00176C53">
        <w:rPr>
          <w:noProof/>
        </w:rPr>
        <w:t>6</w:t>
      </w:r>
      <w:r w:rsidR="0085736C">
        <w:rPr>
          <w:noProof/>
        </w:rPr>
        <w:fldChar w:fldCharType="end"/>
      </w:r>
      <w:bookmarkEnd w:id="33"/>
      <w:r>
        <w:t xml:space="preserve">: </w:t>
      </w:r>
      <w:r w:rsidR="008E156D">
        <w:t>Sector composition</w:t>
      </w:r>
      <w:r w:rsidR="008E156D" w:rsidRPr="00DB1C49">
        <w:t xml:space="preserve"> </w:t>
      </w:r>
      <w:r w:rsidR="008E156D">
        <w:t>of glass material</w:t>
      </w:r>
      <w:r w:rsidR="008E156D" w:rsidRPr="00A0608D">
        <w:t xml:space="preserve"> </w:t>
      </w:r>
      <w:r w:rsidR="008E156D" w:rsidRPr="003B3E01">
        <w:t>recovered for</w:t>
      </w:r>
      <w:r w:rsidR="008E156D">
        <w:t xml:space="preserve"> reprocessing</w:t>
      </w:r>
      <w:r w:rsidR="00E82CE7">
        <w:t xml:space="preserve"> (by weight)</w:t>
      </w:r>
      <w:r w:rsidR="00B06B8C">
        <w:t xml:space="preserve"> in </w:t>
      </w:r>
      <w:r w:rsidR="008E156D">
        <w:t>Victoria, 2019</w:t>
      </w:r>
      <w:r w:rsidR="00F07D91">
        <w:t>–</w:t>
      </w:r>
      <w:r w:rsidR="008E156D">
        <w:t>20</w:t>
      </w:r>
      <w:bookmarkEnd w:id="34"/>
    </w:p>
    <w:p w14:paraId="6964F0F0" w14:textId="13C9F4C2" w:rsidR="00CE4255" w:rsidRDefault="00007A56" w:rsidP="00CE4255">
      <w:r>
        <w:rPr>
          <w:noProof/>
        </w:rPr>
        <w:drawing>
          <wp:inline distT="0" distB="0" distL="0" distR="0" wp14:anchorId="1538A89F" wp14:editId="520E4E92">
            <wp:extent cx="5028991" cy="2147977"/>
            <wp:effectExtent l="0" t="0" r="635" b="5080"/>
            <wp:docPr id="41"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a:extLst>
                        <a:ext uri="{C183D7F6-B498-43B3-948B-1728B52AA6E4}">
                          <adec:decorative xmlns:adec="http://schemas.microsoft.com/office/drawing/2017/decorative" val="1"/>
                        </a:ext>
                      </a:extLst>
                    </pic:cNvPr>
                    <pic:cNvPicPr>
                      <a:picLocks noChangeAspect="1" noChangeArrowheads="1"/>
                    </pic:cNvPicPr>
                  </pic:nvPicPr>
                  <pic:blipFill rotWithShape="1">
                    <a:blip r:embed="rId34">
                      <a:extLst>
                        <a:ext uri="{28A0092B-C50C-407E-A947-70E740481C1C}">
                          <a14:useLocalDpi xmlns:a14="http://schemas.microsoft.com/office/drawing/2010/main" val="0"/>
                        </a:ext>
                      </a:extLst>
                    </a:blip>
                    <a:srcRect t="3605" b="6618"/>
                    <a:stretch/>
                  </pic:blipFill>
                  <pic:spPr bwMode="auto">
                    <a:xfrm>
                      <a:off x="0" y="0"/>
                      <a:ext cx="5029200" cy="2148066"/>
                    </a:xfrm>
                    <a:prstGeom prst="rect">
                      <a:avLst/>
                    </a:prstGeom>
                    <a:noFill/>
                    <a:ln>
                      <a:noFill/>
                    </a:ln>
                    <a:extLst>
                      <a:ext uri="{53640926-AAD7-44D8-BBD7-CCE9431645EC}">
                        <a14:shadowObscured xmlns:a14="http://schemas.microsoft.com/office/drawing/2010/main"/>
                      </a:ext>
                    </a:extLst>
                  </pic:spPr>
                </pic:pic>
              </a:graphicData>
            </a:graphic>
          </wp:inline>
        </w:drawing>
      </w:r>
    </w:p>
    <w:p w14:paraId="1BA839A2" w14:textId="61D22AD9" w:rsidR="00954B8B" w:rsidRDefault="00CE4255" w:rsidP="00954B8B">
      <w:pPr>
        <w:pStyle w:val="Heading1Numbered"/>
      </w:pPr>
      <w:bookmarkStart w:id="35" w:name="_Toc78881408"/>
      <w:bookmarkStart w:id="36" w:name="_Toc83108367"/>
      <w:r>
        <w:t>Metals</w:t>
      </w:r>
      <w:bookmarkEnd w:id="35"/>
      <w:bookmarkEnd w:id="36"/>
    </w:p>
    <w:p w14:paraId="14029E61" w14:textId="3B8AC7E2" w:rsidR="00954B8B" w:rsidRDefault="007D11FD" w:rsidP="00A73696">
      <w:pPr>
        <w:pStyle w:val="casestudybox"/>
      </w:pPr>
      <w:r w:rsidRPr="00A73696">
        <w:t>»</w:t>
      </w:r>
      <w:r>
        <w:t xml:space="preserve"> </w:t>
      </w:r>
      <w:r w:rsidR="00954B8B">
        <w:t>Metals material</w:t>
      </w:r>
      <w:r w:rsidR="00954B8B" w:rsidRPr="00A70672">
        <w:t xml:space="preserve"> </w:t>
      </w:r>
      <w:r w:rsidR="00954B8B">
        <w:t xml:space="preserve">recovered for reprocessing has remained steady with a 0.5 per cent increase to </w:t>
      </w:r>
      <w:r w:rsidR="00996ABD">
        <w:t>1</w:t>
      </w:r>
      <w:r w:rsidR="00A02813">
        <w:t>.</w:t>
      </w:r>
      <w:r w:rsidR="00996ABD">
        <w:t>48</w:t>
      </w:r>
      <w:r w:rsidR="00A02813">
        <w:t xml:space="preserve"> Mt</w:t>
      </w:r>
      <w:r w:rsidR="00954B8B">
        <w:t xml:space="preserve"> since 2018–19.</w:t>
      </w:r>
    </w:p>
    <w:p w14:paraId="4382B42C" w14:textId="7B0D7DFE" w:rsidR="00954B8B" w:rsidRDefault="007D11FD" w:rsidP="00A73696">
      <w:pPr>
        <w:pStyle w:val="casestudybox"/>
      </w:pPr>
      <w:r w:rsidRPr="00A73696">
        <w:t>»</w:t>
      </w:r>
      <w:r>
        <w:t xml:space="preserve"> </w:t>
      </w:r>
      <w:r w:rsidR="00954B8B">
        <w:t>Sixty-</w:t>
      </w:r>
      <w:r w:rsidR="00FE0A2A">
        <w:t>five point six</w:t>
      </w:r>
      <w:r w:rsidR="00954B8B">
        <w:t> per cent of the total metals material recovered for reprocessing was sourced from C&amp;I.</w:t>
      </w:r>
    </w:p>
    <w:p w14:paraId="6640CA81" w14:textId="79926836" w:rsidR="00954B8B" w:rsidRDefault="007D11FD" w:rsidP="00A73696">
      <w:pPr>
        <w:pStyle w:val="casestudybox"/>
      </w:pPr>
      <w:r w:rsidRPr="00A73696">
        <w:t>»</w:t>
      </w:r>
      <w:r>
        <w:t xml:space="preserve"> </w:t>
      </w:r>
      <w:r w:rsidR="00954B8B">
        <w:t>F</w:t>
      </w:r>
      <w:r w:rsidR="00954B8B" w:rsidRPr="005F6403">
        <w:t>errous metal was the main material recovered</w:t>
      </w:r>
      <w:r w:rsidR="00954B8B">
        <w:t xml:space="preserve"> from all sectors, accounting for 8</w:t>
      </w:r>
      <w:r w:rsidR="00FE0A2A">
        <w:t>6.9</w:t>
      </w:r>
      <w:r w:rsidR="00954B8B">
        <w:t> per cent of MSW (30</w:t>
      </w:r>
      <w:r w:rsidR="00A87CA0">
        <w:t>1.7</w:t>
      </w:r>
      <w:r w:rsidR="00954B8B">
        <w:t xml:space="preserve"> kt), </w:t>
      </w:r>
      <w:r w:rsidR="00FE0A2A">
        <w:t>63.2</w:t>
      </w:r>
      <w:r w:rsidR="00954B8B">
        <w:t> per cent of C&amp;I (615</w:t>
      </w:r>
      <w:r w:rsidR="00A87CA0">
        <w:t>.1</w:t>
      </w:r>
      <w:r w:rsidR="00954B8B">
        <w:t> kt) and 8</w:t>
      </w:r>
      <w:r w:rsidR="00FE0A2A">
        <w:t>7.9</w:t>
      </w:r>
      <w:r w:rsidR="00954B8B">
        <w:t> per cent of C&amp;D (14</w:t>
      </w:r>
      <w:r w:rsidR="00A87CA0">
        <w:t>2.8</w:t>
      </w:r>
      <w:r w:rsidR="00954B8B">
        <w:t> kt).</w:t>
      </w:r>
    </w:p>
    <w:p w14:paraId="3C724B29" w14:textId="76CDB2D2" w:rsidR="00427264" w:rsidRDefault="007040CF" w:rsidP="00A02813">
      <w:pPr>
        <w:spacing w:before="240"/>
      </w:pPr>
      <w:r>
        <w:t>O</w:t>
      </w:r>
      <w:r w:rsidR="00A428BE">
        <w:t>ver the last decade, metals have remained relatively steady in terms of tonnages recovered for reprocessing in Victoria</w:t>
      </w:r>
      <w:r w:rsidR="00FF2404">
        <w:t xml:space="preserve"> (see </w:t>
      </w:r>
      <w:r w:rsidR="00FF2404">
        <w:fldChar w:fldCharType="begin"/>
      </w:r>
      <w:r w:rsidR="00FF2404">
        <w:instrText xml:space="preserve"> REF _Ref72496723 \h </w:instrText>
      </w:r>
      <w:r w:rsidR="00FF2404">
        <w:fldChar w:fldCharType="separate"/>
      </w:r>
      <w:r w:rsidR="00176C53">
        <w:t xml:space="preserve">Figure </w:t>
      </w:r>
      <w:r w:rsidR="00176C53">
        <w:rPr>
          <w:noProof/>
        </w:rPr>
        <w:t>7</w:t>
      </w:r>
      <w:r w:rsidR="00FF2404">
        <w:fldChar w:fldCharType="end"/>
      </w:r>
      <w:r w:rsidR="00FF2404">
        <w:t>)</w:t>
      </w:r>
      <w:r w:rsidR="00A428BE">
        <w:t xml:space="preserve">. </w:t>
      </w:r>
      <w:r w:rsidR="00CE4255" w:rsidRPr="001D3763">
        <w:t xml:space="preserve">In </w:t>
      </w:r>
      <w:r w:rsidR="00CE4255">
        <w:t>2019</w:t>
      </w:r>
      <w:r w:rsidR="00F07D91">
        <w:t>–</w:t>
      </w:r>
      <w:r w:rsidR="00CE4255">
        <w:t>20</w:t>
      </w:r>
      <w:r w:rsidR="00CE4255" w:rsidRPr="001D3763">
        <w:t xml:space="preserve">, </w:t>
      </w:r>
      <w:r w:rsidR="00996ABD">
        <w:t>1</w:t>
      </w:r>
      <w:r w:rsidR="00A02813">
        <w:t>.48 Mt</w:t>
      </w:r>
      <w:r w:rsidR="00CE4255" w:rsidRPr="001D3763">
        <w:t xml:space="preserve"> of metal </w:t>
      </w:r>
      <w:r w:rsidR="00A037A3" w:rsidRPr="001D3763">
        <w:t>w</w:t>
      </w:r>
      <w:r w:rsidR="00A037A3">
        <w:t>as</w:t>
      </w:r>
      <w:r w:rsidR="00A037A3" w:rsidRPr="001D3763">
        <w:t xml:space="preserve"> </w:t>
      </w:r>
      <w:r w:rsidR="00CE4255" w:rsidRPr="001D3763">
        <w:t>recovered</w:t>
      </w:r>
      <w:r w:rsidR="006A5136">
        <w:t>,</w:t>
      </w:r>
      <w:r>
        <w:t xml:space="preserve"> a 0.5</w:t>
      </w:r>
      <w:r w:rsidR="00CE4255" w:rsidRPr="001D3763">
        <w:t xml:space="preserve"> per cent increase from </w:t>
      </w:r>
      <w:r w:rsidR="00CE4255">
        <w:t>2018</w:t>
      </w:r>
      <w:r w:rsidR="00F07D91">
        <w:t>–</w:t>
      </w:r>
      <w:r w:rsidR="00CE4255">
        <w:t>19</w:t>
      </w:r>
      <w:r w:rsidR="00CE4255" w:rsidRPr="001D3763">
        <w:t xml:space="preserve">. </w:t>
      </w:r>
      <w:r>
        <w:t xml:space="preserve">Since 2010–11 </w:t>
      </w:r>
      <w:r w:rsidR="00CE4255">
        <w:t>t</w:t>
      </w:r>
      <w:r w:rsidR="00CE4255" w:rsidRPr="001D3763">
        <w:t xml:space="preserve">here has been a </w:t>
      </w:r>
      <w:r w:rsidR="00CE4255">
        <w:t>slight</w:t>
      </w:r>
      <w:r w:rsidR="00CE4255" w:rsidRPr="001D3763">
        <w:t xml:space="preserve"> increase </w:t>
      </w:r>
      <w:r w:rsidR="00A428BE">
        <w:t xml:space="preserve">from </w:t>
      </w:r>
      <w:r w:rsidR="00996ABD">
        <w:t>1</w:t>
      </w:r>
      <w:r w:rsidR="00A02813">
        <w:t>.39 M</w:t>
      </w:r>
      <w:r w:rsidR="00996ABD">
        <w:t xml:space="preserve">t </w:t>
      </w:r>
      <w:r w:rsidR="00A428BE">
        <w:t xml:space="preserve">to </w:t>
      </w:r>
      <w:r w:rsidR="00996ABD">
        <w:t>1</w:t>
      </w:r>
      <w:r w:rsidR="00A02813">
        <w:t>.48 Mt</w:t>
      </w:r>
      <w:r w:rsidR="00A428BE">
        <w:t xml:space="preserve"> an increase of</w:t>
      </w:r>
      <w:r w:rsidR="00CE4255">
        <w:t xml:space="preserve"> </w:t>
      </w:r>
      <w:r w:rsidR="00FE0A2A">
        <w:t>6.6</w:t>
      </w:r>
      <w:r w:rsidR="00CE4255">
        <w:t> per cent.</w:t>
      </w:r>
    </w:p>
    <w:p w14:paraId="673CE5B9" w14:textId="16232C83" w:rsidR="00CE4255" w:rsidRDefault="00243202" w:rsidP="00243202">
      <w:pPr>
        <w:pStyle w:val="FigureCaption"/>
      </w:pPr>
      <w:bookmarkStart w:id="37" w:name="_Ref72496723"/>
      <w:bookmarkStart w:id="38" w:name="_Toc77087507"/>
      <w:r>
        <w:t xml:space="preserve">Figure </w:t>
      </w:r>
      <w:r w:rsidR="0085736C">
        <w:fldChar w:fldCharType="begin"/>
      </w:r>
      <w:r w:rsidR="0085736C">
        <w:instrText xml:space="preserve"> SEQ Figure \* ARABIC </w:instrText>
      </w:r>
      <w:r w:rsidR="0085736C">
        <w:fldChar w:fldCharType="separate"/>
      </w:r>
      <w:r w:rsidR="00176C53">
        <w:rPr>
          <w:noProof/>
        </w:rPr>
        <w:t>7</w:t>
      </w:r>
      <w:r w:rsidR="0085736C">
        <w:rPr>
          <w:noProof/>
        </w:rPr>
        <w:fldChar w:fldCharType="end"/>
      </w:r>
      <w:bookmarkEnd w:id="37"/>
      <w:r>
        <w:t xml:space="preserve">: </w:t>
      </w:r>
      <w:r w:rsidR="005F6403">
        <w:t>Metal</w:t>
      </w:r>
      <w:r w:rsidR="005F6403" w:rsidRPr="001A5146">
        <w:t xml:space="preserve"> </w:t>
      </w:r>
      <w:r w:rsidR="005F6403" w:rsidRPr="008967EB">
        <w:t>waste</w:t>
      </w:r>
      <w:r w:rsidR="005F6403">
        <w:t>s</w:t>
      </w:r>
      <w:r w:rsidR="005F6403" w:rsidRPr="008967EB">
        <w:t xml:space="preserve"> recovered for reprocessing</w:t>
      </w:r>
      <w:r w:rsidR="00E82CE7">
        <w:t xml:space="preserve"> (</w:t>
      </w:r>
      <w:r w:rsidR="000864EB">
        <w:rPr>
          <w:rFonts w:ascii="Arial" w:hAnsi="Arial" w:cs="Arial"/>
        </w:rPr>
        <w:t>kt</w:t>
      </w:r>
      <w:r w:rsidR="00E82CE7">
        <w:t>)</w:t>
      </w:r>
      <w:r w:rsidR="005F6403" w:rsidRPr="008967EB">
        <w:t xml:space="preserve"> in Victoria, </w:t>
      </w:r>
      <w:r w:rsidR="005F6403">
        <w:t>2010</w:t>
      </w:r>
      <w:r w:rsidR="00F07D91">
        <w:t>–</w:t>
      </w:r>
      <w:r w:rsidR="005F6403">
        <w:t>11</w:t>
      </w:r>
      <w:r w:rsidR="005F6403" w:rsidRPr="008967EB">
        <w:t xml:space="preserve"> to 201</w:t>
      </w:r>
      <w:r w:rsidR="005F6403">
        <w:t>9</w:t>
      </w:r>
      <w:r w:rsidR="00F07D91">
        <w:t>–</w:t>
      </w:r>
      <w:r w:rsidR="005F6403">
        <w:t>20</w:t>
      </w:r>
      <w:bookmarkEnd w:id="38"/>
    </w:p>
    <w:p w14:paraId="425332F2" w14:textId="5CD76FCB" w:rsidR="005F6403" w:rsidRDefault="00996ABD" w:rsidP="00CE4255">
      <w:r>
        <w:rPr>
          <w:noProof/>
        </w:rPr>
        <w:lastRenderedPageBreak/>
        <w:drawing>
          <wp:inline distT="0" distB="0" distL="0" distR="0" wp14:anchorId="13C63291" wp14:editId="2C63F2B3">
            <wp:extent cx="4930140" cy="2385060"/>
            <wp:effectExtent l="0" t="0" r="3810" b="0"/>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30140" cy="2385060"/>
                    </a:xfrm>
                    <a:prstGeom prst="rect">
                      <a:avLst/>
                    </a:prstGeom>
                    <a:noFill/>
                  </pic:spPr>
                </pic:pic>
              </a:graphicData>
            </a:graphic>
          </wp:inline>
        </w:drawing>
      </w:r>
    </w:p>
    <w:p w14:paraId="6DAD4647" w14:textId="34C09879" w:rsidR="005F6403" w:rsidRDefault="00CE4255" w:rsidP="00CE4255">
      <w:r>
        <w:t>In 2019</w:t>
      </w:r>
      <w:r w:rsidR="00F07D91">
        <w:t>–</w:t>
      </w:r>
      <w:r>
        <w:t>20, 6</w:t>
      </w:r>
      <w:r w:rsidR="00FE0A2A">
        <w:t>5.6</w:t>
      </w:r>
      <w:r>
        <w:t> per cent of metal recovered for reprocessing was sourced from the C&amp;I sector, 23</w:t>
      </w:r>
      <w:r w:rsidR="00FE0A2A">
        <w:t>.4</w:t>
      </w:r>
      <w:r>
        <w:t> per cent from MSW and 1</w:t>
      </w:r>
      <w:r w:rsidR="00667F9B">
        <w:t>1</w:t>
      </w:r>
      <w:r w:rsidR="00502E84">
        <w:t>.0</w:t>
      </w:r>
      <w:r w:rsidR="00667F9B">
        <w:t> p</w:t>
      </w:r>
      <w:r>
        <w:t>er cent from C&amp;D</w:t>
      </w:r>
      <w:r w:rsidR="006A5136">
        <w:t>,</w:t>
      </w:r>
      <w:r w:rsidR="0036326D">
        <w:t xml:space="preserve"> as illustrated in </w:t>
      </w:r>
      <w:r w:rsidR="00243202">
        <w:fldChar w:fldCharType="begin"/>
      </w:r>
      <w:r w:rsidR="00243202">
        <w:instrText xml:space="preserve"> REF _Ref72496755 \h </w:instrText>
      </w:r>
      <w:r w:rsidR="00243202">
        <w:fldChar w:fldCharType="separate"/>
      </w:r>
      <w:r w:rsidR="00176C53">
        <w:t xml:space="preserve">Figure </w:t>
      </w:r>
      <w:r w:rsidR="00176C53">
        <w:rPr>
          <w:noProof/>
        </w:rPr>
        <w:t>8</w:t>
      </w:r>
      <w:r w:rsidR="00243202">
        <w:fldChar w:fldCharType="end"/>
      </w:r>
      <w:r w:rsidR="00243202">
        <w:t>.</w:t>
      </w:r>
      <w:r>
        <w:t xml:space="preserve"> Over the last 1</w:t>
      </w:r>
      <w:r w:rsidR="00667F9B">
        <w:t>0 y</w:t>
      </w:r>
      <w:r>
        <w:t xml:space="preserve">ears, the C&amp;I sector </w:t>
      </w:r>
      <w:r w:rsidR="007040CF">
        <w:t xml:space="preserve">has been </w:t>
      </w:r>
      <w:r>
        <w:t xml:space="preserve">the predominant source </w:t>
      </w:r>
      <w:r w:rsidR="006A5136">
        <w:t xml:space="preserve">of </w:t>
      </w:r>
      <w:r>
        <w:t xml:space="preserve">metal </w:t>
      </w:r>
      <w:r w:rsidRPr="00E566C9">
        <w:t>recovered for reprocessing</w:t>
      </w:r>
      <w:r>
        <w:t>.</w:t>
      </w:r>
    </w:p>
    <w:p w14:paraId="35093F99" w14:textId="7A98949C" w:rsidR="005F6403" w:rsidRDefault="00243202" w:rsidP="00243202">
      <w:pPr>
        <w:pStyle w:val="FigureCaption"/>
      </w:pPr>
      <w:bookmarkStart w:id="39" w:name="_Ref72496755"/>
      <w:bookmarkStart w:id="40" w:name="_Toc77087508"/>
      <w:r>
        <w:t xml:space="preserve">Figure </w:t>
      </w:r>
      <w:r w:rsidR="0085736C">
        <w:fldChar w:fldCharType="begin"/>
      </w:r>
      <w:r w:rsidR="0085736C">
        <w:instrText xml:space="preserve"> SEQ Figure \* ARABIC </w:instrText>
      </w:r>
      <w:r w:rsidR="0085736C">
        <w:fldChar w:fldCharType="separate"/>
      </w:r>
      <w:r w:rsidR="00176C53">
        <w:rPr>
          <w:noProof/>
        </w:rPr>
        <w:t>8</w:t>
      </w:r>
      <w:r w:rsidR="0085736C">
        <w:rPr>
          <w:noProof/>
        </w:rPr>
        <w:fldChar w:fldCharType="end"/>
      </w:r>
      <w:bookmarkEnd w:id="39"/>
      <w:r>
        <w:t xml:space="preserve">: </w:t>
      </w:r>
      <w:r w:rsidR="007040CF">
        <w:t>Sector composition of</w:t>
      </w:r>
      <w:r w:rsidR="0036326D">
        <w:t xml:space="preserve"> metal</w:t>
      </w:r>
      <w:r w:rsidR="00E82CE7">
        <w:t xml:space="preserve"> materials</w:t>
      </w:r>
      <w:r w:rsidR="0036326D">
        <w:t xml:space="preserve"> recovered for reprocessing</w:t>
      </w:r>
      <w:r w:rsidR="00B06B8C">
        <w:t xml:space="preserve"> </w:t>
      </w:r>
      <w:r w:rsidR="00E82CE7">
        <w:t xml:space="preserve">(by weight) </w:t>
      </w:r>
      <w:r w:rsidR="00B06B8C">
        <w:t xml:space="preserve">in </w:t>
      </w:r>
      <w:r w:rsidR="0036326D">
        <w:t>Victoria, 2019</w:t>
      </w:r>
      <w:r w:rsidR="00F07D91">
        <w:t>–</w:t>
      </w:r>
      <w:r w:rsidR="0036326D">
        <w:t>20</w:t>
      </w:r>
      <w:bookmarkEnd w:id="40"/>
    </w:p>
    <w:p w14:paraId="535485F9" w14:textId="2995221B" w:rsidR="00CE4255" w:rsidRDefault="00FE0A2A" w:rsidP="00CE4255">
      <w:r>
        <w:rPr>
          <w:noProof/>
        </w:rPr>
        <w:drawing>
          <wp:inline distT="0" distB="0" distL="0" distR="0" wp14:anchorId="1A0168E1" wp14:editId="09E91168">
            <wp:extent cx="4967582" cy="2277374"/>
            <wp:effectExtent l="0" t="0" r="5080" b="8890"/>
            <wp:docPr id="49" name="Pictur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a:extLst>
                        <a:ext uri="{C183D7F6-B498-43B3-948B-1728B52AA6E4}">
                          <adec:decorative xmlns:adec="http://schemas.microsoft.com/office/drawing/2017/decorative" val="1"/>
                        </a:ext>
                      </a:extLst>
                    </pic:cNvPr>
                    <pic:cNvPicPr>
                      <a:picLocks noChangeAspect="1" noChangeArrowheads="1"/>
                    </pic:cNvPicPr>
                  </pic:nvPicPr>
                  <pic:blipFill rotWithShape="1">
                    <a:blip r:embed="rId36">
                      <a:extLst>
                        <a:ext uri="{28A0092B-C50C-407E-A947-70E740481C1C}">
                          <a14:useLocalDpi xmlns:a14="http://schemas.microsoft.com/office/drawing/2010/main" val="0"/>
                        </a:ext>
                      </a:extLst>
                    </a:blip>
                    <a:srcRect t="2156" b="2952"/>
                    <a:stretch/>
                  </pic:blipFill>
                  <pic:spPr bwMode="auto">
                    <a:xfrm>
                      <a:off x="0" y="0"/>
                      <a:ext cx="4968240" cy="2277676"/>
                    </a:xfrm>
                    <a:prstGeom prst="rect">
                      <a:avLst/>
                    </a:prstGeom>
                    <a:noFill/>
                    <a:ln>
                      <a:noFill/>
                    </a:ln>
                    <a:extLst>
                      <a:ext uri="{53640926-AAD7-44D8-BBD7-CCE9431645EC}">
                        <a14:shadowObscured xmlns:a14="http://schemas.microsoft.com/office/drawing/2010/main"/>
                      </a:ext>
                    </a:extLst>
                  </pic:spPr>
                </pic:pic>
              </a:graphicData>
            </a:graphic>
          </wp:inline>
        </w:drawing>
      </w:r>
    </w:p>
    <w:p w14:paraId="7DCD0177" w14:textId="3AFB5406" w:rsidR="00CE4255" w:rsidRDefault="00243202" w:rsidP="00CE4255">
      <w:r>
        <w:fldChar w:fldCharType="begin"/>
      </w:r>
      <w:r>
        <w:instrText xml:space="preserve"> REF _Ref72496804 \h </w:instrText>
      </w:r>
      <w:r>
        <w:fldChar w:fldCharType="separate"/>
      </w:r>
      <w:r w:rsidR="00176C53">
        <w:t xml:space="preserve">Figure </w:t>
      </w:r>
      <w:r w:rsidR="00176C53">
        <w:rPr>
          <w:noProof/>
        </w:rPr>
        <w:t>9</w:t>
      </w:r>
      <w:r>
        <w:fldChar w:fldCharType="end"/>
      </w:r>
      <w:r>
        <w:t xml:space="preserve"> </w:t>
      </w:r>
      <w:r w:rsidR="00CE4255">
        <w:t>presents the material type composition of metal waste recovered for reprocessing by source sector in 201</w:t>
      </w:r>
      <w:r>
        <w:t>9</w:t>
      </w:r>
      <w:r w:rsidR="00CE4255">
        <w:t>–</w:t>
      </w:r>
      <w:r>
        <w:t>20</w:t>
      </w:r>
      <w:r w:rsidR="00CE4255">
        <w:t>.</w:t>
      </w:r>
      <w:r w:rsidR="00F9371F">
        <w:t xml:space="preserve"> </w:t>
      </w:r>
      <w:r w:rsidR="006A5136">
        <w:t xml:space="preserve">The figure </w:t>
      </w:r>
      <w:r w:rsidR="00CE4255">
        <w:t>shows:</w:t>
      </w:r>
    </w:p>
    <w:p w14:paraId="65E9D1EE" w14:textId="29986503" w:rsidR="00CE4255" w:rsidRPr="005F6403" w:rsidRDefault="00B669E5" w:rsidP="008B4463">
      <w:pPr>
        <w:pStyle w:val="ListBullet"/>
      </w:pPr>
      <w:r>
        <w:t>f</w:t>
      </w:r>
      <w:r w:rsidRPr="005F6403">
        <w:t xml:space="preserve">errous </w:t>
      </w:r>
      <w:r w:rsidR="00CE4255" w:rsidRPr="005F6403">
        <w:t>metal</w:t>
      </w:r>
      <w:r w:rsidR="00A40C7A">
        <w:t xml:space="preserve"> </w:t>
      </w:r>
      <w:r w:rsidR="00CE4255" w:rsidRPr="005F6403">
        <w:t>was the main material recovered</w:t>
      </w:r>
      <w:r w:rsidR="00AE65B5">
        <w:t xml:space="preserve"> from all sectors, accounting for 8</w:t>
      </w:r>
      <w:r w:rsidR="00FE0A2A">
        <w:t>6.9</w:t>
      </w:r>
      <w:r w:rsidR="00C64428">
        <w:t> p</w:t>
      </w:r>
      <w:r w:rsidR="00BA34C5">
        <w:t>er cent</w:t>
      </w:r>
      <w:r w:rsidR="00AE65B5">
        <w:t xml:space="preserve"> of MSW (30</w:t>
      </w:r>
      <w:r w:rsidR="00A87CA0">
        <w:t>1.7</w:t>
      </w:r>
      <w:r w:rsidR="00C64428">
        <w:t> </w:t>
      </w:r>
      <w:r w:rsidR="007915B2">
        <w:t>kt</w:t>
      </w:r>
      <w:r w:rsidR="00BA34C5">
        <w:t>)</w:t>
      </w:r>
      <w:r w:rsidR="00AE65B5">
        <w:t>,</w:t>
      </w:r>
      <w:r w:rsidR="00BA34C5">
        <w:t xml:space="preserve"> </w:t>
      </w:r>
      <w:r w:rsidR="00AE65B5">
        <w:t>6</w:t>
      </w:r>
      <w:r w:rsidR="00C64428">
        <w:t>3</w:t>
      </w:r>
      <w:r w:rsidR="00FE0A2A">
        <w:t>.2</w:t>
      </w:r>
      <w:r w:rsidR="00C64428">
        <w:t> p</w:t>
      </w:r>
      <w:r w:rsidR="009762B4">
        <w:t>er cent</w:t>
      </w:r>
      <w:r w:rsidR="00AE65B5">
        <w:t xml:space="preserve"> of C&amp;I (61</w:t>
      </w:r>
      <w:r w:rsidR="00C64428">
        <w:t>5</w:t>
      </w:r>
      <w:r w:rsidR="00A87CA0">
        <w:t>.1</w:t>
      </w:r>
      <w:r w:rsidR="00C64428">
        <w:t> </w:t>
      </w:r>
      <w:r w:rsidR="007915B2">
        <w:t>kt</w:t>
      </w:r>
      <w:r w:rsidR="00AE65B5">
        <w:t>) and 8</w:t>
      </w:r>
      <w:r w:rsidR="00FE0A2A">
        <w:t>7.9</w:t>
      </w:r>
      <w:r w:rsidR="00667F9B">
        <w:t> p</w:t>
      </w:r>
      <w:r w:rsidR="007040CF">
        <w:t xml:space="preserve">er cent </w:t>
      </w:r>
      <w:r w:rsidR="00AE65B5">
        <w:t xml:space="preserve">of C&amp;D </w:t>
      </w:r>
      <w:r w:rsidR="00BA34C5">
        <w:t>(</w:t>
      </w:r>
      <w:r w:rsidR="00AE65B5">
        <w:t>1</w:t>
      </w:r>
      <w:r w:rsidR="00BA34C5">
        <w:t>4</w:t>
      </w:r>
      <w:r w:rsidR="00A87CA0">
        <w:t>2.8</w:t>
      </w:r>
      <w:r w:rsidR="00C64428">
        <w:t> </w:t>
      </w:r>
      <w:r w:rsidR="007915B2">
        <w:t>kt</w:t>
      </w:r>
      <w:r w:rsidR="00BA34C5">
        <w:t xml:space="preserve">) </w:t>
      </w:r>
    </w:p>
    <w:p w14:paraId="46B8D487" w14:textId="47C9B318" w:rsidR="00CE4255" w:rsidRPr="005F6403" w:rsidRDefault="00B669E5" w:rsidP="008B4463">
      <w:pPr>
        <w:pStyle w:val="ListBullet"/>
      </w:pPr>
      <w:r>
        <w:t>m</w:t>
      </w:r>
      <w:r w:rsidRPr="005F6403">
        <w:t xml:space="preserve">ixed </w:t>
      </w:r>
      <w:r w:rsidR="00CE4255" w:rsidRPr="005F6403">
        <w:t xml:space="preserve">metal </w:t>
      </w:r>
      <w:r w:rsidR="00AE65B5">
        <w:t>was</w:t>
      </w:r>
      <w:r w:rsidR="003217D1">
        <w:t xml:space="preserve"> </w:t>
      </w:r>
      <w:r w:rsidR="00CE4255" w:rsidRPr="005F6403">
        <w:t>predominat</w:t>
      </w:r>
      <w:r w:rsidR="003217D1">
        <w:t>e</w:t>
      </w:r>
      <w:r w:rsidR="00AE65B5">
        <w:t>ly</w:t>
      </w:r>
      <w:r w:rsidR="003217D1">
        <w:t xml:space="preserve"> </w:t>
      </w:r>
      <w:r w:rsidR="00CE4255" w:rsidRPr="005F6403">
        <w:t>sourced from the C&amp;I sector</w:t>
      </w:r>
      <w:r w:rsidR="008B15C3">
        <w:t>,</w:t>
      </w:r>
      <w:r w:rsidR="00CE4255" w:rsidRPr="005F6403">
        <w:t xml:space="preserve"> </w:t>
      </w:r>
      <w:r w:rsidR="00AE65B5">
        <w:t>accounting for 2</w:t>
      </w:r>
      <w:r w:rsidR="00FE0A2A">
        <w:t>4.8</w:t>
      </w:r>
      <w:r w:rsidR="00C64428">
        <w:t> p</w:t>
      </w:r>
      <w:r w:rsidR="00AE65B5">
        <w:t>er cent of C&amp;I</w:t>
      </w:r>
      <w:r w:rsidR="00BA34C5">
        <w:t xml:space="preserve"> (24</w:t>
      </w:r>
      <w:r w:rsidR="00A87CA0">
        <w:t>1.7</w:t>
      </w:r>
      <w:r w:rsidR="00C64428">
        <w:t> </w:t>
      </w:r>
      <w:r w:rsidR="007915B2">
        <w:t>kt</w:t>
      </w:r>
      <w:r w:rsidR="00BA34C5">
        <w:t>)</w:t>
      </w:r>
    </w:p>
    <w:p w14:paraId="3BBE0D45" w14:textId="302C6D98" w:rsidR="00CE4255" w:rsidRDefault="00CE4255" w:rsidP="005F6403">
      <w:pPr>
        <w:pStyle w:val="ListBullet"/>
      </w:pPr>
      <w:r w:rsidRPr="005F6403">
        <w:t xml:space="preserve">nonferrous </w:t>
      </w:r>
      <w:r w:rsidR="00BA34C5">
        <w:t xml:space="preserve">metal </w:t>
      </w:r>
      <w:r w:rsidR="00AE65B5">
        <w:t>was recovered</w:t>
      </w:r>
      <w:r w:rsidR="00BA34C5">
        <w:t xml:space="preserve"> </w:t>
      </w:r>
      <w:r w:rsidR="00AE65B5">
        <w:t xml:space="preserve">from </w:t>
      </w:r>
      <w:r w:rsidR="00BA34C5">
        <w:t>all sectors,</w:t>
      </w:r>
      <w:r w:rsidR="00AE65B5">
        <w:t xml:space="preserve"> accounting for 1</w:t>
      </w:r>
      <w:r w:rsidR="00C64428">
        <w:t>1 p</w:t>
      </w:r>
      <w:r w:rsidR="00BA34C5">
        <w:t>er cent of MSW (3</w:t>
      </w:r>
      <w:r w:rsidR="00C64428">
        <w:t>8</w:t>
      </w:r>
      <w:r w:rsidR="00A87CA0">
        <w:t>.0</w:t>
      </w:r>
      <w:r w:rsidR="00C64428">
        <w:t> </w:t>
      </w:r>
      <w:r w:rsidR="007915B2">
        <w:t>kt</w:t>
      </w:r>
      <w:r w:rsidR="00BA34C5">
        <w:t xml:space="preserve">), </w:t>
      </w:r>
      <w:r w:rsidR="00AE65B5">
        <w:t>1</w:t>
      </w:r>
      <w:r w:rsidR="00FE0A2A">
        <w:t>1.9</w:t>
      </w:r>
      <w:r w:rsidR="00C64428">
        <w:t> p</w:t>
      </w:r>
      <w:r w:rsidR="00BA34C5">
        <w:t>er cent of C&amp;I (</w:t>
      </w:r>
      <w:r w:rsidR="00AE65B5">
        <w:t>11</w:t>
      </w:r>
      <w:r w:rsidR="00C64428">
        <w:t>6</w:t>
      </w:r>
      <w:r w:rsidR="00A87CA0">
        <w:t>.0</w:t>
      </w:r>
      <w:r w:rsidR="00C64428">
        <w:t> </w:t>
      </w:r>
      <w:r w:rsidR="007915B2">
        <w:t>kt</w:t>
      </w:r>
      <w:r w:rsidR="00BA34C5">
        <w:t xml:space="preserve">) and </w:t>
      </w:r>
      <w:r w:rsidR="00AE65B5">
        <w:t>1</w:t>
      </w:r>
      <w:r w:rsidR="00FE0A2A">
        <w:t>1.9</w:t>
      </w:r>
      <w:r w:rsidR="00C64428">
        <w:t> p</w:t>
      </w:r>
      <w:r w:rsidR="00BA34C5">
        <w:t>er cent of C&amp;D (1</w:t>
      </w:r>
      <w:r w:rsidR="00C64428">
        <w:t>9</w:t>
      </w:r>
      <w:r w:rsidR="00A87CA0">
        <w:t>.3</w:t>
      </w:r>
      <w:r w:rsidR="00C64428">
        <w:t> </w:t>
      </w:r>
      <w:r w:rsidR="007915B2">
        <w:t>kt</w:t>
      </w:r>
      <w:r w:rsidR="00BA34C5">
        <w:t>)</w:t>
      </w:r>
      <w:r w:rsidR="00240B02">
        <w:t>.</w:t>
      </w:r>
    </w:p>
    <w:p w14:paraId="62220239" w14:textId="4DBC406A" w:rsidR="00F9371F" w:rsidRDefault="00F9371F" w:rsidP="00F9371F">
      <w:pPr>
        <w:pStyle w:val="ListBullet"/>
        <w:numPr>
          <w:ilvl w:val="0"/>
          <w:numId w:val="0"/>
        </w:numPr>
        <w:ind w:left="227" w:hanging="227"/>
      </w:pPr>
    </w:p>
    <w:p w14:paraId="050FDBD3" w14:textId="4A7C4619" w:rsidR="00CE4255" w:rsidRPr="00F9371F" w:rsidRDefault="00F9371F" w:rsidP="00A428BE">
      <w:pPr>
        <w:pStyle w:val="ListBullet"/>
        <w:numPr>
          <w:ilvl w:val="0"/>
          <w:numId w:val="0"/>
        </w:numPr>
      </w:pPr>
      <w:r>
        <w:t xml:space="preserve">Without considering source sector, ferrous metals made up </w:t>
      </w:r>
      <w:r w:rsidR="00FE0A2A">
        <w:t>71.5</w:t>
      </w:r>
      <w:r>
        <w:t> per cent</w:t>
      </w:r>
      <w:r w:rsidR="00A40C7A">
        <w:t xml:space="preserve"> (1,0</w:t>
      </w:r>
      <w:r w:rsidR="00A87CA0">
        <w:t>59.6</w:t>
      </w:r>
      <w:r w:rsidR="00A40C7A">
        <w:t xml:space="preserve"> kt)</w:t>
      </w:r>
      <w:r w:rsidR="00A40C7A" w:rsidRPr="005F6403">
        <w:t xml:space="preserve"> </w:t>
      </w:r>
      <w:r>
        <w:t xml:space="preserve">of the total amount of metal recovered for reprocessing, mixed metal </w:t>
      </w:r>
      <w:r w:rsidR="00FE0A2A">
        <w:t>16.8</w:t>
      </w:r>
      <w:r w:rsidR="00667F9B">
        <w:t> p</w:t>
      </w:r>
      <w:r>
        <w:t xml:space="preserve">er cent </w:t>
      </w:r>
      <w:r w:rsidR="00A40C7A">
        <w:t>(249</w:t>
      </w:r>
      <w:r w:rsidR="00A87CA0">
        <w:t>.4</w:t>
      </w:r>
      <w:r w:rsidR="00A40C7A">
        <w:t xml:space="preserve"> kt) </w:t>
      </w:r>
      <w:r>
        <w:t xml:space="preserve">and nonferrous </w:t>
      </w:r>
      <w:r w:rsidR="00FE0A2A">
        <w:t>11.7</w:t>
      </w:r>
      <w:r w:rsidR="00667F9B">
        <w:t> p</w:t>
      </w:r>
      <w:r>
        <w:t>er cent</w:t>
      </w:r>
      <w:r w:rsidR="00A40C7A">
        <w:t xml:space="preserve"> (173</w:t>
      </w:r>
      <w:r w:rsidR="00A87CA0">
        <w:t>.3</w:t>
      </w:r>
      <w:r w:rsidR="00A40C7A">
        <w:t xml:space="preserve"> kt)</w:t>
      </w:r>
      <w:r>
        <w:t>.</w:t>
      </w:r>
    </w:p>
    <w:p w14:paraId="467236BD" w14:textId="4FB3EEBF" w:rsidR="0036326D" w:rsidRDefault="00243202" w:rsidP="00243202">
      <w:pPr>
        <w:pStyle w:val="FigureCaption"/>
      </w:pPr>
      <w:bookmarkStart w:id="41" w:name="_Ref72496804"/>
      <w:bookmarkStart w:id="42" w:name="_Toc77087509"/>
      <w:r>
        <w:t xml:space="preserve">Figure </w:t>
      </w:r>
      <w:r w:rsidR="0085736C">
        <w:fldChar w:fldCharType="begin"/>
      </w:r>
      <w:r w:rsidR="0085736C">
        <w:instrText xml:space="preserve"> SEQ Figure \* ARABIC </w:instrText>
      </w:r>
      <w:r w:rsidR="0085736C">
        <w:fldChar w:fldCharType="separate"/>
      </w:r>
      <w:r w:rsidR="00176C53">
        <w:rPr>
          <w:noProof/>
        </w:rPr>
        <w:t>9</w:t>
      </w:r>
      <w:r w:rsidR="0085736C">
        <w:rPr>
          <w:noProof/>
        </w:rPr>
        <w:fldChar w:fldCharType="end"/>
      </w:r>
      <w:bookmarkEnd w:id="41"/>
      <w:r>
        <w:t xml:space="preserve">: </w:t>
      </w:r>
      <w:r w:rsidR="0036326D" w:rsidRPr="00155F23">
        <w:t xml:space="preserve">Material type composition of </w:t>
      </w:r>
      <w:r w:rsidR="0036326D">
        <w:t xml:space="preserve">metal </w:t>
      </w:r>
      <w:r w:rsidR="0036326D" w:rsidRPr="00155F23">
        <w:t>waste</w:t>
      </w:r>
      <w:r w:rsidR="0036326D">
        <w:t>s</w:t>
      </w:r>
      <w:r w:rsidR="0036326D" w:rsidRPr="00155F23">
        <w:t xml:space="preserve"> recovered for reprocessing by source sector</w:t>
      </w:r>
      <w:r w:rsidR="00B06B8C">
        <w:t xml:space="preserve"> in</w:t>
      </w:r>
      <w:r w:rsidR="00B06B8C" w:rsidRPr="00155F23">
        <w:t xml:space="preserve"> </w:t>
      </w:r>
      <w:r w:rsidR="0036326D" w:rsidRPr="00155F23">
        <w:t>Victoria</w:t>
      </w:r>
      <w:r w:rsidR="0036326D">
        <w:t>,</w:t>
      </w:r>
      <w:r w:rsidR="0036326D" w:rsidRPr="00155F23">
        <w:t xml:space="preserve"> </w:t>
      </w:r>
      <w:r w:rsidR="0036326D">
        <w:t>2019</w:t>
      </w:r>
      <w:r w:rsidR="00F07D91">
        <w:t>–</w:t>
      </w:r>
      <w:r w:rsidR="0036326D">
        <w:t>20</w:t>
      </w:r>
      <w:bookmarkEnd w:id="42"/>
    </w:p>
    <w:p w14:paraId="77C9EC01" w14:textId="02B548F6" w:rsidR="00D6074C" w:rsidRDefault="00FE0A2A" w:rsidP="00D61A95">
      <w:r>
        <w:rPr>
          <w:noProof/>
        </w:rPr>
        <w:lastRenderedPageBreak/>
        <w:drawing>
          <wp:inline distT="0" distB="0" distL="0" distR="0" wp14:anchorId="6E926EB1" wp14:editId="5D61A1BC">
            <wp:extent cx="4945380" cy="2392680"/>
            <wp:effectExtent l="0" t="0" r="7620" b="7620"/>
            <wp:docPr id="50" name="Pictur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extLst>
                        <a:ext uri="{C183D7F6-B498-43B3-948B-1728B52AA6E4}">
                          <adec:decorative xmlns:adec="http://schemas.microsoft.com/office/drawing/2017/decorative" val="1"/>
                        </a:ext>
                      </a:extLs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45380" cy="2392680"/>
                    </a:xfrm>
                    <a:prstGeom prst="rect">
                      <a:avLst/>
                    </a:prstGeom>
                    <a:noFill/>
                  </pic:spPr>
                </pic:pic>
              </a:graphicData>
            </a:graphic>
          </wp:inline>
        </w:drawing>
      </w:r>
    </w:p>
    <w:p w14:paraId="78294CDB" w14:textId="651B1E5E" w:rsidR="00954B8B" w:rsidRDefault="00CE4255" w:rsidP="00954B8B">
      <w:pPr>
        <w:pStyle w:val="Heading1Numbered"/>
      </w:pPr>
      <w:bookmarkStart w:id="43" w:name="_Toc78881409"/>
      <w:bookmarkStart w:id="44" w:name="_Toc83108368"/>
      <w:r>
        <w:t>Organics</w:t>
      </w:r>
      <w:bookmarkEnd w:id="43"/>
      <w:bookmarkEnd w:id="44"/>
    </w:p>
    <w:p w14:paraId="234F3168" w14:textId="5AA121F7" w:rsidR="00954B8B" w:rsidRDefault="007D11FD" w:rsidP="00A73696">
      <w:pPr>
        <w:pStyle w:val="casestudybox"/>
      </w:pPr>
      <w:r w:rsidRPr="00A73696">
        <w:t>»</w:t>
      </w:r>
      <w:r>
        <w:t xml:space="preserve"> </w:t>
      </w:r>
      <w:r w:rsidR="00954B8B">
        <w:t>Organic</w:t>
      </w:r>
      <w:r w:rsidR="00954B8B" w:rsidRPr="00A70672">
        <w:t xml:space="preserve"> </w:t>
      </w:r>
      <w:r w:rsidR="00954B8B">
        <w:t>materials recovered for reprocessing increased by 5</w:t>
      </w:r>
      <w:r w:rsidR="00FE0A2A">
        <w:t>.1</w:t>
      </w:r>
      <w:r w:rsidR="00954B8B">
        <w:t xml:space="preserve"> per cent to </w:t>
      </w:r>
      <w:r w:rsidR="00A40C7A">
        <w:t>1</w:t>
      </w:r>
      <w:r w:rsidR="00A02813">
        <w:t>.38 M</w:t>
      </w:r>
      <w:r w:rsidR="00A40C7A">
        <w:t>t</w:t>
      </w:r>
      <w:r w:rsidR="00954B8B">
        <w:t xml:space="preserve"> since 2018–19.</w:t>
      </w:r>
    </w:p>
    <w:p w14:paraId="30273222" w14:textId="27BD5696" w:rsidR="00954B8B" w:rsidRDefault="007D11FD" w:rsidP="00A73696">
      <w:pPr>
        <w:pStyle w:val="casestudybox"/>
      </w:pPr>
      <w:r w:rsidRPr="00A73696">
        <w:t>»</w:t>
      </w:r>
      <w:r>
        <w:t xml:space="preserve"> </w:t>
      </w:r>
      <w:r w:rsidR="00954B8B">
        <w:t>The MSW sector recovered 26</w:t>
      </w:r>
      <w:r w:rsidR="00FE0A2A">
        <w:t>.5</w:t>
      </w:r>
      <w:r w:rsidR="00954B8B">
        <w:t xml:space="preserve"> per cent more organic materials compared with </w:t>
      </w:r>
      <w:r w:rsidR="00954B8B">
        <w:br/>
        <w:t>2018–19.</w:t>
      </w:r>
    </w:p>
    <w:p w14:paraId="6472CDD4" w14:textId="3E33BAB0" w:rsidR="00954B8B" w:rsidRDefault="007D11FD" w:rsidP="00A73696">
      <w:pPr>
        <w:pStyle w:val="casestudybox"/>
      </w:pPr>
      <w:r w:rsidRPr="00A73696">
        <w:t>»</w:t>
      </w:r>
      <w:r>
        <w:t xml:space="preserve"> </w:t>
      </w:r>
      <w:r w:rsidR="00954B8B">
        <w:t>Increased availability of kerbside organic collections, rainfall and home gardening during the global COVID-19 pandemic are thought to be the drivers in this increased recovery of MSW.</w:t>
      </w:r>
    </w:p>
    <w:p w14:paraId="0FDABD36" w14:textId="0160BEA5" w:rsidR="00CE4255" w:rsidRDefault="00CE4255" w:rsidP="00693735">
      <w:r>
        <w:t>In 2019</w:t>
      </w:r>
      <w:r w:rsidR="00F07D91">
        <w:t>–</w:t>
      </w:r>
      <w:r>
        <w:t xml:space="preserve">20, </w:t>
      </w:r>
      <w:r w:rsidR="00A40C7A">
        <w:t>1</w:t>
      </w:r>
      <w:r w:rsidR="00A02813">
        <w:t>.38 Mt</w:t>
      </w:r>
      <w:r>
        <w:t xml:space="preserve"> of organics </w:t>
      </w:r>
      <w:r w:rsidR="00B415EA">
        <w:t xml:space="preserve">was </w:t>
      </w:r>
      <w:r>
        <w:t>recovered for reprocessing in Victoria, a 5</w:t>
      </w:r>
      <w:r w:rsidR="005E7DBA">
        <w:t>.1</w:t>
      </w:r>
      <w:r>
        <w:t> per cent increase from 2018</w:t>
      </w:r>
      <w:r w:rsidR="00F07D91">
        <w:t>–</w:t>
      </w:r>
      <w:r>
        <w:t>19</w:t>
      </w:r>
      <w:r w:rsidR="003F7C3A">
        <w:t xml:space="preserve"> (</w:t>
      </w:r>
      <w:r w:rsidR="00A40C7A">
        <w:t>1</w:t>
      </w:r>
      <w:r w:rsidR="00A02813">
        <w:t>.32 Mt</w:t>
      </w:r>
      <w:r w:rsidR="003F7C3A">
        <w:t>)</w:t>
      </w:r>
      <w:r>
        <w:t xml:space="preserve">. </w:t>
      </w:r>
      <w:r w:rsidR="000D652E">
        <w:t>Overall, there</w:t>
      </w:r>
      <w:r>
        <w:t xml:space="preserve"> has been a steady</w:t>
      </w:r>
      <w:r w:rsidR="000D652E">
        <w:t xml:space="preserve"> </w:t>
      </w:r>
      <w:r>
        <w:t xml:space="preserve">increase </w:t>
      </w:r>
      <w:r w:rsidR="000D652E">
        <w:t xml:space="preserve">over the last 10 years </w:t>
      </w:r>
      <w:r>
        <w:t>in the tonnes of organics recovered for reprocessing, culminating in a 5</w:t>
      </w:r>
      <w:r w:rsidR="005E7DBA">
        <w:t>8.9</w:t>
      </w:r>
      <w:r w:rsidR="00667F9B">
        <w:t> p</w:t>
      </w:r>
      <w:r>
        <w:t>er cent increase since 2010</w:t>
      </w:r>
      <w:r w:rsidR="00F07D91">
        <w:t>–</w:t>
      </w:r>
      <w:r>
        <w:t xml:space="preserve">11. </w:t>
      </w:r>
      <w:r w:rsidR="00FF2FB4">
        <w:fldChar w:fldCharType="begin"/>
      </w:r>
      <w:r w:rsidR="00FF2FB4">
        <w:instrText xml:space="preserve"> REF _Ref72496866 \h </w:instrText>
      </w:r>
      <w:r w:rsidR="00693735">
        <w:instrText xml:space="preserve"> \* MERGEFORMAT </w:instrText>
      </w:r>
      <w:r w:rsidR="00FF2FB4">
        <w:fldChar w:fldCharType="separate"/>
      </w:r>
      <w:r w:rsidR="00176C53">
        <w:t xml:space="preserve">Figure </w:t>
      </w:r>
      <w:r w:rsidR="00176C53">
        <w:rPr>
          <w:noProof/>
        </w:rPr>
        <w:t>10</w:t>
      </w:r>
      <w:r w:rsidR="00FF2FB4">
        <w:fldChar w:fldCharType="end"/>
      </w:r>
      <w:r w:rsidR="00FF2FB4">
        <w:t xml:space="preserve"> </w:t>
      </w:r>
      <w:r>
        <w:t xml:space="preserve">presents </w:t>
      </w:r>
      <w:r w:rsidR="000D652E">
        <w:t>this</w:t>
      </w:r>
      <w:r>
        <w:t xml:space="preserve"> trend over time.</w:t>
      </w:r>
    </w:p>
    <w:p w14:paraId="0C119995" w14:textId="7FF864BD" w:rsidR="001B3363" w:rsidRDefault="00FF2FB4" w:rsidP="00FF2FB4">
      <w:pPr>
        <w:pStyle w:val="FigureCaption"/>
      </w:pPr>
      <w:bookmarkStart w:id="45" w:name="_Ref72496866"/>
      <w:bookmarkStart w:id="46" w:name="_Toc77087510"/>
      <w:r>
        <w:t xml:space="preserve">Figure </w:t>
      </w:r>
      <w:r w:rsidR="0085736C">
        <w:fldChar w:fldCharType="begin"/>
      </w:r>
      <w:r w:rsidR="0085736C">
        <w:instrText xml:space="preserve"> SEQ Figure \* ARABIC </w:instrText>
      </w:r>
      <w:r w:rsidR="0085736C">
        <w:fldChar w:fldCharType="separate"/>
      </w:r>
      <w:r w:rsidR="00176C53">
        <w:rPr>
          <w:noProof/>
        </w:rPr>
        <w:t>10</w:t>
      </w:r>
      <w:r w:rsidR="0085736C">
        <w:rPr>
          <w:noProof/>
        </w:rPr>
        <w:fldChar w:fldCharType="end"/>
      </w:r>
      <w:bookmarkEnd w:id="45"/>
      <w:r w:rsidR="001B3363">
        <w:t>: Organic</w:t>
      </w:r>
      <w:r w:rsidR="001B3363" w:rsidRPr="001A5146">
        <w:t xml:space="preserve"> </w:t>
      </w:r>
      <w:r w:rsidR="001B3363" w:rsidRPr="008967EB">
        <w:t>waste</w:t>
      </w:r>
      <w:r w:rsidR="001B3363">
        <w:t>s</w:t>
      </w:r>
      <w:r w:rsidR="001B3363" w:rsidRPr="008967EB">
        <w:t xml:space="preserve"> recovered for reprocessing </w:t>
      </w:r>
      <w:r w:rsidR="00E82CE7">
        <w:t>(</w:t>
      </w:r>
      <w:r w:rsidR="00402934">
        <w:rPr>
          <w:rFonts w:ascii="Arial" w:hAnsi="Arial" w:cs="Arial"/>
        </w:rPr>
        <w:t>kt</w:t>
      </w:r>
      <w:r w:rsidR="00E82CE7">
        <w:t>)</w:t>
      </w:r>
      <w:r w:rsidR="00E82CE7" w:rsidRPr="00D16878">
        <w:t xml:space="preserve"> </w:t>
      </w:r>
      <w:r w:rsidR="001B3363" w:rsidRPr="008967EB">
        <w:t xml:space="preserve">in Victoria, </w:t>
      </w:r>
      <w:r w:rsidR="001B3363">
        <w:t>2010</w:t>
      </w:r>
      <w:r w:rsidR="00F07D91">
        <w:t>–</w:t>
      </w:r>
      <w:r w:rsidR="001B3363">
        <w:t>11</w:t>
      </w:r>
      <w:r w:rsidR="001B3363" w:rsidRPr="008967EB">
        <w:t xml:space="preserve"> to 201</w:t>
      </w:r>
      <w:r w:rsidR="001B3363">
        <w:t>9</w:t>
      </w:r>
      <w:r w:rsidR="00F07D91">
        <w:t>–</w:t>
      </w:r>
      <w:r w:rsidR="001B3363">
        <w:t>20</w:t>
      </w:r>
      <w:bookmarkEnd w:id="46"/>
    </w:p>
    <w:p w14:paraId="3739B98B" w14:textId="554CED83" w:rsidR="001C2A4D" w:rsidRDefault="00A40C7A" w:rsidP="00CE4255">
      <w:r>
        <w:rPr>
          <w:noProof/>
        </w:rPr>
        <w:drawing>
          <wp:inline distT="0" distB="0" distL="0" distR="0" wp14:anchorId="64B121C5" wp14:editId="49BF1A95">
            <wp:extent cx="4924818" cy="2340000"/>
            <wp:effectExtent l="0" t="0" r="9525" b="3175"/>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a:picLocks noChangeAspect="1" noChangeArrowheads="1"/>
                    </pic:cNvPicPr>
                  </pic:nvPicPr>
                  <pic:blipFill rotWithShape="1">
                    <a:blip r:embed="rId38">
                      <a:extLst>
                        <a:ext uri="{28A0092B-C50C-407E-A947-70E740481C1C}">
                          <a14:useLocalDpi xmlns:a14="http://schemas.microsoft.com/office/drawing/2010/main" val="0"/>
                        </a:ext>
                      </a:extLst>
                    </a:blip>
                    <a:srcRect t="2866"/>
                    <a:stretch/>
                  </pic:blipFill>
                  <pic:spPr bwMode="auto">
                    <a:xfrm>
                      <a:off x="0" y="0"/>
                      <a:ext cx="4924818" cy="2340000"/>
                    </a:xfrm>
                    <a:prstGeom prst="rect">
                      <a:avLst/>
                    </a:prstGeom>
                    <a:noFill/>
                    <a:ln>
                      <a:noFill/>
                    </a:ln>
                    <a:extLst>
                      <a:ext uri="{53640926-AAD7-44D8-BBD7-CCE9431645EC}">
                        <a14:shadowObscured xmlns:a14="http://schemas.microsoft.com/office/drawing/2010/main"/>
                      </a:ext>
                    </a:extLst>
                  </pic:spPr>
                </pic:pic>
              </a:graphicData>
            </a:graphic>
          </wp:inline>
        </w:drawing>
      </w:r>
    </w:p>
    <w:p w14:paraId="20F99389" w14:textId="544C4FA6" w:rsidR="00861331" w:rsidRDefault="00E34290" w:rsidP="00CE4255">
      <w:r>
        <w:t>The</w:t>
      </w:r>
      <w:r w:rsidR="000101DA">
        <w:t xml:space="preserve"> increase </w:t>
      </w:r>
      <w:r>
        <w:t xml:space="preserve">since 2018–19 </w:t>
      </w:r>
      <w:r w:rsidR="000101DA">
        <w:t>was due to the quantities recovered from the MSW sector</w:t>
      </w:r>
      <w:r w:rsidR="00077B7C">
        <w:t>,</w:t>
      </w:r>
      <w:r w:rsidR="000101DA">
        <w:t xml:space="preserve"> which increased by 2</w:t>
      </w:r>
      <w:r>
        <w:t>6</w:t>
      </w:r>
      <w:r w:rsidR="005E7DBA">
        <w:t>.5</w:t>
      </w:r>
      <w:r w:rsidR="000101DA">
        <w:t xml:space="preserve"> per cent from </w:t>
      </w:r>
      <w:r>
        <w:t>510</w:t>
      </w:r>
      <w:r w:rsidR="00A87CA0">
        <w:t>.2</w:t>
      </w:r>
      <w:r>
        <w:t xml:space="preserve"> kt</w:t>
      </w:r>
      <w:r w:rsidR="000101DA">
        <w:t xml:space="preserve"> to </w:t>
      </w:r>
      <w:r>
        <w:t>645</w:t>
      </w:r>
      <w:r w:rsidR="00A87CA0">
        <w:t>.4</w:t>
      </w:r>
      <w:r>
        <w:t xml:space="preserve"> kt</w:t>
      </w:r>
      <w:r w:rsidR="000101DA">
        <w:t xml:space="preserve">. This is likely to be </w:t>
      </w:r>
      <w:r w:rsidR="000101DA" w:rsidRPr="00E068E5">
        <w:t xml:space="preserve">the result of </w:t>
      </w:r>
      <w:r w:rsidR="00693735">
        <w:lastRenderedPageBreak/>
        <w:t>ex</w:t>
      </w:r>
      <w:r w:rsidR="000101DA" w:rsidRPr="00E068E5">
        <w:t>panded organic</w:t>
      </w:r>
      <w:r w:rsidR="000101DA">
        <w:t xml:space="preserve"> waste</w:t>
      </w:r>
      <w:r w:rsidR="000101DA" w:rsidRPr="00E068E5">
        <w:t xml:space="preserve"> collection </w:t>
      </w:r>
      <w:r w:rsidR="000101DA">
        <w:t xml:space="preserve">services, </w:t>
      </w:r>
      <w:r w:rsidR="00437D9B">
        <w:t>increased biomass produced</w:t>
      </w:r>
      <w:r w:rsidR="00437D9B" w:rsidRPr="000218C3">
        <w:rPr>
          <w:rStyle w:val="FootnoteReference"/>
          <w:sz w:val="18"/>
          <w:szCs w:val="18"/>
        </w:rPr>
        <w:footnoteReference w:id="3"/>
      </w:r>
      <w:r w:rsidR="00437D9B">
        <w:t xml:space="preserve"> in </w:t>
      </w:r>
      <w:r w:rsidR="00693735">
        <w:t>a</w:t>
      </w:r>
      <w:r w:rsidR="000101DA">
        <w:t xml:space="preserve"> wetter year and </w:t>
      </w:r>
      <w:r w:rsidR="00437D9B">
        <w:t>increased</w:t>
      </w:r>
      <w:r w:rsidR="000101DA">
        <w:t xml:space="preserve"> home gardening during the COVID-19 pandemic across Victoria. The C&amp;I sector and C&amp;D sector experienced decreases in the quantities of organic material recovered since 2018–19 by 4 and 2</w:t>
      </w:r>
      <w:r w:rsidR="005E7DBA">
        <w:t>8.</w:t>
      </w:r>
      <w:r>
        <w:t>9</w:t>
      </w:r>
      <w:r w:rsidR="000101DA">
        <w:t xml:space="preserve"> per cent respectively. The C&amp;I sector decreased from </w:t>
      </w:r>
      <w:r>
        <w:t>66</w:t>
      </w:r>
      <w:r w:rsidR="00A87CA0">
        <w:t>0.6</w:t>
      </w:r>
      <w:r>
        <w:t xml:space="preserve"> kt</w:t>
      </w:r>
      <w:r w:rsidR="000101DA">
        <w:t xml:space="preserve"> to </w:t>
      </w:r>
      <w:r>
        <w:t>63</w:t>
      </w:r>
      <w:r w:rsidR="00A87CA0">
        <w:t>4.5</w:t>
      </w:r>
      <w:r>
        <w:t xml:space="preserve"> kt</w:t>
      </w:r>
      <w:r w:rsidR="000101DA">
        <w:t xml:space="preserve"> and the C&amp;D sector from </w:t>
      </w:r>
      <w:r>
        <w:t>14</w:t>
      </w:r>
      <w:r w:rsidR="00A87CA0">
        <w:t>5.6</w:t>
      </w:r>
      <w:r>
        <w:t xml:space="preserve"> kt </w:t>
      </w:r>
      <w:r w:rsidR="000101DA">
        <w:t xml:space="preserve">to </w:t>
      </w:r>
      <w:r>
        <w:t>10</w:t>
      </w:r>
      <w:r w:rsidR="00A87CA0">
        <w:t>3.6</w:t>
      </w:r>
      <w:r>
        <w:t xml:space="preserve"> kt</w:t>
      </w:r>
      <w:r w:rsidR="000101DA">
        <w:t>. For the first time since 2015–16, MSW has comparable quantities recovered for reprocessing to those from C&amp;I.</w:t>
      </w:r>
      <w:r w:rsidR="00693735">
        <w:t xml:space="preserve"> </w:t>
      </w:r>
      <w:r w:rsidR="00861331">
        <w:fldChar w:fldCharType="begin"/>
      </w:r>
      <w:r w:rsidR="00861331">
        <w:instrText xml:space="preserve"> REF _Ref73539966 \h </w:instrText>
      </w:r>
      <w:r w:rsidR="00861331">
        <w:fldChar w:fldCharType="separate"/>
      </w:r>
      <w:r w:rsidR="00176C53">
        <w:t xml:space="preserve">Figure </w:t>
      </w:r>
      <w:r w:rsidR="00176C53">
        <w:rPr>
          <w:noProof/>
        </w:rPr>
        <w:t>11</w:t>
      </w:r>
      <w:r w:rsidR="00861331">
        <w:fldChar w:fldCharType="end"/>
      </w:r>
      <w:r w:rsidR="000101DA">
        <w:t xml:space="preserve"> provides a comparison</w:t>
      </w:r>
      <w:r w:rsidR="00861331">
        <w:t xml:space="preserve"> of the sector proportions between </w:t>
      </w:r>
      <w:r w:rsidR="00A22805">
        <w:t xml:space="preserve">2018–19 </w:t>
      </w:r>
      <w:r w:rsidR="00861331">
        <w:t xml:space="preserve">and </w:t>
      </w:r>
      <w:r w:rsidR="00A22805">
        <w:t>2019–20, where t</w:t>
      </w:r>
      <w:r w:rsidR="00861331">
        <w:t xml:space="preserve">he proportion from MSW in 2019–20 was </w:t>
      </w:r>
      <w:r w:rsidR="005E7DBA">
        <w:t>7.9</w:t>
      </w:r>
      <w:r w:rsidR="00667F9B">
        <w:t> </w:t>
      </w:r>
      <w:r w:rsidR="00C23CC2">
        <w:t>percentage points</w:t>
      </w:r>
      <w:r w:rsidR="00861331">
        <w:t xml:space="preserve"> more than </w:t>
      </w:r>
      <w:r w:rsidR="00A22805">
        <w:t xml:space="preserve">in </w:t>
      </w:r>
      <w:r w:rsidR="00861331">
        <w:t>2018–19.</w:t>
      </w:r>
    </w:p>
    <w:p w14:paraId="563E457B" w14:textId="0CC1D650" w:rsidR="00861331" w:rsidRDefault="00861331" w:rsidP="00861331">
      <w:pPr>
        <w:pStyle w:val="FigureCaption"/>
      </w:pPr>
      <w:bookmarkStart w:id="47" w:name="_Ref73539966"/>
      <w:bookmarkStart w:id="48" w:name="_Toc77087511"/>
      <w:r>
        <w:t xml:space="preserve">Figure </w:t>
      </w:r>
      <w:r w:rsidR="0085736C">
        <w:fldChar w:fldCharType="begin"/>
      </w:r>
      <w:r w:rsidR="0085736C">
        <w:instrText xml:space="preserve"> SEQ Figure \* ARABIC </w:instrText>
      </w:r>
      <w:r w:rsidR="0085736C">
        <w:fldChar w:fldCharType="separate"/>
      </w:r>
      <w:r w:rsidR="00176C53">
        <w:rPr>
          <w:noProof/>
        </w:rPr>
        <w:t>11</w:t>
      </w:r>
      <w:r w:rsidR="0085736C">
        <w:rPr>
          <w:noProof/>
        </w:rPr>
        <w:fldChar w:fldCharType="end"/>
      </w:r>
      <w:bookmarkEnd w:id="47"/>
      <w:r>
        <w:t xml:space="preserve">: </w:t>
      </w:r>
      <w:r w:rsidR="00E82CE7">
        <w:t>Sector composition of</w:t>
      </w:r>
      <w:r>
        <w:t xml:space="preserve"> organic material recovered for reprocessing</w:t>
      </w:r>
      <w:r w:rsidR="00E82CE7">
        <w:t xml:space="preserve"> (by weight)</w:t>
      </w:r>
      <w:r>
        <w:t xml:space="preserve"> in Victoria, 2018–19 and 2019–20</w:t>
      </w:r>
      <w:bookmarkEnd w:id="48"/>
    </w:p>
    <w:p w14:paraId="3BC0641A" w14:textId="5EA635BC" w:rsidR="00C45881" w:rsidRPr="00C45881" w:rsidRDefault="005E7DBA" w:rsidP="00C45881">
      <w:r>
        <w:rPr>
          <w:noProof/>
        </w:rPr>
        <w:drawing>
          <wp:inline distT="0" distB="0" distL="0" distR="0" wp14:anchorId="254BA95F" wp14:editId="4D4D7881">
            <wp:extent cx="4792029" cy="2277374"/>
            <wp:effectExtent l="0" t="0" r="8890" b="8890"/>
            <wp:docPr id="51" name="Pictur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extLst>
                        <a:ext uri="{C183D7F6-B498-43B3-948B-1728B52AA6E4}">
                          <adec:decorative xmlns:adec="http://schemas.microsoft.com/office/drawing/2017/decorative" val="1"/>
                        </a:ext>
                      </a:extLst>
                    </pic:cNvPr>
                    <pic:cNvPicPr>
                      <a:picLocks noChangeAspect="1" noChangeArrowheads="1"/>
                    </pic:cNvPicPr>
                  </pic:nvPicPr>
                  <pic:blipFill rotWithShape="1">
                    <a:blip r:embed="rId39">
                      <a:extLst>
                        <a:ext uri="{28A0092B-C50C-407E-A947-70E740481C1C}">
                          <a14:useLocalDpi xmlns:a14="http://schemas.microsoft.com/office/drawing/2010/main" val="0"/>
                        </a:ext>
                      </a:extLst>
                    </a:blip>
                    <a:srcRect t="3194" b="3098"/>
                    <a:stretch/>
                  </pic:blipFill>
                  <pic:spPr bwMode="auto">
                    <a:xfrm>
                      <a:off x="0" y="0"/>
                      <a:ext cx="4792980" cy="2277826"/>
                    </a:xfrm>
                    <a:prstGeom prst="rect">
                      <a:avLst/>
                    </a:prstGeom>
                    <a:noFill/>
                    <a:ln>
                      <a:noFill/>
                    </a:ln>
                    <a:extLst>
                      <a:ext uri="{53640926-AAD7-44D8-BBD7-CCE9431645EC}">
                        <a14:shadowObscured xmlns:a14="http://schemas.microsoft.com/office/drawing/2010/main"/>
                      </a:ext>
                    </a:extLst>
                  </pic:spPr>
                </pic:pic>
              </a:graphicData>
            </a:graphic>
          </wp:inline>
        </w:drawing>
      </w:r>
    </w:p>
    <w:p w14:paraId="3970B74E" w14:textId="3274AA10" w:rsidR="001C2A4D" w:rsidRDefault="001C2A4D" w:rsidP="001C2A4D">
      <w:r>
        <w:t>Garden organics, other organics (which includes mixed organics, non-hazardous sludges and some forestry and agricultural residuals), timber and mixed food and garden organics (FOGO) contributed to 9</w:t>
      </w:r>
      <w:r w:rsidR="00C64428">
        <w:t>2</w:t>
      </w:r>
      <w:r w:rsidR="00502E84">
        <w:t>.0</w:t>
      </w:r>
      <w:r w:rsidR="00C64428">
        <w:t> p</w:t>
      </w:r>
      <w:r>
        <w:t xml:space="preserve">er cent of all organic waste types recovered. </w:t>
      </w:r>
      <w:r>
        <w:fldChar w:fldCharType="begin"/>
      </w:r>
      <w:r>
        <w:instrText xml:space="preserve"> REF _Ref77068203 \h </w:instrText>
      </w:r>
      <w:r>
        <w:fldChar w:fldCharType="separate"/>
      </w:r>
      <w:r w:rsidR="00176C53">
        <w:t xml:space="preserve">Figure </w:t>
      </w:r>
      <w:r w:rsidR="00176C53">
        <w:rPr>
          <w:noProof/>
        </w:rPr>
        <w:t>12</w:t>
      </w:r>
      <w:r>
        <w:fldChar w:fldCharType="end"/>
      </w:r>
      <w:r>
        <w:t xml:space="preserve"> shows the breakdown</w:t>
      </w:r>
      <w:r w:rsidR="00A658E1">
        <w:t>,</w:t>
      </w:r>
      <w:r>
        <w:t xml:space="preserve"> with 3</w:t>
      </w:r>
      <w:r w:rsidR="005E7DBA">
        <w:t xml:space="preserve">8.6 </w:t>
      </w:r>
      <w:r w:rsidR="00C64428">
        <w:t>p</w:t>
      </w:r>
      <w:r>
        <w:t>er cent garden organics at 53</w:t>
      </w:r>
      <w:r w:rsidR="00C64428">
        <w:t>4</w:t>
      </w:r>
      <w:r w:rsidR="00A87CA0">
        <w:t>.2</w:t>
      </w:r>
      <w:r w:rsidR="00C64428">
        <w:t> </w:t>
      </w:r>
      <w:r w:rsidR="007915B2">
        <w:t>kt</w:t>
      </w:r>
      <w:r>
        <w:t>, 2</w:t>
      </w:r>
      <w:r w:rsidR="00C64428">
        <w:t>4</w:t>
      </w:r>
      <w:r w:rsidR="005E7DBA">
        <w:t>.4</w:t>
      </w:r>
      <w:r w:rsidR="00C64428">
        <w:t> p</w:t>
      </w:r>
      <w:r>
        <w:t>er cent other organics at 33</w:t>
      </w:r>
      <w:r w:rsidR="00C64428">
        <w:t>8</w:t>
      </w:r>
      <w:r w:rsidR="00A87CA0">
        <w:t>.1</w:t>
      </w:r>
      <w:r w:rsidR="00C64428">
        <w:t> </w:t>
      </w:r>
      <w:r w:rsidR="007915B2">
        <w:t>kt</w:t>
      </w:r>
      <w:r>
        <w:t>, 1</w:t>
      </w:r>
      <w:r w:rsidR="005E7DBA">
        <w:t>4.6</w:t>
      </w:r>
      <w:r w:rsidR="00C64428">
        <w:t> p</w:t>
      </w:r>
      <w:r>
        <w:t>er cent timber at 20</w:t>
      </w:r>
      <w:r w:rsidR="00C64428">
        <w:t>2</w:t>
      </w:r>
      <w:r w:rsidR="00A87CA0">
        <w:t>.2</w:t>
      </w:r>
      <w:r w:rsidR="00C64428">
        <w:t> </w:t>
      </w:r>
      <w:r w:rsidR="007915B2">
        <w:t>kt</w:t>
      </w:r>
      <w:r>
        <w:t xml:space="preserve"> and 1</w:t>
      </w:r>
      <w:r w:rsidR="00C64428">
        <w:t>4</w:t>
      </w:r>
      <w:r w:rsidR="00693735">
        <w:t>.3</w:t>
      </w:r>
      <w:r w:rsidR="00C64428">
        <w:t> p</w:t>
      </w:r>
      <w:r>
        <w:t>er cent FOGO at 19</w:t>
      </w:r>
      <w:r w:rsidR="00A87CA0">
        <w:t>7.7</w:t>
      </w:r>
      <w:r w:rsidR="00C64428">
        <w:t> </w:t>
      </w:r>
      <w:r w:rsidR="007915B2">
        <w:t>kt</w:t>
      </w:r>
      <w:r>
        <w:t xml:space="preserve">. Food organics and mulch contribute to the remaining </w:t>
      </w:r>
      <w:r w:rsidR="00C64428">
        <w:t>8</w:t>
      </w:r>
      <w:r w:rsidR="00502E84">
        <w:t>.0</w:t>
      </w:r>
      <w:r w:rsidR="00C64428">
        <w:t> p</w:t>
      </w:r>
      <w:r>
        <w:t xml:space="preserve">er cent at </w:t>
      </w:r>
      <w:r w:rsidR="00693735">
        <w:t>69.9</w:t>
      </w:r>
      <w:r>
        <w:t xml:space="preserve"> and 4</w:t>
      </w:r>
      <w:r w:rsidR="00C64428">
        <w:t>1</w:t>
      </w:r>
      <w:r w:rsidR="00693735">
        <w:t>.4</w:t>
      </w:r>
      <w:r w:rsidR="00C64428">
        <w:t> </w:t>
      </w:r>
      <w:r w:rsidR="007915B2">
        <w:t>kt</w:t>
      </w:r>
      <w:r>
        <w:t xml:space="preserve"> respectively.</w:t>
      </w:r>
    </w:p>
    <w:p w14:paraId="71B31800" w14:textId="0A4C1E6F" w:rsidR="005854A4" w:rsidRDefault="005854A4" w:rsidP="005854A4">
      <w:pPr>
        <w:pStyle w:val="FigureCaption"/>
      </w:pPr>
      <w:bookmarkStart w:id="49" w:name="_Ref77068203"/>
      <w:bookmarkStart w:id="50" w:name="_Toc77087512"/>
      <w:r>
        <w:t xml:space="preserve">Figure </w:t>
      </w:r>
      <w:r w:rsidR="0085736C">
        <w:fldChar w:fldCharType="begin"/>
      </w:r>
      <w:r w:rsidR="0085736C">
        <w:instrText xml:space="preserve"> SEQ Figure \* ARABIC </w:instrText>
      </w:r>
      <w:r w:rsidR="0085736C">
        <w:fldChar w:fldCharType="separate"/>
      </w:r>
      <w:r w:rsidR="00176C53">
        <w:rPr>
          <w:noProof/>
        </w:rPr>
        <w:t>12</w:t>
      </w:r>
      <w:r w:rsidR="0085736C">
        <w:rPr>
          <w:noProof/>
        </w:rPr>
        <w:fldChar w:fldCharType="end"/>
      </w:r>
      <w:bookmarkEnd w:id="49"/>
      <w:r>
        <w:t>: Material type composition of organic waste recovered for reprocessing in Victoria, 2019–20</w:t>
      </w:r>
      <w:bookmarkEnd w:id="50"/>
    </w:p>
    <w:p w14:paraId="35065EFC" w14:textId="05AAB18A" w:rsidR="005854A4" w:rsidRDefault="005E7DBA" w:rsidP="005E7DBA">
      <w:r>
        <w:rPr>
          <w:noProof/>
        </w:rPr>
        <w:drawing>
          <wp:inline distT="0" distB="0" distL="0" distR="0" wp14:anchorId="07ACCC88" wp14:editId="179F8297">
            <wp:extent cx="4959325" cy="2191110"/>
            <wp:effectExtent l="0" t="0" r="0" b="0"/>
            <wp:docPr id="53" name="Pictur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a:extLst>
                        <a:ext uri="{C183D7F6-B498-43B3-948B-1728B52AA6E4}">
                          <adec:decorative xmlns:adec="http://schemas.microsoft.com/office/drawing/2017/decorative" val="1"/>
                        </a:ext>
                      </a:extLst>
                    </pic:cNvPr>
                    <pic:cNvPicPr>
                      <a:picLocks noChangeAspect="1" noChangeArrowheads="1"/>
                    </pic:cNvPicPr>
                  </pic:nvPicPr>
                  <pic:blipFill rotWithShape="1">
                    <a:blip r:embed="rId40">
                      <a:extLst>
                        <a:ext uri="{28A0092B-C50C-407E-A947-70E740481C1C}">
                          <a14:useLocalDpi xmlns:a14="http://schemas.microsoft.com/office/drawing/2010/main" val="0"/>
                        </a:ext>
                      </a:extLst>
                    </a:blip>
                    <a:srcRect t="775" b="1060"/>
                    <a:stretch/>
                  </pic:blipFill>
                  <pic:spPr bwMode="auto">
                    <a:xfrm>
                      <a:off x="0" y="0"/>
                      <a:ext cx="4960620" cy="2191682"/>
                    </a:xfrm>
                    <a:prstGeom prst="rect">
                      <a:avLst/>
                    </a:prstGeom>
                    <a:noFill/>
                    <a:ln>
                      <a:noFill/>
                    </a:ln>
                    <a:extLst>
                      <a:ext uri="{53640926-AAD7-44D8-BBD7-CCE9431645EC}">
                        <a14:shadowObscured xmlns:a14="http://schemas.microsoft.com/office/drawing/2010/main"/>
                      </a:ext>
                    </a:extLst>
                  </pic:spPr>
                </pic:pic>
              </a:graphicData>
            </a:graphic>
          </wp:inline>
        </w:drawing>
      </w:r>
    </w:p>
    <w:p w14:paraId="1B46E007" w14:textId="7B7433F4" w:rsidR="00B137AE" w:rsidRDefault="000101DA" w:rsidP="00B137AE">
      <w:r>
        <w:lastRenderedPageBreak/>
        <w:fldChar w:fldCharType="begin"/>
      </w:r>
      <w:r>
        <w:instrText xml:space="preserve"> REF _Ref72496924 \h </w:instrText>
      </w:r>
      <w:r>
        <w:fldChar w:fldCharType="separate"/>
      </w:r>
      <w:r w:rsidR="00176C53">
        <w:t xml:space="preserve">Figure </w:t>
      </w:r>
      <w:r w:rsidR="00176C53">
        <w:rPr>
          <w:noProof/>
        </w:rPr>
        <w:t>13</w:t>
      </w:r>
      <w:r>
        <w:fldChar w:fldCharType="end"/>
      </w:r>
      <w:r w:rsidR="00B137AE">
        <w:t xml:space="preserve"> shows</w:t>
      </w:r>
      <w:r>
        <w:t xml:space="preserve"> the source sectors of recovered organics for reprocessing</w:t>
      </w:r>
      <w:r w:rsidR="00B137AE">
        <w:t>:</w:t>
      </w:r>
    </w:p>
    <w:p w14:paraId="090D31A1" w14:textId="0BFA28F4" w:rsidR="00B137AE" w:rsidRDefault="00AA4467" w:rsidP="00B137AE">
      <w:pPr>
        <w:pStyle w:val="ListBullet"/>
      </w:pPr>
      <w:r>
        <w:t>G</w:t>
      </w:r>
      <w:r w:rsidR="00B137AE">
        <w:t>arden organics were primarily sourced from MSW, contributing to 8</w:t>
      </w:r>
      <w:r w:rsidR="005E7DBA">
        <w:t>0.9</w:t>
      </w:r>
      <w:r w:rsidR="00C64428">
        <w:t> p</w:t>
      </w:r>
      <w:r w:rsidR="00B137AE">
        <w:t>er cent of garden organics recovered</w:t>
      </w:r>
      <w:r>
        <w:t>.</w:t>
      </w:r>
    </w:p>
    <w:p w14:paraId="5A35B318" w14:textId="472C876F" w:rsidR="00B137AE" w:rsidRDefault="00AA4467" w:rsidP="00B137AE">
      <w:pPr>
        <w:pStyle w:val="ListBullet"/>
      </w:pPr>
      <w:r>
        <w:t xml:space="preserve">Other </w:t>
      </w:r>
      <w:r w:rsidR="00B137AE">
        <w:t>organics were primarily sourced from C&amp;I, contributing to 9</w:t>
      </w:r>
      <w:r w:rsidR="00C64428">
        <w:t>1</w:t>
      </w:r>
      <w:r w:rsidR="00502E84">
        <w:t>.0</w:t>
      </w:r>
      <w:r w:rsidR="00C64428">
        <w:t> p</w:t>
      </w:r>
      <w:r w:rsidR="00B137AE">
        <w:t>er cent of other organics recovered</w:t>
      </w:r>
      <w:r>
        <w:t>.</w:t>
      </w:r>
    </w:p>
    <w:p w14:paraId="2ED4D723" w14:textId="16927BAC" w:rsidR="000A5B83" w:rsidRDefault="00AA4467" w:rsidP="00B137AE">
      <w:pPr>
        <w:pStyle w:val="ListBullet"/>
      </w:pPr>
      <w:r>
        <w:t xml:space="preserve">Food </w:t>
      </w:r>
      <w:r w:rsidR="000A5B83">
        <w:t>organics were primarily sourced from C&amp;I, contributing to 8</w:t>
      </w:r>
      <w:r w:rsidR="005E7DBA">
        <w:t>6.9</w:t>
      </w:r>
      <w:r w:rsidR="00C64428">
        <w:t> p</w:t>
      </w:r>
      <w:r w:rsidR="000A5B83">
        <w:t>er cent of food organics recovered</w:t>
      </w:r>
      <w:r>
        <w:t>.</w:t>
      </w:r>
    </w:p>
    <w:p w14:paraId="6B735336" w14:textId="543A9146" w:rsidR="00B137AE" w:rsidRDefault="00AA4467" w:rsidP="00B137AE">
      <w:pPr>
        <w:pStyle w:val="ListBullet"/>
      </w:pPr>
      <w:r>
        <w:t xml:space="preserve">Mixed </w:t>
      </w:r>
      <w:r w:rsidR="00B137AE">
        <w:t>FOGO were primarily sourced from MSW, contributing to 7</w:t>
      </w:r>
      <w:r w:rsidR="00C64428">
        <w:t>8</w:t>
      </w:r>
      <w:r w:rsidR="005E7DBA">
        <w:t>.4</w:t>
      </w:r>
      <w:r w:rsidR="00C64428">
        <w:t> p</w:t>
      </w:r>
      <w:r w:rsidR="00B137AE">
        <w:t>er cent of mixed FOGO recovered</w:t>
      </w:r>
      <w:r>
        <w:t>.</w:t>
      </w:r>
    </w:p>
    <w:p w14:paraId="5924961B" w14:textId="091AC3FD" w:rsidR="00B137AE" w:rsidRDefault="00AA4467" w:rsidP="00B137AE">
      <w:pPr>
        <w:pStyle w:val="ListBullet"/>
      </w:pPr>
      <w:r>
        <w:t xml:space="preserve">Timber </w:t>
      </w:r>
      <w:r w:rsidR="00B137AE">
        <w:t>was primarily sourced from C&amp;D, contributing to 4</w:t>
      </w:r>
      <w:r w:rsidR="00C64428">
        <w:t>8</w:t>
      </w:r>
      <w:r w:rsidR="00502E84">
        <w:t>.0</w:t>
      </w:r>
      <w:r w:rsidR="00C64428">
        <w:t> p</w:t>
      </w:r>
      <w:r w:rsidR="00B137AE">
        <w:t>er cent of timber recovered</w:t>
      </w:r>
      <w:r>
        <w:t>.</w:t>
      </w:r>
    </w:p>
    <w:p w14:paraId="724ED611" w14:textId="7032032E" w:rsidR="00B137AE" w:rsidRDefault="00AA4467" w:rsidP="00B137AE">
      <w:pPr>
        <w:pStyle w:val="ListBullet"/>
      </w:pPr>
      <w:r>
        <w:t xml:space="preserve">Mulch </w:t>
      </w:r>
      <w:r w:rsidR="00B137AE">
        <w:t>was only sourced from C&amp;I</w:t>
      </w:r>
      <w:r w:rsidR="0086429B">
        <w:t>.</w:t>
      </w:r>
    </w:p>
    <w:p w14:paraId="2015B2E7" w14:textId="7E3502BA" w:rsidR="00CE4255" w:rsidRDefault="00FF2FB4" w:rsidP="00FF2FB4">
      <w:pPr>
        <w:pStyle w:val="FigureCaption"/>
      </w:pPr>
      <w:bookmarkStart w:id="51" w:name="_Ref72496924"/>
      <w:bookmarkStart w:id="52" w:name="_Toc77087513"/>
      <w:r>
        <w:t xml:space="preserve">Figure </w:t>
      </w:r>
      <w:r w:rsidR="0085736C">
        <w:fldChar w:fldCharType="begin"/>
      </w:r>
      <w:r w:rsidR="0085736C">
        <w:instrText xml:space="preserve"> SEQ Figure \* ARABIC </w:instrText>
      </w:r>
      <w:r w:rsidR="0085736C">
        <w:fldChar w:fldCharType="separate"/>
      </w:r>
      <w:r w:rsidR="00176C53">
        <w:rPr>
          <w:noProof/>
        </w:rPr>
        <w:t>13</w:t>
      </w:r>
      <w:r w:rsidR="0085736C">
        <w:rPr>
          <w:noProof/>
        </w:rPr>
        <w:fldChar w:fldCharType="end"/>
      </w:r>
      <w:bookmarkEnd w:id="51"/>
      <w:r>
        <w:t xml:space="preserve">: </w:t>
      </w:r>
      <w:r w:rsidR="001B3363">
        <w:t xml:space="preserve">Organic </w:t>
      </w:r>
      <w:r w:rsidR="001B3363" w:rsidRPr="001249D6">
        <w:t>material typ</w:t>
      </w:r>
      <w:r w:rsidR="00C329F4">
        <w:t>e composition</w:t>
      </w:r>
      <w:r w:rsidR="001B3363" w:rsidRPr="00A239CC">
        <w:t xml:space="preserve"> </w:t>
      </w:r>
      <w:r w:rsidR="001B3363" w:rsidRPr="001249D6">
        <w:t>by source sector</w:t>
      </w:r>
      <w:r w:rsidR="001F5BFC">
        <w:t xml:space="preserve"> in</w:t>
      </w:r>
      <w:r w:rsidR="001F5BFC" w:rsidRPr="001249D6">
        <w:t xml:space="preserve"> </w:t>
      </w:r>
      <w:r w:rsidR="001B3363" w:rsidRPr="001249D6">
        <w:t>Victoria</w:t>
      </w:r>
      <w:r w:rsidR="001B3363">
        <w:t>,</w:t>
      </w:r>
      <w:r w:rsidR="001B3363" w:rsidRPr="001249D6">
        <w:t xml:space="preserve"> 201</w:t>
      </w:r>
      <w:r w:rsidR="001B3363">
        <w:t>9</w:t>
      </w:r>
      <w:r w:rsidR="00F07D91">
        <w:t>–</w:t>
      </w:r>
      <w:r w:rsidR="001B3363">
        <w:t>20</w:t>
      </w:r>
      <w:bookmarkEnd w:id="52"/>
    </w:p>
    <w:p w14:paraId="7EE5CAE0" w14:textId="5A2A7618" w:rsidR="00A658E1" w:rsidRDefault="00E34290" w:rsidP="00CE4255">
      <w:r>
        <w:rPr>
          <w:noProof/>
        </w:rPr>
        <w:drawing>
          <wp:inline distT="0" distB="0" distL="0" distR="0" wp14:anchorId="2A83E392" wp14:editId="3B6A0118">
            <wp:extent cx="4846320" cy="2385060"/>
            <wp:effectExtent l="0" t="0" r="0" b="0"/>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46320" cy="2385060"/>
                    </a:xfrm>
                    <a:prstGeom prst="rect">
                      <a:avLst/>
                    </a:prstGeom>
                    <a:noFill/>
                  </pic:spPr>
                </pic:pic>
              </a:graphicData>
            </a:graphic>
          </wp:inline>
        </w:drawing>
      </w:r>
    </w:p>
    <w:p w14:paraId="09850CA9" w14:textId="3D458601" w:rsidR="00CE4255" w:rsidRDefault="00550CDE" w:rsidP="00693735">
      <w:r w:rsidRPr="00693735">
        <w:fldChar w:fldCharType="begin"/>
      </w:r>
      <w:r w:rsidRPr="00693735">
        <w:instrText xml:space="preserve"> REF _Ref72496998 \h </w:instrText>
      </w:r>
      <w:r w:rsidR="00693735" w:rsidRPr="00693735">
        <w:instrText xml:space="preserve"> \* MERGEFORMAT </w:instrText>
      </w:r>
      <w:r w:rsidRPr="00693735">
        <w:fldChar w:fldCharType="separate"/>
      </w:r>
      <w:r w:rsidR="00176C53">
        <w:t>Figure 14</w:t>
      </w:r>
      <w:r w:rsidRPr="00693735">
        <w:fldChar w:fldCharType="end"/>
      </w:r>
      <w:r w:rsidRPr="00693735">
        <w:t xml:space="preserve"> </w:t>
      </w:r>
      <w:r w:rsidR="00CE4255" w:rsidRPr="00693735">
        <w:t>presents the material type composition of waste recovered for reprocessing by source sector in 2019</w:t>
      </w:r>
      <w:r w:rsidR="00F07D91" w:rsidRPr="00693735">
        <w:t>–</w:t>
      </w:r>
      <w:r w:rsidR="00CE4255" w:rsidRPr="00693735">
        <w:t xml:space="preserve">20. </w:t>
      </w:r>
      <w:r w:rsidR="00B669E5" w:rsidRPr="00693735">
        <w:t xml:space="preserve">The figure </w:t>
      </w:r>
      <w:r w:rsidR="00CE4255" w:rsidRPr="00693735">
        <w:t>shows</w:t>
      </w:r>
      <w:r w:rsidR="00CE4255">
        <w:t>:</w:t>
      </w:r>
    </w:p>
    <w:p w14:paraId="50437800" w14:textId="53BE9F58" w:rsidR="00CE4255" w:rsidRDefault="00B669E5" w:rsidP="00CE4255">
      <w:pPr>
        <w:pStyle w:val="ListBullet"/>
      </w:pPr>
      <w:r>
        <w:t xml:space="preserve">garden </w:t>
      </w:r>
      <w:r w:rsidR="00CE4255">
        <w:t>organics made up 6</w:t>
      </w:r>
      <w:r w:rsidR="00667F9B">
        <w:t>7</w:t>
      </w:r>
      <w:r w:rsidR="00502E84">
        <w:t>.0</w:t>
      </w:r>
      <w:r w:rsidR="00667F9B">
        <w:t> p</w:t>
      </w:r>
      <w:r w:rsidR="00CE4255">
        <w:t xml:space="preserve">er cent </w:t>
      </w:r>
      <w:r w:rsidR="00E845E9">
        <w:t xml:space="preserve">and FOGO </w:t>
      </w:r>
      <w:r w:rsidR="0060762E">
        <w:t>24</w:t>
      </w:r>
      <w:r w:rsidR="00502E84">
        <w:t>.0</w:t>
      </w:r>
      <w:r w:rsidR="00E845E9">
        <w:t xml:space="preserve"> per cent </w:t>
      </w:r>
      <w:r w:rsidR="00CE4255">
        <w:t>of the material recovered for reprocessing from MSW</w:t>
      </w:r>
    </w:p>
    <w:p w14:paraId="33AD7622" w14:textId="0DE752FB" w:rsidR="00CE4255" w:rsidRDefault="00B669E5" w:rsidP="00CE4255">
      <w:pPr>
        <w:pStyle w:val="ListBullet"/>
      </w:pPr>
      <w:r>
        <w:t xml:space="preserve">other </w:t>
      </w:r>
      <w:r w:rsidR="00CE4255">
        <w:t xml:space="preserve">organics </w:t>
      </w:r>
      <w:r w:rsidR="00E845E9">
        <w:t>made up</w:t>
      </w:r>
      <w:r w:rsidR="00CE4255">
        <w:t xml:space="preserve"> 4</w:t>
      </w:r>
      <w:r w:rsidR="007D7791">
        <w:t>8</w:t>
      </w:r>
      <w:r w:rsidR="00C97D7A">
        <w:t>.5</w:t>
      </w:r>
      <w:r w:rsidR="00CE4255">
        <w:t> per cent</w:t>
      </w:r>
      <w:r w:rsidR="00E845E9">
        <w:t xml:space="preserve"> of the material recovered for reprocessing from C&amp;I</w:t>
      </w:r>
      <w:r w:rsidR="00CE4255">
        <w:t xml:space="preserve">, followed by garden organics at </w:t>
      </w:r>
      <w:r w:rsidR="007D7791">
        <w:t>1</w:t>
      </w:r>
      <w:r w:rsidR="00667F9B">
        <w:t>5</w:t>
      </w:r>
      <w:r w:rsidR="00502E84">
        <w:t>.0</w:t>
      </w:r>
      <w:r w:rsidR="00667F9B">
        <w:t> p</w:t>
      </w:r>
      <w:r w:rsidR="00CE4255">
        <w:t>er cent and timber at 1</w:t>
      </w:r>
      <w:r w:rsidR="00C97D7A">
        <w:t>3.7</w:t>
      </w:r>
      <w:r w:rsidR="00667F9B">
        <w:t> p</w:t>
      </w:r>
      <w:r w:rsidR="00550CDE">
        <w:t>er cent</w:t>
      </w:r>
    </w:p>
    <w:p w14:paraId="2099BB23" w14:textId="1B06DB9E" w:rsidR="00CE4255" w:rsidRDefault="00B669E5" w:rsidP="00CE4255">
      <w:pPr>
        <w:pStyle w:val="ListBullet"/>
      </w:pPr>
      <w:r>
        <w:t xml:space="preserve">timber </w:t>
      </w:r>
      <w:r w:rsidR="00E845E9">
        <w:t>made up</w:t>
      </w:r>
      <w:r w:rsidR="00CE4255">
        <w:t xml:space="preserve"> </w:t>
      </w:r>
      <w:r w:rsidR="007D7791">
        <w:t>9</w:t>
      </w:r>
      <w:r w:rsidR="00C97D7A">
        <w:t>3.7</w:t>
      </w:r>
      <w:r w:rsidR="00CE4255">
        <w:t> per cent of the total organics recovered from the C&amp;D sector, most of this coming from building demolition works</w:t>
      </w:r>
      <w:r w:rsidR="004E1E3F">
        <w:t>, w</w:t>
      </w:r>
      <w:r w:rsidR="00CE4255">
        <w:t xml:space="preserve">ith the remaining </w:t>
      </w:r>
      <w:r w:rsidR="00667F9B">
        <w:t>6</w:t>
      </w:r>
      <w:r w:rsidR="00C97D7A">
        <w:t>.3</w:t>
      </w:r>
      <w:r w:rsidR="00667F9B">
        <w:t> p</w:t>
      </w:r>
      <w:r w:rsidR="00550CDE">
        <w:t>er cent</w:t>
      </w:r>
      <w:r w:rsidR="00CE4255">
        <w:t xml:space="preserve"> coming from garden organics.</w:t>
      </w:r>
    </w:p>
    <w:p w14:paraId="700E9359" w14:textId="465B4E3B" w:rsidR="002105B4" w:rsidRDefault="00550CDE" w:rsidP="00F770DD">
      <w:pPr>
        <w:pStyle w:val="FigureCaption"/>
      </w:pPr>
      <w:bookmarkStart w:id="53" w:name="_Ref72496998"/>
      <w:bookmarkStart w:id="54" w:name="_Toc77087514"/>
      <w:r>
        <w:t xml:space="preserve">Figure </w:t>
      </w:r>
      <w:r w:rsidR="0085736C">
        <w:fldChar w:fldCharType="begin"/>
      </w:r>
      <w:r w:rsidR="0085736C">
        <w:instrText xml:space="preserve"> SEQ Figure \* ARABIC </w:instrText>
      </w:r>
      <w:r w:rsidR="0085736C">
        <w:fldChar w:fldCharType="separate"/>
      </w:r>
      <w:r w:rsidR="00176C53">
        <w:rPr>
          <w:noProof/>
        </w:rPr>
        <w:t>14</w:t>
      </w:r>
      <w:r w:rsidR="0085736C">
        <w:rPr>
          <w:noProof/>
        </w:rPr>
        <w:fldChar w:fldCharType="end"/>
      </w:r>
      <w:bookmarkEnd w:id="53"/>
      <w:r>
        <w:t xml:space="preserve">: </w:t>
      </w:r>
      <w:r w:rsidR="005B4224" w:rsidRPr="00155F23">
        <w:t xml:space="preserve">Material type composition of </w:t>
      </w:r>
      <w:r w:rsidR="005B4224">
        <w:t xml:space="preserve">organic </w:t>
      </w:r>
      <w:r w:rsidR="005B4224" w:rsidRPr="00155F23">
        <w:t>waste</w:t>
      </w:r>
      <w:r w:rsidR="005B4224">
        <w:t>s</w:t>
      </w:r>
      <w:r w:rsidR="005B4224" w:rsidRPr="00155F23">
        <w:t xml:space="preserve"> recovered for reprocessing by source sector</w:t>
      </w:r>
      <w:r w:rsidR="001F5BFC">
        <w:t xml:space="preserve"> in</w:t>
      </w:r>
      <w:r w:rsidR="001F5BFC" w:rsidRPr="00155F23">
        <w:t xml:space="preserve"> </w:t>
      </w:r>
      <w:r w:rsidR="005B4224" w:rsidRPr="00155F23">
        <w:t>Victoria</w:t>
      </w:r>
      <w:r w:rsidR="005B4224">
        <w:t>,</w:t>
      </w:r>
      <w:r w:rsidR="005B4224" w:rsidRPr="00155F23">
        <w:t xml:space="preserve"> 201</w:t>
      </w:r>
      <w:r w:rsidR="005B4224">
        <w:t>9</w:t>
      </w:r>
      <w:r w:rsidR="00F07D91">
        <w:t>–</w:t>
      </w:r>
      <w:r w:rsidR="005B4224">
        <w:t>20</w:t>
      </w:r>
      <w:bookmarkEnd w:id="54"/>
    </w:p>
    <w:p w14:paraId="75AA455F" w14:textId="509BC436" w:rsidR="006C28A4" w:rsidRPr="006C28A4" w:rsidRDefault="00C97D7A" w:rsidP="006C28A4">
      <w:r>
        <w:rPr>
          <w:noProof/>
        </w:rPr>
        <w:lastRenderedPageBreak/>
        <w:drawing>
          <wp:inline distT="0" distB="0" distL="0" distR="0" wp14:anchorId="334F70E9" wp14:editId="3014CFC5">
            <wp:extent cx="5095875" cy="2061713"/>
            <wp:effectExtent l="0" t="0" r="0" b="0"/>
            <wp:docPr id="54"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extLst>
                        <a:ext uri="{C183D7F6-B498-43B3-948B-1728B52AA6E4}">
                          <adec:decorative xmlns:adec="http://schemas.microsoft.com/office/drawing/2017/decorative" val="1"/>
                        </a:ext>
                      </a:extLst>
                    </pic:cNvPr>
                    <pic:cNvPicPr>
                      <a:picLocks noChangeAspect="1" noChangeArrowheads="1"/>
                    </pic:cNvPicPr>
                  </pic:nvPicPr>
                  <pic:blipFill rotWithShape="1">
                    <a:blip r:embed="rId42">
                      <a:extLst>
                        <a:ext uri="{28A0092B-C50C-407E-A947-70E740481C1C}">
                          <a14:useLocalDpi xmlns:a14="http://schemas.microsoft.com/office/drawing/2010/main" val="0"/>
                        </a:ext>
                      </a:extLst>
                    </a:blip>
                    <a:srcRect t="4312" b="9762"/>
                    <a:stretch/>
                  </pic:blipFill>
                  <pic:spPr bwMode="auto">
                    <a:xfrm>
                      <a:off x="0" y="0"/>
                      <a:ext cx="5097780" cy="2062484"/>
                    </a:xfrm>
                    <a:prstGeom prst="rect">
                      <a:avLst/>
                    </a:prstGeom>
                    <a:noFill/>
                    <a:ln>
                      <a:noFill/>
                    </a:ln>
                    <a:extLst>
                      <a:ext uri="{53640926-AAD7-44D8-BBD7-CCE9431645EC}">
                        <a14:shadowObscured xmlns:a14="http://schemas.microsoft.com/office/drawing/2010/main"/>
                      </a:ext>
                    </a:extLst>
                  </pic:spPr>
                </pic:pic>
              </a:graphicData>
            </a:graphic>
          </wp:inline>
        </w:drawing>
      </w:r>
    </w:p>
    <w:p w14:paraId="0AF978B8" w14:textId="245CC384" w:rsidR="00954B8B" w:rsidRDefault="00CE4255" w:rsidP="00954B8B">
      <w:pPr>
        <w:pStyle w:val="Heading1Numbered"/>
      </w:pPr>
      <w:bookmarkStart w:id="55" w:name="_Toc78881410"/>
      <w:bookmarkStart w:id="56" w:name="_Toc83108369"/>
      <w:bookmarkStart w:id="57" w:name="_Hlk71104715"/>
      <w:r>
        <w:t>Paper and cardboard</w:t>
      </w:r>
      <w:bookmarkEnd w:id="55"/>
      <w:bookmarkEnd w:id="56"/>
    </w:p>
    <w:p w14:paraId="048F887B" w14:textId="6B3F69B7" w:rsidR="00954B8B" w:rsidRDefault="007D11FD" w:rsidP="00A73696">
      <w:pPr>
        <w:pStyle w:val="casestudybox"/>
      </w:pPr>
      <w:r w:rsidRPr="00A73696">
        <w:t>»</w:t>
      </w:r>
      <w:r>
        <w:t xml:space="preserve"> </w:t>
      </w:r>
      <w:r w:rsidR="00954B8B">
        <w:t>Paper and cardboard</w:t>
      </w:r>
      <w:r w:rsidR="00954B8B" w:rsidRPr="00A70672">
        <w:t xml:space="preserve"> </w:t>
      </w:r>
      <w:r w:rsidR="00954B8B">
        <w:t>material recovered for reprocessing decreased by 1</w:t>
      </w:r>
      <w:r w:rsidR="00D65329">
        <w:t>0.8</w:t>
      </w:r>
      <w:r w:rsidR="00954B8B">
        <w:t> per cent to 1.11 Mt since 2018–19.</w:t>
      </w:r>
    </w:p>
    <w:p w14:paraId="117379FA" w14:textId="453682BA" w:rsidR="00954B8B" w:rsidRDefault="007D11FD" w:rsidP="00A73696">
      <w:pPr>
        <w:pStyle w:val="casestudybox"/>
      </w:pPr>
      <w:r w:rsidRPr="00A73696">
        <w:t>»</w:t>
      </w:r>
      <w:r>
        <w:t xml:space="preserve"> </w:t>
      </w:r>
      <w:r w:rsidR="00954B8B">
        <w:t>Of the 1.11 Mt, 6</w:t>
      </w:r>
      <w:r w:rsidR="00D65329">
        <w:t>3.9</w:t>
      </w:r>
      <w:r w:rsidR="00954B8B">
        <w:t> per cent (0.71 Mt) was paper and 36</w:t>
      </w:r>
      <w:r w:rsidR="00D65329">
        <w:t>.1</w:t>
      </w:r>
      <w:r w:rsidR="00954B8B">
        <w:t> per cent was cardboard (0.40 Mt).</w:t>
      </w:r>
    </w:p>
    <w:p w14:paraId="161B3481" w14:textId="2D49CD93" w:rsidR="00954B8B" w:rsidRDefault="007D11FD" w:rsidP="00A73696">
      <w:pPr>
        <w:pStyle w:val="casestudybox"/>
      </w:pPr>
      <w:r w:rsidRPr="00A73696">
        <w:t>»</w:t>
      </w:r>
      <w:r>
        <w:t xml:space="preserve"> </w:t>
      </w:r>
      <w:r w:rsidR="00954B8B">
        <w:t>C&amp;I contributed 8</w:t>
      </w:r>
      <w:r w:rsidR="00D65329">
        <w:t>1.7</w:t>
      </w:r>
      <w:r w:rsidR="00954B8B">
        <w:t> per cent of paper and cardboard recovered for reprocessing.</w:t>
      </w:r>
    </w:p>
    <w:p w14:paraId="2CB9F3AF" w14:textId="201CE919" w:rsidR="00954B8B" w:rsidRDefault="007D11FD" w:rsidP="00A73696">
      <w:pPr>
        <w:pStyle w:val="casestudybox"/>
      </w:pPr>
      <w:r w:rsidRPr="00A73696">
        <w:t>»</w:t>
      </w:r>
      <w:r>
        <w:t xml:space="preserve"> </w:t>
      </w:r>
      <w:r w:rsidR="00954B8B">
        <w:t>MSW contributed 18</w:t>
      </w:r>
      <w:r w:rsidR="00D65329">
        <w:t>.3</w:t>
      </w:r>
      <w:r w:rsidR="00954B8B">
        <w:t> per cent of paper and cardboard recovered for reprocessing and consisted of mainly paper.</w:t>
      </w:r>
    </w:p>
    <w:p w14:paraId="6E8F251C" w14:textId="5A180158" w:rsidR="00954B8B" w:rsidRDefault="007D11FD" w:rsidP="00A73696">
      <w:pPr>
        <w:pStyle w:val="casestudybox"/>
      </w:pPr>
      <w:r w:rsidRPr="00A73696">
        <w:t>»</w:t>
      </w:r>
      <w:r>
        <w:t xml:space="preserve"> </w:t>
      </w:r>
      <w:r w:rsidR="00954B8B">
        <w:t>Recovered cardboard was mainly sourced from C&amp;I.</w:t>
      </w:r>
    </w:p>
    <w:p w14:paraId="31C093C8" w14:textId="58482AEC" w:rsidR="00F71C72" w:rsidRDefault="00CE4255" w:rsidP="00240B02">
      <w:pPr>
        <w:spacing w:before="240"/>
      </w:pPr>
      <w:r w:rsidRPr="00DE0AF9">
        <w:t>In 2019</w:t>
      </w:r>
      <w:r w:rsidR="00F07D91" w:rsidRPr="00DE0AF9">
        <w:t>–</w:t>
      </w:r>
      <w:r>
        <w:t>20, 1.11 </w:t>
      </w:r>
      <w:r w:rsidR="00F65324">
        <w:t>Mt</w:t>
      </w:r>
      <w:r>
        <w:t xml:space="preserve"> of paper and cardboard was recovered for reprocessing in Victoria, a 1</w:t>
      </w:r>
      <w:r w:rsidR="00E76CF9">
        <w:t>0.8</w:t>
      </w:r>
      <w:r w:rsidR="00667F9B">
        <w:t> p</w:t>
      </w:r>
      <w:r>
        <w:t>er cent decrease from 2018</w:t>
      </w:r>
      <w:r w:rsidR="00F07D91">
        <w:t>–</w:t>
      </w:r>
      <w:r>
        <w:t>19</w:t>
      </w:r>
      <w:r w:rsidR="007413FC">
        <w:t xml:space="preserve"> (1.2</w:t>
      </w:r>
      <w:r w:rsidR="00C64428">
        <w:t>5 M</w:t>
      </w:r>
      <w:r w:rsidR="00F65324">
        <w:t>t</w:t>
      </w:r>
      <w:r w:rsidR="007413FC">
        <w:t>)</w:t>
      </w:r>
      <w:r>
        <w:t xml:space="preserve">. </w:t>
      </w:r>
      <w:r w:rsidR="009826AA">
        <w:t xml:space="preserve">This continues </w:t>
      </w:r>
      <w:r w:rsidR="00DB2EC7">
        <w:t>last year</w:t>
      </w:r>
      <w:r w:rsidR="00195D76">
        <w:t>’</w:t>
      </w:r>
      <w:r w:rsidR="00DB2EC7">
        <w:t>s</w:t>
      </w:r>
      <w:r w:rsidR="00A2202F">
        <w:t xml:space="preserve"> observed</w:t>
      </w:r>
      <w:r w:rsidR="00DB2EC7">
        <w:t xml:space="preserve"> </w:t>
      </w:r>
      <w:r w:rsidR="00A2202F">
        <w:t>decrease</w:t>
      </w:r>
      <w:r w:rsidR="00DB2EC7">
        <w:t xml:space="preserve">, </w:t>
      </w:r>
      <w:r w:rsidR="0016689A">
        <w:t>making a</w:t>
      </w:r>
      <w:r w:rsidR="00F06072">
        <w:t xml:space="preserve"> cumulative</w:t>
      </w:r>
      <w:r w:rsidR="0016689A">
        <w:t xml:space="preserve"> 2</w:t>
      </w:r>
      <w:r w:rsidR="00E76CF9">
        <w:t>4.7</w:t>
      </w:r>
      <w:r w:rsidR="00C64428">
        <w:t> p</w:t>
      </w:r>
      <w:r w:rsidR="00F06072">
        <w:t xml:space="preserve">er cent </w:t>
      </w:r>
      <w:r w:rsidR="0016689A">
        <w:t xml:space="preserve">decrease since </w:t>
      </w:r>
      <w:r w:rsidR="00953AE2">
        <w:t>2017</w:t>
      </w:r>
      <w:r w:rsidR="00F07D91">
        <w:t>–</w:t>
      </w:r>
      <w:r w:rsidR="00953AE2">
        <w:t>18</w:t>
      </w:r>
      <w:r w:rsidR="007413FC">
        <w:t xml:space="preserve"> (1.4</w:t>
      </w:r>
      <w:r w:rsidR="00C64428">
        <w:t>8 M</w:t>
      </w:r>
      <w:r w:rsidR="00F65324">
        <w:t>t</w:t>
      </w:r>
      <w:r w:rsidR="007413FC">
        <w:t>)</w:t>
      </w:r>
      <w:r w:rsidR="00550CDE">
        <w:t>.</w:t>
      </w:r>
      <w:r w:rsidR="00F71C72">
        <w:t xml:space="preserve"> This reduction in paper recovery is a symptom of the weak market value of recycled and virgin paper products as well as fragmented and interrupted markets. Th</w:t>
      </w:r>
      <w:r w:rsidR="00B223C4">
        <w:t>e</w:t>
      </w:r>
      <w:r w:rsidR="00F71C72">
        <w:t>s</w:t>
      </w:r>
      <w:r w:rsidR="00B223C4">
        <w:t>e</w:t>
      </w:r>
      <w:r w:rsidR="00F71C72">
        <w:t xml:space="preserve"> market</w:t>
      </w:r>
      <w:r w:rsidR="00B223C4">
        <w:t xml:space="preserve"> trends are</w:t>
      </w:r>
      <w:r w:rsidR="00F71C72">
        <w:t xml:space="preserve"> discussed in more detail in </w:t>
      </w:r>
      <w:r w:rsidR="0012111B">
        <w:t>the</w:t>
      </w:r>
      <w:r w:rsidR="0012111B" w:rsidRPr="007C14F5">
        <w:rPr>
          <w:i/>
          <w:iCs/>
        </w:rPr>
        <w:t xml:space="preserve"> </w:t>
      </w:r>
      <w:r w:rsidR="00583AFA" w:rsidRPr="001341FB">
        <w:t>S</w:t>
      </w:r>
      <w:r w:rsidR="000A5FDC">
        <w:t>SR</w:t>
      </w:r>
      <w:r w:rsidR="00F71C72" w:rsidRPr="000A5FDC">
        <w:t>.</w:t>
      </w:r>
    </w:p>
    <w:p w14:paraId="25D12F36" w14:textId="6F6C8752" w:rsidR="00427264" w:rsidRDefault="000D0074" w:rsidP="00A02813">
      <w:r>
        <w:fldChar w:fldCharType="begin"/>
      </w:r>
      <w:r>
        <w:instrText xml:space="preserve"> REF _Ref72497062 \h </w:instrText>
      </w:r>
      <w:r>
        <w:fldChar w:fldCharType="separate"/>
      </w:r>
      <w:r w:rsidR="00176C53">
        <w:t xml:space="preserve">Figure </w:t>
      </w:r>
      <w:r w:rsidR="00176C53">
        <w:rPr>
          <w:noProof/>
        </w:rPr>
        <w:t>15</w:t>
      </w:r>
      <w:r>
        <w:fldChar w:fldCharType="end"/>
      </w:r>
      <w:r>
        <w:t xml:space="preserve"> charts the downwards trend for recovered paper and cardboard</w:t>
      </w:r>
      <w:r w:rsidR="0029648B">
        <w:t>,</w:t>
      </w:r>
      <w:r>
        <w:t xml:space="preserve"> </w:t>
      </w:r>
      <w:r w:rsidR="00F71C72">
        <w:t xml:space="preserve">which has decreased by </w:t>
      </w:r>
      <w:r w:rsidR="00667F9B">
        <w:t>8</w:t>
      </w:r>
      <w:r w:rsidR="00E76CF9">
        <w:t>.1</w:t>
      </w:r>
      <w:r w:rsidR="00667F9B">
        <w:t> p</w:t>
      </w:r>
      <w:r w:rsidR="00F71C72">
        <w:t>er cent since 2010–11.</w:t>
      </w:r>
    </w:p>
    <w:p w14:paraId="4A603831" w14:textId="04B605FD" w:rsidR="00F206C5" w:rsidRDefault="00550CDE" w:rsidP="00550CDE">
      <w:pPr>
        <w:pStyle w:val="FigureCaption"/>
      </w:pPr>
      <w:bookmarkStart w:id="58" w:name="_Ref72497062"/>
      <w:bookmarkStart w:id="59" w:name="_Toc77087515"/>
      <w:r>
        <w:t xml:space="preserve">Figure </w:t>
      </w:r>
      <w:r w:rsidR="0085736C">
        <w:fldChar w:fldCharType="begin"/>
      </w:r>
      <w:r w:rsidR="0085736C">
        <w:instrText xml:space="preserve"> SEQ Figure \* ARABIC </w:instrText>
      </w:r>
      <w:r w:rsidR="0085736C">
        <w:fldChar w:fldCharType="separate"/>
      </w:r>
      <w:r w:rsidR="00176C53">
        <w:rPr>
          <w:noProof/>
        </w:rPr>
        <w:t>15</w:t>
      </w:r>
      <w:r w:rsidR="0085736C">
        <w:rPr>
          <w:noProof/>
        </w:rPr>
        <w:fldChar w:fldCharType="end"/>
      </w:r>
      <w:bookmarkEnd w:id="58"/>
      <w:r>
        <w:t xml:space="preserve">: </w:t>
      </w:r>
      <w:r w:rsidR="00953AE2">
        <w:t xml:space="preserve">Paper and cardboard </w:t>
      </w:r>
      <w:r w:rsidR="00953AE2" w:rsidRPr="00B270B8">
        <w:t>waste</w:t>
      </w:r>
      <w:r w:rsidR="00953AE2">
        <w:t>s</w:t>
      </w:r>
      <w:r w:rsidR="00953AE2" w:rsidRPr="00B270B8">
        <w:t xml:space="preserve"> recovered for reprocessing </w:t>
      </w:r>
      <w:r w:rsidR="00E82CE7">
        <w:t>(</w:t>
      </w:r>
      <w:r w:rsidR="000502C0">
        <w:rPr>
          <w:rFonts w:ascii="Arial" w:hAnsi="Arial" w:cs="Arial"/>
        </w:rPr>
        <w:t>kt</w:t>
      </w:r>
      <w:r w:rsidR="00E82CE7">
        <w:t>)</w:t>
      </w:r>
      <w:r w:rsidR="00E82CE7" w:rsidRPr="00D16878">
        <w:t xml:space="preserve"> </w:t>
      </w:r>
      <w:r w:rsidR="00953AE2" w:rsidRPr="00B270B8">
        <w:t xml:space="preserve">in Victoria, </w:t>
      </w:r>
      <w:r w:rsidR="00953AE2">
        <w:t>2010</w:t>
      </w:r>
      <w:r w:rsidR="00F07D91">
        <w:t>–</w:t>
      </w:r>
      <w:r w:rsidR="00953AE2">
        <w:t>11</w:t>
      </w:r>
      <w:r w:rsidR="00953AE2" w:rsidRPr="00B270B8">
        <w:t xml:space="preserve"> to 201</w:t>
      </w:r>
      <w:r w:rsidR="00953AE2">
        <w:t>9</w:t>
      </w:r>
      <w:r w:rsidR="00F07D91">
        <w:t>–</w:t>
      </w:r>
      <w:r w:rsidR="00953AE2">
        <w:t>20</w:t>
      </w:r>
      <w:bookmarkEnd w:id="59"/>
    </w:p>
    <w:p w14:paraId="346CC6F3" w14:textId="6A171DDD" w:rsidR="00F770DD" w:rsidRDefault="00872A9E" w:rsidP="005147AC">
      <w:r>
        <w:rPr>
          <w:noProof/>
        </w:rPr>
        <w:drawing>
          <wp:inline distT="0" distB="0" distL="0" distR="0" wp14:anchorId="1121F110" wp14:editId="0ADC9D28">
            <wp:extent cx="4930140" cy="2407920"/>
            <wp:effectExtent l="0" t="0" r="3810" b="0"/>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30140" cy="2407920"/>
                    </a:xfrm>
                    <a:prstGeom prst="rect">
                      <a:avLst/>
                    </a:prstGeom>
                    <a:noFill/>
                  </pic:spPr>
                </pic:pic>
              </a:graphicData>
            </a:graphic>
          </wp:inline>
        </w:drawing>
      </w:r>
      <w:bookmarkEnd w:id="57"/>
    </w:p>
    <w:p w14:paraId="7E8296C0" w14:textId="5BF3B752" w:rsidR="005147AC" w:rsidRPr="005147AC" w:rsidRDefault="00A228F9" w:rsidP="005147AC">
      <w:r>
        <w:lastRenderedPageBreak/>
        <w:t xml:space="preserve">Of the paper and cardboard recovered for reprocessing in </w:t>
      </w:r>
      <w:r w:rsidR="00CE1E77">
        <w:t>2019</w:t>
      </w:r>
      <w:r w:rsidR="00F07D91">
        <w:t>–</w:t>
      </w:r>
      <w:r w:rsidR="00CE1E77">
        <w:t>20</w:t>
      </w:r>
      <w:r w:rsidR="009D7336">
        <w:t xml:space="preserve">, </w:t>
      </w:r>
      <w:r w:rsidR="00C731CF">
        <w:t>6</w:t>
      </w:r>
      <w:r w:rsidR="00E76CF9">
        <w:t>3.9</w:t>
      </w:r>
      <w:r w:rsidR="00C731CF">
        <w:t> per cent (</w:t>
      </w:r>
      <w:r w:rsidR="008E617F">
        <w:t>712.5</w:t>
      </w:r>
      <w:r w:rsidR="00C64428">
        <w:t> </w:t>
      </w:r>
      <w:r w:rsidR="008E617F">
        <w:t>k</w:t>
      </w:r>
      <w:r w:rsidR="00F65324">
        <w:t>t</w:t>
      </w:r>
      <w:r w:rsidR="00C731CF">
        <w:t>) was paper and 36</w:t>
      </w:r>
      <w:r w:rsidR="00E76CF9">
        <w:t>.1</w:t>
      </w:r>
      <w:r w:rsidR="00FD258A">
        <w:t> per cent was cardboard</w:t>
      </w:r>
      <w:r w:rsidR="007413FC">
        <w:t xml:space="preserve"> (</w:t>
      </w:r>
      <w:r w:rsidR="008E617F">
        <w:t>402.3</w:t>
      </w:r>
      <w:r w:rsidR="00C64428">
        <w:t> </w:t>
      </w:r>
      <w:r w:rsidR="008E617F">
        <w:t>k</w:t>
      </w:r>
      <w:r w:rsidR="00F65324">
        <w:t>t</w:t>
      </w:r>
      <w:r w:rsidR="007413FC">
        <w:t>)</w:t>
      </w:r>
      <w:r w:rsidR="005147AC">
        <w:t>.</w:t>
      </w:r>
    </w:p>
    <w:p w14:paraId="4C4EE8AA" w14:textId="246B0A8B" w:rsidR="009D7336" w:rsidRDefault="00550CDE" w:rsidP="009D7336">
      <w:r>
        <w:fldChar w:fldCharType="begin"/>
      </w:r>
      <w:r>
        <w:instrText xml:space="preserve"> REF _Ref72497144 \h </w:instrText>
      </w:r>
      <w:r>
        <w:fldChar w:fldCharType="separate"/>
      </w:r>
      <w:r w:rsidR="00176C53">
        <w:t xml:space="preserve">Figure </w:t>
      </w:r>
      <w:r w:rsidR="00176C53">
        <w:rPr>
          <w:noProof/>
        </w:rPr>
        <w:t>16</w:t>
      </w:r>
      <w:r>
        <w:fldChar w:fldCharType="end"/>
      </w:r>
      <w:r w:rsidR="00F71C72">
        <w:t xml:space="preserve"> illustrates the </w:t>
      </w:r>
      <w:r w:rsidR="005147AC">
        <w:t xml:space="preserve">composition of these </w:t>
      </w:r>
      <w:r w:rsidR="00F71C72">
        <w:t xml:space="preserve">material types </w:t>
      </w:r>
      <w:r w:rsidR="005147AC">
        <w:t>(paper, cardboard) in relation to</w:t>
      </w:r>
      <w:r w:rsidR="00F71C72">
        <w:t xml:space="preserve"> the source sectors that they came from in 2019–20</w:t>
      </w:r>
      <w:r w:rsidR="00A228F9">
        <w:t>.</w:t>
      </w:r>
      <w:r w:rsidR="00F71C72">
        <w:t xml:space="preserve"> </w:t>
      </w:r>
      <w:r w:rsidR="00A228F9">
        <w:t xml:space="preserve">The figure </w:t>
      </w:r>
      <w:r w:rsidR="00F71C72">
        <w:t>shows:</w:t>
      </w:r>
    </w:p>
    <w:p w14:paraId="44585EB1" w14:textId="210B2D9E" w:rsidR="00390DAD" w:rsidRDefault="00C731CF" w:rsidP="009D7336">
      <w:pPr>
        <w:pStyle w:val="ListBullet"/>
      </w:pPr>
      <w:r>
        <w:t>paper</w:t>
      </w:r>
      <w:r w:rsidR="00390DAD">
        <w:t xml:space="preserve"> was </w:t>
      </w:r>
      <w:r w:rsidR="005147AC">
        <w:t>primarily</w:t>
      </w:r>
      <w:r w:rsidR="00390DAD">
        <w:t xml:space="preserve"> recovered from C&amp;I</w:t>
      </w:r>
      <w:r w:rsidR="00E63562">
        <w:t>,</w:t>
      </w:r>
      <w:r w:rsidR="004D5542">
        <w:t xml:space="preserve"> accounting for </w:t>
      </w:r>
      <w:r>
        <w:t>5</w:t>
      </w:r>
      <w:r w:rsidR="00E76CF9">
        <w:t>5.9</w:t>
      </w:r>
      <w:r w:rsidR="00667F9B">
        <w:t> p</w:t>
      </w:r>
      <w:r w:rsidR="004D5542">
        <w:t>er cent</w:t>
      </w:r>
      <w:r w:rsidR="00EE046C">
        <w:t xml:space="preserve"> of the tota</w:t>
      </w:r>
      <w:r w:rsidR="007922FA">
        <w:t>l</w:t>
      </w:r>
      <w:r w:rsidR="004D5542">
        <w:t xml:space="preserve"> </w:t>
      </w:r>
      <w:r w:rsidR="00401C65">
        <w:t xml:space="preserve">paper </w:t>
      </w:r>
      <w:r w:rsidR="004D5542">
        <w:t>recovered</w:t>
      </w:r>
    </w:p>
    <w:p w14:paraId="0A40A5CA" w14:textId="727EAF38" w:rsidR="009D7336" w:rsidRDefault="00A228F9" w:rsidP="009D7336">
      <w:pPr>
        <w:pStyle w:val="ListBullet"/>
      </w:pPr>
      <w:r>
        <w:t>p</w:t>
      </w:r>
      <w:r w:rsidR="00E63562">
        <w:t xml:space="preserve">aper </w:t>
      </w:r>
      <w:r w:rsidR="009D7336">
        <w:t>was the primary material recovered from MSW</w:t>
      </w:r>
    </w:p>
    <w:p w14:paraId="302EA038" w14:textId="7D582885" w:rsidR="000A5B83" w:rsidRDefault="000A5B83" w:rsidP="009D7336">
      <w:pPr>
        <w:pStyle w:val="ListBullet"/>
      </w:pPr>
      <w:r>
        <w:t xml:space="preserve">cardboard was </w:t>
      </w:r>
      <w:r w:rsidR="009926EC">
        <w:t>primarily recovered from C&amp;I</w:t>
      </w:r>
    </w:p>
    <w:p w14:paraId="3BC9F39F" w14:textId="63A37E38" w:rsidR="00953AE2" w:rsidRDefault="00A228F9" w:rsidP="00F71C72">
      <w:pPr>
        <w:pStyle w:val="ListBullet"/>
      </w:pPr>
      <w:r>
        <w:t>t</w:t>
      </w:r>
      <w:r w:rsidR="00E63562">
        <w:t xml:space="preserve">he </w:t>
      </w:r>
      <w:r w:rsidR="009D7336">
        <w:t>amount of paper and cardboard recovered from the C&amp;D sector was negligible</w:t>
      </w:r>
      <w:r w:rsidR="00DE0AF9">
        <w:t>.</w:t>
      </w:r>
    </w:p>
    <w:p w14:paraId="122E060F" w14:textId="0AAB2D84" w:rsidR="00B223C4" w:rsidRDefault="00B223C4" w:rsidP="00B223C4"/>
    <w:p w14:paraId="63FDE00A" w14:textId="77777777" w:rsidR="00B223C4" w:rsidRDefault="00B223C4" w:rsidP="00B223C4"/>
    <w:p w14:paraId="549CBFDF" w14:textId="67F66EE3" w:rsidR="00953AE2" w:rsidRDefault="00550CDE" w:rsidP="00550CDE">
      <w:pPr>
        <w:pStyle w:val="FigureCaption"/>
      </w:pPr>
      <w:bookmarkStart w:id="60" w:name="_Ref72497144"/>
      <w:bookmarkStart w:id="61" w:name="_Toc77087516"/>
      <w:r>
        <w:t xml:space="preserve">Figure </w:t>
      </w:r>
      <w:r w:rsidR="0085736C">
        <w:fldChar w:fldCharType="begin"/>
      </w:r>
      <w:r w:rsidR="0085736C">
        <w:instrText xml:space="preserve"> SEQ Figure \* ARABIC </w:instrText>
      </w:r>
      <w:r w:rsidR="0085736C">
        <w:fldChar w:fldCharType="separate"/>
      </w:r>
      <w:r w:rsidR="00176C53">
        <w:rPr>
          <w:noProof/>
        </w:rPr>
        <w:t>16</w:t>
      </w:r>
      <w:r w:rsidR="0085736C">
        <w:rPr>
          <w:noProof/>
        </w:rPr>
        <w:fldChar w:fldCharType="end"/>
      </w:r>
      <w:bookmarkEnd w:id="60"/>
      <w:r>
        <w:t xml:space="preserve">: </w:t>
      </w:r>
      <w:r w:rsidR="00F71C72">
        <w:t>P</w:t>
      </w:r>
      <w:r w:rsidR="00953AE2">
        <w:t>aper and cardboard</w:t>
      </w:r>
      <w:r w:rsidR="00F71C72">
        <w:t xml:space="preserve"> material type</w:t>
      </w:r>
      <w:r w:rsidR="003863D0">
        <w:t xml:space="preserve"> composition</w:t>
      </w:r>
      <w:r w:rsidR="00F71C72">
        <w:t xml:space="preserve"> by source sector</w:t>
      </w:r>
      <w:r w:rsidR="001F5BFC">
        <w:t xml:space="preserve"> in </w:t>
      </w:r>
      <w:r w:rsidR="00953AE2">
        <w:t>Victoria,</w:t>
      </w:r>
      <w:r w:rsidR="00953AE2" w:rsidRPr="001A5146">
        <w:t xml:space="preserve"> 201</w:t>
      </w:r>
      <w:r w:rsidR="00953AE2">
        <w:t>9</w:t>
      </w:r>
      <w:r w:rsidR="00F07D91">
        <w:t>–</w:t>
      </w:r>
      <w:r w:rsidR="00953AE2">
        <w:t>20</w:t>
      </w:r>
      <w:bookmarkEnd w:id="61"/>
    </w:p>
    <w:p w14:paraId="14AC0D3C" w14:textId="0733904A" w:rsidR="00F15E5D" w:rsidRDefault="00872A9E" w:rsidP="00CE4255">
      <w:r>
        <w:rPr>
          <w:noProof/>
        </w:rPr>
        <w:drawing>
          <wp:inline distT="0" distB="0" distL="0" distR="0" wp14:anchorId="6CA161B4" wp14:editId="4C85C100">
            <wp:extent cx="4846320" cy="2392680"/>
            <wp:effectExtent l="0" t="0" r="0" b="7620"/>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46320" cy="2392680"/>
                    </a:xfrm>
                    <a:prstGeom prst="rect">
                      <a:avLst/>
                    </a:prstGeom>
                    <a:noFill/>
                  </pic:spPr>
                </pic:pic>
              </a:graphicData>
            </a:graphic>
          </wp:inline>
        </w:drawing>
      </w:r>
    </w:p>
    <w:p w14:paraId="5A5019DB" w14:textId="47DC05E2" w:rsidR="00954B8B" w:rsidRDefault="00CE4255" w:rsidP="00954B8B">
      <w:pPr>
        <w:pStyle w:val="Heading1Numbered"/>
      </w:pPr>
      <w:bookmarkStart w:id="62" w:name="_Toc78881411"/>
      <w:bookmarkStart w:id="63" w:name="_Toc83108370"/>
      <w:bookmarkStart w:id="64" w:name="_Hlk71104744"/>
      <w:r>
        <w:t>Plastics</w:t>
      </w:r>
      <w:bookmarkEnd w:id="62"/>
      <w:bookmarkEnd w:id="63"/>
    </w:p>
    <w:p w14:paraId="64FFCEF2" w14:textId="19CC0AD0" w:rsidR="00954B8B" w:rsidRPr="00A73696" w:rsidRDefault="00A73696" w:rsidP="00A73696">
      <w:pPr>
        <w:pStyle w:val="casestudybox"/>
      </w:pPr>
      <w:bookmarkStart w:id="65" w:name="_Hlk81999634"/>
      <w:r w:rsidRPr="00A73696">
        <w:t>»</w:t>
      </w:r>
      <w:bookmarkEnd w:id="65"/>
      <w:r w:rsidRPr="00A73696">
        <w:rPr>
          <w:rStyle w:val="casestudyboxChar"/>
          <w:shd w:val="clear" w:color="auto" w:fill="auto"/>
        </w:rPr>
        <w:t xml:space="preserve"> </w:t>
      </w:r>
      <w:r w:rsidR="00954B8B" w:rsidRPr="00A73696">
        <w:t xml:space="preserve">Plastic materials recovered for reprocessing decreased by </w:t>
      </w:r>
      <w:r w:rsidR="00E76CF9">
        <w:t>1.7</w:t>
      </w:r>
      <w:r w:rsidR="00954B8B" w:rsidRPr="00A73696">
        <w:t> per cent to 14</w:t>
      </w:r>
      <w:r w:rsidR="00A87CA0">
        <w:t>0.1</w:t>
      </w:r>
      <w:r w:rsidR="00954B8B" w:rsidRPr="00A73696">
        <w:t> kt since 2018–19.</w:t>
      </w:r>
    </w:p>
    <w:p w14:paraId="44B301B1" w14:textId="1FA9F14B" w:rsidR="00954B8B" w:rsidRDefault="007D11FD" w:rsidP="00A73696">
      <w:pPr>
        <w:pStyle w:val="casestudybox"/>
      </w:pPr>
      <w:r w:rsidRPr="00A73696">
        <w:t>»</w:t>
      </w:r>
      <w:r>
        <w:t xml:space="preserve"> </w:t>
      </w:r>
      <w:r w:rsidR="00954B8B">
        <w:t>The C&amp;I and MSW sectors contributed 9</w:t>
      </w:r>
      <w:r w:rsidR="00E76CF9">
        <w:t>7.7</w:t>
      </w:r>
      <w:r w:rsidR="00954B8B">
        <w:t> per cent of the plastic materials recovered for reprocessing.</w:t>
      </w:r>
    </w:p>
    <w:p w14:paraId="362C853A" w14:textId="1B46510D" w:rsidR="00954B8B" w:rsidRDefault="007D11FD" w:rsidP="00E76CF9">
      <w:pPr>
        <w:pStyle w:val="casestudybox"/>
      </w:pPr>
      <w:r w:rsidRPr="00A73696">
        <w:t>»</w:t>
      </w:r>
      <w:r>
        <w:t xml:space="preserve"> </w:t>
      </w:r>
      <w:r w:rsidR="00954B8B">
        <w:t>PE-HD, PP, PET and PE-LD / LLD contributed to 7</w:t>
      </w:r>
      <w:r w:rsidR="00E76CF9">
        <w:t>5.1</w:t>
      </w:r>
      <w:r w:rsidR="00954B8B">
        <w:t> per cent of all plastic types recovered.</w:t>
      </w:r>
    </w:p>
    <w:p w14:paraId="17F3D8A3" w14:textId="76428BC5" w:rsidR="002E2D2A" w:rsidRDefault="00A96A3A" w:rsidP="00240B02">
      <w:pPr>
        <w:spacing w:before="240"/>
      </w:pPr>
      <w:r>
        <w:t>In 2019</w:t>
      </w:r>
      <w:r w:rsidR="00F07D91">
        <w:t>–</w:t>
      </w:r>
      <w:r>
        <w:t xml:space="preserve">20, </w:t>
      </w:r>
      <w:r w:rsidR="00DF4473">
        <w:t>14</w:t>
      </w:r>
      <w:r w:rsidR="00C64428">
        <w:t>0</w:t>
      </w:r>
      <w:r w:rsidR="00A87CA0">
        <w:t>.1</w:t>
      </w:r>
      <w:r w:rsidR="00C64428">
        <w:t> </w:t>
      </w:r>
      <w:r w:rsidR="007915B2">
        <w:t>kt</w:t>
      </w:r>
      <w:r>
        <w:t xml:space="preserve"> of plastics </w:t>
      </w:r>
      <w:r w:rsidR="002F0B91">
        <w:t xml:space="preserve">was </w:t>
      </w:r>
      <w:r>
        <w:t xml:space="preserve">recovered for reprocessing in Victoria, a </w:t>
      </w:r>
      <w:r w:rsidR="00E76CF9">
        <w:t>1.7</w:t>
      </w:r>
      <w:r>
        <w:t> per cent decrease from 2018</w:t>
      </w:r>
      <w:r w:rsidR="00F07D91">
        <w:t>–</w:t>
      </w:r>
      <w:r>
        <w:t>19</w:t>
      </w:r>
      <w:r w:rsidR="00DF4473">
        <w:t xml:space="preserve"> (14</w:t>
      </w:r>
      <w:r w:rsidR="00A87CA0">
        <w:t>2.5</w:t>
      </w:r>
      <w:r w:rsidR="00C64428">
        <w:t> </w:t>
      </w:r>
      <w:r w:rsidR="007915B2">
        <w:t>kt</w:t>
      </w:r>
      <w:r w:rsidR="00DF4473">
        <w:t>)</w:t>
      </w:r>
      <w:r>
        <w:t xml:space="preserve">. </w:t>
      </w:r>
      <w:r w:rsidR="00550CDE">
        <w:fldChar w:fldCharType="begin"/>
      </w:r>
      <w:r w:rsidR="00550CDE">
        <w:instrText xml:space="preserve"> REF _Ref72497192 \h </w:instrText>
      </w:r>
      <w:r w:rsidR="00550CDE">
        <w:fldChar w:fldCharType="separate"/>
      </w:r>
      <w:r w:rsidR="00176C53">
        <w:t xml:space="preserve">Figure </w:t>
      </w:r>
      <w:r w:rsidR="00176C53">
        <w:rPr>
          <w:noProof/>
        </w:rPr>
        <w:t>17</w:t>
      </w:r>
      <w:r w:rsidR="00550CDE">
        <w:fldChar w:fldCharType="end"/>
      </w:r>
      <w:r w:rsidR="00550CDE">
        <w:t xml:space="preserve"> </w:t>
      </w:r>
      <w:r>
        <w:t>presents the trend of plastics recovered for reprocessing over the last 10 years</w:t>
      </w:r>
      <w:r w:rsidR="00565602">
        <w:t>.</w:t>
      </w:r>
      <w:r>
        <w:t xml:space="preserve"> </w:t>
      </w:r>
      <w:r w:rsidR="00565602">
        <w:t xml:space="preserve">The trend </w:t>
      </w:r>
      <w:r>
        <w:t xml:space="preserve">has </w:t>
      </w:r>
      <w:r w:rsidR="006E2614">
        <w:t>remained</w:t>
      </w:r>
      <w:r>
        <w:t xml:space="preserve"> relatively stable</w:t>
      </w:r>
      <w:r w:rsidR="006E2614">
        <w:t xml:space="preserve">, ranging between </w:t>
      </w:r>
      <w:r w:rsidR="00DF4473">
        <w:t>13</w:t>
      </w:r>
      <w:r w:rsidR="00EB244F">
        <w:t>0.7</w:t>
      </w:r>
      <w:r w:rsidR="00667F9B">
        <w:t> </w:t>
      </w:r>
      <w:r w:rsidR="007915B2">
        <w:t>kt</w:t>
      </w:r>
      <w:r w:rsidR="00433304">
        <w:t xml:space="preserve"> </w:t>
      </w:r>
      <w:r w:rsidR="00401C65">
        <w:t xml:space="preserve">(2016–17) </w:t>
      </w:r>
      <w:r w:rsidR="00667F9B">
        <w:t>a</w:t>
      </w:r>
      <w:r w:rsidR="006E2614">
        <w:t xml:space="preserve">nd </w:t>
      </w:r>
      <w:r w:rsidR="00DF4473">
        <w:t>16</w:t>
      </w:r>
      <w:r w:rsidR="00EB244F">
        <w:t>0.5</w:t>
      </w:r>
      <w:r w:rsidR="00C64428">
        <w:t> </w:t>
      </w:r>
      <w:r w:rsidR="007915B2">
        <w:t>kt</w:t>
      </w:r>
      <w:r w:rsidR="00433304">
        <w:t xml:space="preserve"> </w:t>
      </w:r>
      <w:r w:rsidR="00401C65">
        <w:t>(2014–15)</w:t>
      </w:r>
      <w:r w:rsidR="006E2614">
        <w:t xml:space="preserve"> in any given year.</w:t>
      </w:r>
    </w:p>
    <w:p w14:paraId="6DECB11D" w14:textId="67C27C20" w:rsidR="00A96A3A" w:rsidRDefault="00704235" w:rsidP="00A96A3A">
      <w:r>
        <w:t xml:space="preserve">Compared </w:t>
      </w:r>
      <w:r w:rsidR="00191C3B">
        <w:t xml:space="preserve">with </w:t>
      </w:r>
      <w:r w:rsidR="00401C65">
        <w:t>the</w:t>
      </w:r>
      <w:r w:rsidR="002E2D2A">
        <w:t xml:space="preserve"> 14</w:t>
      </w:r>
      <w:r w:rsidR="00C64428">
        <w:t>6</w:t>
      </w:r>
      <w:r w:rsidR="00EB244F">
        <w:t>.2</w:t>
      </w:r>
      <w:r w:rsidR="00C64428">
        <w:t> </w:t>
      </w:r>
      <w:r w:rsidR="007915B2">
        <w:t>kt</w:t>
      </w:r>
      <w:r w:rsidR="00401C65">
        <w:t xml:space="preserve"> recovered </w:t>
      </w:r>
      <w:r>
        <w:t xml:space="preserve">in 2010–11, there has been a </w:t>
      </w:r>
      <w:r w:rsidR="00667F9B">
        <w:t>4</w:t>
      </w:r>
      <w:r w:rsidR="00E76CF9">
        <w:t>.2</w:t>
      </w:r>
      <w:r w:rsidR="00667F9B">
        <w:t> p</w:t>
      </w:r>
      <w:r>
        <w:t xml:space="preserve">er cent reduction </w:t>
      </w:r>
      <w:r w:rsidR="00401C65">
        <w:t xml:space="preserve">over the </w:t>
      </w:r>
      <w:r w:rsidR="002F0B91">
        <w:t>10</w:t>
      </w:r>
      <w:r w:rsidR="00401C65">
        <w:t>-year period</w:t>
      </w:r>
      <w:r>
        <w:t>.</w:t>
      </w:r>
    </w:p>
    <w:p w14:paraId="52E39DB4" w14:textId="165F51E7" w:rsidR="00B0732A" w:rsidRDefault="00550CDE" w:rsidP="00550CDE">
      <w:pPr>
        <w:pStyle w:val="FigureCaption"/>
      </w:pPr>
      <w:bookmarkStart w:id="66" w:name="_Ref72497192"/>
      <w:bookmarkStart w:id="67" w:name="_Toc77087517"/>
      <w:r>
        <w:t xml:space="preserve">Figure </w:t>
      </w:r>
      <w:r w:rsidR="0085736C">
        <w:fldChar w:fldCharType="begin"/>
      </w:r>
      <w:r w:rsidR="0085736C">
        <w:instrText xml:space="preserve"> SEQ Figure \* ARABIC </w:instrText>
      </w:r>
      <w:r w:rsidR="0085736C">
        <w:fldChar w:fldCharType="separate"/>
      </w:r>
      <w:r w:rsidR="00176C53">
        <w:rPr>
          <w:noProof/>
        </w:rPr>
        <w:t>17</w:t>
      </w:r>
      <w:r w:rsidR="0085736C">
        <w:rPr>
          <w:noProof/>
        </w:rPr>
        <w:fldChar w:fldCharType="end"/>
      </w:r>
      <w:bookmarkEnd w:id="66"/>
      <w:r w:rsidR="00B0732A">
        <w:t xml:space="preserve">: Plastic </w:t>
      </w:r>
      <w:r w:rsidR="00B0732A" w:rsidRPr="00B270B8">
        <w:t>waste</w:t>
      </w:r>
      <w:r w:rsidR="00B0732A">
        <w:t>s</w:t>
      </w:r>
      <w:r w:rsidR="00B0732A" w:rsidRPr="00B270B8">
        <w:t xml:space="preserve"> recovered for reprocessing</w:t>
      </w:r>
      <w:r w:rsidR="00E82CE7">
        <w:t xml:space="preserve"> (</w:t>
      </w:r>
      <w:r w:rsidR="000502C0">
        <w:rPr>
          <w:rFonts w:ascii="Arial" w:hAnsi="Arial" w:cs="Arial"/>
        </w:rPr>
        <w:t>kt</w:t>
      </w:r>
      <w:r w:rsidR="00E82CE7">
        <w:t>)</w:t>
      </w:r>
      <w:r w:rsidR="00B0732A" w:rsidRPr="00B270B8">
        <w:t xml:space="preserve"> in Victoria, </w:t>
      </w:r>
      <w:r w:rsidR="00B0732A">
        <w:t>2010</w:t>
      </w:r>
      <w:r w:rsidR="00F07D91">
        <w:t>–</w:t>
      </w:r>
      <w:r w:rsidR="00B0732A">
        <w:t>11 to 2019</w:t>
      </w:r>
      <w:r w:rsidR="00F07D91">
        <w:t>–</w:t>
      </w:r>
      <w:r w:rsidR="00B0732A">
        <w:t>20</w:t>
      </w:r>
      <w:bookmarkEnd w:id="67"/>
    </w:p>
    <w:p w14:paraId="0F849FA2" w14:textId="7A12D7D7" w:rsidR="00A96A3A" w:rsidRPr="00A96A3A" w:rsidRDefault="00872A9E" w:rsidP="00A96A3A">
      <w:r>
        <w:rPr>
          <w:noProof/>
        </w:rPr>
        <w:lastRenderedPageBreak/>
        <w:drawing>
          <wp:inline distT="0" distB="0" distL="0" distR="0" wp14:anchorId="7D528823" wp14:editId="1975FFFB">
            <wp:extent cx="4815840" cy="2407920"/>
            <wp:effectExtent l="0" t="0" r="3810" b="0"/>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15840" cy="2407920"/>
                    </a:xfrm>
                    <a:prstGeom prst="rect">
                      <a:avLst/>
                    </a:prstGeom>
                    <a:noFill/>
                  </pic:spPr>
                </pic:pic>
              </a:graphicData>
            </a:graphic>
          </wp:inline>
        </w:drawing>
      </w:r>
    </w:p>
    <w:p w14:paraId="46763C86" w14:textId="17B0F666" w:rsidR="0094631D" w:rsidRDefault="0094631D" w:rsidP="0094631D">
      <w:r>
        <w:t>In 2019</w:t>
      </w:r>
      <w:r w:rsidR="00F07D91">
        <w:t>–</w:t>
      </w:r>
      <w:r>
        <w:t xml:space="preserve">20, the total amount of plastics recovered for </w:t>
      </w:r>
      <w:r w:rsidR="00583AFA">
        <w:t xml:space="preserve">reprocessing </w:t>
      </w:r>
      <w:r>
        <w:t>comprised of four key material types consisting of:</w:t>
      </w:r>
    </w:p>
    <w:p w14:paraId="40FCBA38" w14:textId="5BBF8A6F" w:rsidR="0094631D" w:rsidRDefault="0094631D" w:rsidP="0094631D">
      <w:pPr>
        <w:pStyle w:val="ListBullet"/>
      </w:pPr>
      <w:r>
        <w:t>PE</w:t>
      </w:r>
      <w:r w:rsidR="000F6256">
        <w:t>-</w:t>
      </w:r>
      <w:r>
        <w:t>HD (high</w:t>
      </w:r>
      <w:r w:rsidR="000F6256">
        <w:t>-</w:t>
      </w:r>
      <w:r>
        <w:t>density polyethylene</w:t>
      </w:r>
      <w:r w:rsidR="00520463">
        <w:t xml:space="preserve">, </w:t>
      </w:r>
      <w:r w:rsidR="00CA67EC">
        <w:t>Plastic I</w:t>
      </w:r>
      <w:r w:rsidR="00520463">
        <w:t xml:space="preserve">dentification </w:t>
      </w:r>
      <w:r w:rsidR="00CA67EC">
        <w:t>C</w:t>
      </w:r>
      <w:r w:rsidR="00520463">
        <w:t>ode (PIC)</w:t>
      </w:r>
      <w:r w:rsidR="00CA67EC">
        <w:t xml:space="preserve"> 1</w:t>
      </w:r>
      <w:r>
        <w:t>) used</w:t>
      </w:r>
      <w:r w:rsidR="003F27E7">
        <w:t xml:space="preserve"> in</w:t>
      </w:r>
      <w:r w:rsidR="005029BC">
        <w:t xml:space="preserve"> beverage</w:t>
      </w:r>
      <w:r w:rsidR="003F27E7">
        <w:t xml:space="preserve"> and</w:t>
      </w:r>
      <w:r w:rsidR="005029BC" w:rsidRPr="005029BC">
        <w:t xml:space="preserve"> </w:t>
      </w:r>
      <w:r w:rsidR="005029BC">
        <w:t>home care product</w:t>
      </w:r>
      <w:r w:rsidR="003F27E7">
        <w:t xml:space="preserve"> packaging</w:t>
      </w:r>
      <w:r w:rsidR="005029BC">
        <w:t>, toys,</w:t>
      </w:r>
      <w:r>
        <w:t xml:space="preserve"> pipe systems</w:t>
      </w:r>
      <w:r w:rsidR="005029BC">
        <w:t xml:space="preserve"> and</w:t>
      </w:r>
      <w:r>
        <w:t xml:space="preserve"> grocery bags</w:t>
      </w:r>
    </w:p>
    <w:p w14:paraId="0E6AA9E5" w14:textId="5E2EAECC" w:rsidR="0094631D" w:rsidRDefault="0094631D" w:rsidP="0094631D">
      <w:pPr>
        <w:pStyle w:val="ListBullet"/>
      </w:pPr>
      <w:r>
        <w:t>PP (polypropylene</w:t>
      </w:r>
      <w:r w:rsidR="00520463">
        <w:t>, PIC 5</w:t>
      </w:r>
      <w:r>
        <w:t>) used in plastic bottle caps, margarine containers, prescription bottles, car parts and protective packaging for medical equipment</w:t>
      </w:r>
    </w:p>
    <w:p w14:paraId="3A80D282" w14:textId="27999194" w:rsidR="0094631D" w:rsidRDefault="0094631D" w:rsidP="0094631D">
      <w:pPr>
        <w:pStyle w:val="ListBullet"/>
      </w:pPr>
      <w:r>
        <w:t>PET (polyethylene terephthalate</w:t>
      </w:r>
      <w:r w:rsidR="00520463">
        <w:t>, PIC 1</w:t>
      </w:r>
      <w:r>
        <w:t>) used in</w:t>
      </w:r>
      <w:r w:rsidR="00DE0AF9">
        <w:t xml:space="preserve"> food</w:t>
      </w:r>
      <w:r w:rsidR="00CF3A8E">
        <w:t>,</w:t>
      </w:r>
      <w:r w:rsidR="00DE0AF9">
        <w:t xml:space="preserve"> </w:t>
      </w:r>
      <w:proofErr w:type="gramStart"/>
      <w:r w:rsidR="00DE0AF9">
        <w:t>beverage</w:t>
      </w:r>
      <w:proofErr w:type="gramEnd"/>
      <w:r w:rsidR="003F27E7">
        <w:t xml:space="preserve"> </w:t>
      </w:r>
      <w:r>
        <w:t xml:space="preserve">and home care </w:t>
      </w:r>
      <w:r w:rsidR="003F27E7">
        <w:t>product packaging</w:t>
      </w:r>
    </w:p>
    <w:p w14:paraId="7B1888BC" w14:textId="4FC118E7" w:rsidR="0094631D" w:rsidRDefault="00704235" w:rsidP="0094631D">
      <w:pPr>
        <w:pStyle w:val="ListBullet"/>
      </w:pPr>
      <w:r>
        <w:t>PE</w:t>
      </w:r>
      <w:r w:rsidR="000F6256">
        <w:t>-</w:t>
      </w:r>
      <w:r w:rsidR="0094631D">
        <w:t>LD / LLD (low</w:t>
      </w:r>
      <w:r w:rsidR="000F6256">
        <w:t>-</w:t>
      </w:r>
      <w:r w:rsidR="0094631D">
        <w:t>density polyethylene</w:t>
      </w:r>
      <w:r w:rsidR="00520463">
        <w:t>, PIC 4</w:t>
      </w:r>
      <w:r w:rsidR="0094631D">
        <w:t xml:space="preserve">) used in plastic bags, plastic </w:t>
      </w:r>
      <w:proofErr w:type="gramStart"/>
      <w:r w:rsidR="0094631D">
        <w:t>films</w:t>
      </w:r>
      <w:proofErr w:type="gramEnd"/>
      <w:r w:rsidR="0094631D">
        <w:t xml:space="preserve"> and plastic containers</w:t>
      </w:r>
      <w:r w:rsidR="003F27E7">
        <w:t>.</w:t>
      </w:r>
    </w:p>
    <w:p w14:paraId="71AD1A5B" w14:textId="1EB33CA4" w:rsidR="006F5FEF" w:rsidRDefault="00F301FD" w:rsidP="00F301FD">
      <w:r>
        <w:t>Other plastic materials recovered</w:t>
      </w:r>
      <w:r w:rsidR="00F42D84">
        <w:t xml:space="preserve"> </w:t>
      </w:r>
      <w:r>
        <w:t>were PS / PS</w:t>
      </w:r>
      <w:r w:rsidR="000F6256">
        <w:t>-</w:t>
      </w:r>
      <w:r>
        <w:t>E (p</w:t>
      </w:r>
      <w:r w:rsidRPr="003C3BD6">
        <w:t>olystyrene and expanded polystyrene</w:t>
      </w:r>
      <w:r w:rsidR="00520463">
        <w:t>, PIC 6</w:t>
      </w:r>
      <w:r w:rsidRPr="003C3BD6">
        <w:t>)</w:t>
      </w:r>
      <w:r>
        <w:t xml:space="preserve"> and PVC (p</w:t>
      </w:r>
      <w:r w:rsidRPr="003C3BD6">
        <w:t>olyvinyl chloride</w:t>
      </w:r>
      <w:r w:rsidR="00520463">
        <w:t>, PIC 3</w:t>
      </w:r>
      <w:r w:rsidR="00F42D84">
        <w:t>)</w:t>
      </w:r>
      <w:r>
        <w:t>, the material often using in plumbing</w:t>
      </w:r>
      <w:r w:rsidR="005029BC">
        <w:t xml:space="preserve"> applications</w:t>
      </w:r>
      <w:r>
        <w:t>.</w:t>
      </w:r>
    </w:p>
    <w:p w14:paraId="36D9184B" w14:textId="1B496129" w:rsidR="00427264" w:rsidRDefault="006F5FEF" w:rsidP="00EB244F">
      <w:r>
        <w:t>PE-HD, PP, PET and PE-LD / LLD contributed to 7</w:t>
      </w:r>
      <w:r w:rsidR="00E76CF9">
        <w:t>5.1</w:t>
      </w:r>
      <w:r w:rsidR="00C64428">
        <w:t> p</w:t>
      </w:r>
      <w:r>
        <w:t xml:space="preserve">er cent of all plastic types recovered. </w:t>
      </w:r>
      <w:r>
        <w:fldChar w:fldCharType="begin"/>
      </w:r>
      <w:r>
        <w:instrText xml:space="preserve"> REF _Ref77072619 \h </w:instrText>
      </w:r>
      <w:r>
        <w:fldChar w:fldCharType="separate"/>
      </w:r>
      <w:r w:rsidR="00176C53">
        <w:t xml:space="preserve">Figure </w:t>
      </w:r>
      <w:r w:rsidR="00176C53">
        <w:rPr>
          <w:noProof/>
        </w:rPr>
        <w:t>18</w:t>
      </w:r>
      <w:r>
        <w:fldChar w:fldCharType="end"/>
      </w:r>
      <w:r>
        <w:t xml:space="preserve"> shows the breakdown with 2</w:t>
      </w:r>
      <w:r w:rsidR="00C64428">
        <w:t>0 p</w:t>
      </w:r>
      <w:r>
        <w:t>er cent PE-HD at 2</w:t>
      </w:r>
      <w:r w:rsidR="00C64428">
        <w:t>8</w:t>
      </w:r>
      <w:r w:rsidR="00EB244F">
        <w:t>.5</w:t>
      </w:r>
      <w:r w:rsidR="00C64428">
        <w:t> </w:t>
      </w:r>
      <w:r w:rsidR="007915B2">
        <w:t>kt</w:t>
      </w:r>
      <w:r>
        <w:t>, 1</w:t>
      </w:r>
      <w:r w:rsidR="00C64428">
        <w:t>9</w:t>
      </w:r>
      <w:r w:rsidR="00502E84">
        <w:t>.0</w:t>
      </w:r>
      <w:r w:rsidR="00C64428">
        <w:t> p</w:t>
      </w:r>
      <w:r>
        <w:t>er cent PP at 2</w:t>
      </w:r>
      <w:r w:rsidR="00C64428">
        <w:t>7</w:t>
      </w:r>
      <w:r w:rsidR="00EB244F">
        <w:t>.2</w:t>
      </w:r>
      <w:r w:rsidR="00C64428">
        <w:t> </w:t>
      </w:r>
      <w:r w:rsidR="007915B2">
        <w:t>kt</w:t>
      </w:r>
      <w:r>
        <w:t>,</w:t>
      </w:r>
      <w:r w:rsidR="00B26332">
        <w:t xml:space="preserve"> </w:t>
      </w:r>
      <w:r>
        <w:t>1</w:t>
      </w:r>
      <w:r w:rsidR="00C64428">
        <w:t>8</w:t>
      </w:r>
      <w:r w:rsidR="00502E84">
        <w:t>.0</w:t>
      </w:r>
      <w:r w:rsidR="00C64428">
        <w:t> p</w:t>
      </w:r>
      <w:r w:rsidR="00B26332">
        <w:t>er cent</w:t>
      </w:r>
      <w:r>
        <w:t xml:space="preserve"> PET at 2</w:t>
      </w:r>
      <w:r w:rsidR="00EB244F">
        <w:t>5.7</w:t>
      </w:r>
      <w:r w:rsidR="00C64428">
        <w:t> </w:t>
      </w:r>
      <w:r w:rsidR="007915B2">
        <w:t>kt</w:t>
      </w:r>
      <w:r>
        <w:t xml:space="preserve"> and 1</w:t>
      </w:r>
      <w:r w:rsidR="00C64428">
        <w:t>7 p</w:t>
      </w:r>
      <w:r>
        <w:t>er cent PE-LD / LLD at 2</w:t>
      </w:r>
      <w:r w:rsidR="00EB244F">
        <w:t>3.9</w:t>
      </w:r>
      <w:r w:rsidR="00C64428">
        <w:t> </w:t>
      </w:r>
      <w:r w:rsidR="007915B2">
        <w:t>kt</w:t>
      </w:r>
      <w:r w:rsidR="00B26332">
        <w:t>. PS / PS–E, Unknown polymers</w:t>
      </w:r>
      <w:r w:rsidR="00520463">
        <w:t xml:space="preserve"> (plastics unidentified by code)</w:t>
      </w:r>
      <w:r w:rsidR="00B26332">
        <w:t xml:space="preserve">, PVC and All </w:t>
      </w:r>
      <w:r w:rsidR="00520463">
        <w:t xml:space="preserve">(a group containing all PIC </w:t>
      </w:r>
      <w:r w:rsidR="00B26332">
        <w:t xml:space="preserve">7 polymers </w:t>
      </w:r>
      <w:r w:rsidR="00520463">
        <w:t xml:space="preserve">such as </w:t>
      </w:r>
      <w:r w:rsidR="00B26332">
        <w:t>nylon</w:t>
      </w:r>
      <w:r w:rsidR="00520463">
        <w:t>, acrylic,</w:t>
      </w:r>
      <w:r w:rsidR="00B26332">
        <w:t xml:space="preserve"> </w:t>
      </w:r>
      <w:proofErr w:type="gramStart"/>
      <w:r w:rsidR="00B26332">
        <w:t>bioplastic</w:t>
      </w:r>
      <w:proofErr w:type="gramEnd"/>
      <w:r w:rsidR="00520463">
        <w:t xml:space="preserve"> and others)</w:t>
      </w:r>
      <w:r w:rsidR="00B26332">
        <w:t xml:space="preserve"> made up the remaining 2</w:t>
      </w:r>
      <w:r w:rsidR="00B223C4">
        <w:t>4.9</w:t>
      </w:r>
      <w:r w:rsidR="00C64428">
        <w:t> p</w:t>
      </w:r>
      <w:r w:rsidR="00B26332">
        <w:t>er cent.</w:t>
      </w:r>
    </w:p>
    <w:p w14:paraId="3D6D0F2D" w14:textId="0B98530A" w:rsidR="006F5FEF" w:rsidRDefault="006F5FEF" w:rsidP="00EB244F">
      <w:pPr>
        <w:pStyle w:val="FigureCaption"/>
      </w:pPr>
      <w:bookmarkStart w:id="68" w:name="_Ref77072619"/>
      <w:bookmarkStart w:id="69" w:name="_Toc77087518"/>
      <w:r>
        <w:t xml:space="preserve">Figure </w:t>
      </w:r>
      <w:r w:rsidR="0085736C">
        <w:fldChar w:fldCharType="begin"/>
      </w:r>
      <w:r w:rsidR="0085736C">
        <w:instrText xml:space="preserve"> SEQ Figure \* ARABIC </w:instrText>
      </w:r>
      <w:r w:rsidR="0085736C">
        <w:fldChar w:fldCharType="separate"/>
      </w:r>
      <w:r w:rsidR="00176C53">
        <w:rPr>
          <w:noProof/>
        </w:rPr>
        <w:t>18</w:t>
      </w:r>
      <w:r w:rsidR="0085736C">
        <w:rPr>
          <w:noProof/>
        </w:rPr>
        <w:fldChar w:fldCharType="end"/>
      </w:r>
      <w:bookmarkEnd w:id="68"/>
      <w:r>
        <w:t>: Material composition of plastics recovered for reprocessing in Victoria, 2019–20</w:t>
      </w:r>
      <w:bookmarkEnd w:id="69"/>
    </w:p>
    <w:p w14:paraId="01CB7C78" w14:textId="1037BFEC" w:rsidR="006F5FEF" w:rsidRDefault="00E76CF9" w:rsidP="006F5FEF">
      <w:r>
        <w:rPr>
          <w:noProof/>
        </w:rPr>
        <w:drawing>
          <wp:inline distT="0" distB="0" distL="0" distR="0" wp14:anchorId="195D2325" wp14:editId="1D31B954">
            <wp:extent cx="4975860" cy="2232660"/>
            <wp:effectExtent l="0" t="0" r="0" b="0"/>
            <wp:docPr id="56" name="Picture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a:extLst>
                        <a:ext uri="{C183D7F6-B498-43B3-948B-1728B52AA6E4}">
                          <adec:decorative xmlns:adec="http://schemas.microsoft.com/office/drawing/2017/decorative" val="1"/>
                        </a:ext>
                      </a:extLs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75860" cy="2232660"/>
                    </a:xfrm>
                    <a:prstGeom prst="rect">
                      <a:avLst/>
                    </a:prstGeom>
                    <a:noFill/>
                  </pic:spPr>
                </pic:pic>
              </a:graphicData>
            </a:graphic>
          </wp:inline>
        </w:drawing>
      </w:r>
    </w:p>
    <w:p w14:paraId="3DD464F6" w14:textId="65F72891" w:rsidR="002E2D2A" w:rsidRPr="00262D30" w:rsidRDefault="006F5FEF" w:rsidP="001341FB">
      <w:pPr>
        <w:pStyle w:val="Caption"/>
      </w:pPr>
      <w:r w:rsidRPr="00262D30">
        <w:t>*</w:t>
      </w:r>
      <w:r w:rsidR="00262D30">
        <w:t xml:space="preserve"> </w:t>
      </w:r>
      <w:r w:rsidRPr="00262D30">
        <w:t xml:space="preserve">All refers to the grouping of all </w:t>
      </w:r>
      <w:r w:rsidR="00ED24AC" w:rsidRPr="00262D30">
        <w:t>PIC</w:t>
      </w:r>
      <w:r w:rsidRPr="00262D30">
        <w:t xml:space="preserve"> 7 polymers such as nylon, </w:t>
      </w:r>
      <w:r w:rsidR="00FD23DB" w:rsidRPr="00262D30">
        <w:t xml:space="preserve">acrylic, </w:t>
      </w:r>
      <w:proofErr w:type="gramStart"/>
      <w:r w:rsidR="00ED24AC" w:rsidRPr="00262D30">
        <w:t>bioplastic</w:t>
      </w:r>
      <w:proofErr w:type="gramEnd"/>
      <w:r w:rsidRPr="00262D30">
        <w:t xml:space="preserve"> and others.</w:t>
      </w:r>
    </w:p>
    <w:p w14:paraId="62D994D1" w14:textId="6C4FAE3A" w:rsidR="00B26332" w:rsidRDefault="00A35AB4" w:rsidP="00B26332">
      <w:r>
        <w:lastRenderedPageBreak/>
        <w:t xml:space="preserve">The C&amp;I and MSW sectors remain the main contributors to the tonnages of plastic recovered for </w:t>
      </w:r>
      <w:r w:rsidR="00487286">
        <w:t xml:space="preserve">recycling, </w:t>
      </w:r>
      <w:r>
        <w:t>contributing 4</w:t>
      </w:r>
      <w:r w:rsidR="00C64428">
        <w:t>7</w:t>
      </w:r>
      <w:r w:rsidR="00502E84">
        <w:t>.0</w:t>
      </w:r>
      <w:r w:rsidR="00C64428">
        <w:t> p</w:t>
      </w:r>
      <w:r>
        <w:t>er cent and 5</w:t>
      </w:r>
      <w:r w:rsidR="00C64428">
        <w:t>1</w:t>
      </w:r>
      <w:r w:rsidR="00502E84">
        <w:t>.0</w:t>
      </w:r>
      <w:r w:rsidR="00C64428">
        <w:t> p</w:t>
      </w:r>
      <w:r>
        <w:t>er cent respectively.</w:t>
      </w:r>
      <w:r w:rsidR="00B26332">
        <w:t xml:space="preserve"> </w:t>
      </w:r>
      <w:r w:rsidR="00550CDE">
        <w:fldChar w:fldCharType="begin"/>
      </w:r>
      <w:r w:rsidR="00550CDE">
        <w:instrText xml:space="preserve"> REF _Ref72497225 \h </w:instrText>
      </w:r>
      <w:r w:rsidR="00550CDE">
        <w:fldChar w:fldCharType="separate"/>
      </w:r>
      <w:r w:rsidR="00176C53">
        <w:t xml:space="preserve">Figure </w:t>
      </w:r>
      <w:r w:rsidR="00176C53">
        <w:rPr>
          <w:noProof/>
        </w:rPr>
        <w:t>19</w:t>
      </w:r>
      <w:r w:rsidR="00550CDE">
        <w:fldChar w:fldCharType="end"/>
      </w:r>
      <w:r w:rsidR="00550CDE">
        <w:t xml:space="preserve"> </w:t>
      </w:r>
      <w:r w:rsidR="00704235">
        <w:t>illustrates</w:t>
      </w:r>
      <w:r w:rsidR="0094631D" w:rsidRPr="00A53243">
        <w:t xml:space="preserve"> the </w:t>
      </w:r>
      <w:r w:rsidR="00704235">
        <w:t xml:space="preserve">plastic </w:t>
      </w:r>
      <w:r w:rsidR="0094631D" w:rsidRPr="00A53243">
        <w:t>material types recovered for reprocessing by source</w:t>
      </w:r>
      <w:r w:rsidR="00704235">
        <w:t xml:space="preserve"> </w:t>
      </w:r>
      <w:r w:rsidR="0094631D" w:rsidRPr="00A53243">
        <w:t>sector</w:t>
      </w:r>
      <w:r>
        <w:t xml:space="preserve">. It </w:t>
      </w:r>
      <w:r w:rsidR="00B26332">
        <w:t>shows that</w:t>
      </w:r>
      <w:r w:rsidR="00704235">
        <w:t>:</w:t>
      </w:r>
    </w:p>
    <w:p w14:paraId="225287D9" w14:textId="1B18CEAF" w:rsidR="00704235" w:rsidRDefault="00704235" w:rsidP="00704235">
      <w:pPr>
        <w:pStyle w:val="ListBullet"/>
      </w:pPr>
      <w:r>
        <w:t>PE</w:t>
      </w:r>
      <w:r w:rsidR="000F6256">
        <w:t>-</w:t>
      </w:r>
      <w:r>
        <w:t>HD</w:t>
      </w:r>
      <w:r w:rsidR="00B26332">
        <w:t xml:space="preserve"> was</w:t>
      </w:r>
      <w:r w:rsidR="00F301FD">
        <w:t xml:space="preserve"> primarily sourced from MSW</w:t>
      </w:r>
      <w:r w:rsidR="00B26332">
        <w:t xml:space="preserve">, </w:t>
      </w:r>
      <w:r w:rsidR="005A0785">
        <w:t>accounting for 7</w:t>
      </w:r>
      <w:r w:rsidR="00CE1CC8">
        <w:t>5.8</w:t>
      </w:r>
      <w:r w:rsidR="00C64428">
        <w:t> p</w:t>
      </w:r>
      <w:r w:rsidR="005A0785">
        <w:t>er cent of all PE-HD recovered</w:t>
      </w:r>
    </w:p>
    <w:p w14:paraId="53324CBF" w14:textId="1F1E1C2D" w:rsidR="00704235" w:rsidRDefault="00704235" w:rsidP="00704235">
      <w:pPr>
        <w:pStyle w:val="ListBullet"/>
      </w:pPr>
      <w:r>
        <w:t>PP</w:t>
      </w:r>
      <w:r w:rsidR="00B26332">
        <w:t xml:space="preserve"> was</w:t>
      </w:r>
      <w:r w:rsidR="00F301FD">
        <w:t xml:space="preserve"> </w:t>
      </w:r>
      <w:r w:rsidR="00903911">
        <w:t xml:space="preserve">primarily </w:t>
      </w:r>
      <w:r w:rsidR="00F301FD">
        <w:t>sourced from MSW and C&amp;I</w:t>
      </w:r>
      <w:r w:rsidR="005A0785">
        <w:t>, accounting for 4</w:t>
      </w:r>
      <w:r w:rsidR="00CE1CC8">
        <w:t>6.7</w:t>
      </w:r>
      <w:r w:rsidR="005A0785">
        <w:t xml:space="preserve"> and 5</w:t>
      </w:r>
      <w:r w:rsidR="00CE1CC8">
        <w:t>1.8</w:t>
      </w:r>
      <w:r w:rsidR="00995DE4">
        <w:t> p</w:t>
      </w:r>
      <w:r w:rsidR="005A0785">
        <w:t>er cent of all PP recovered</w:t>
      </w:r>
    </w:p>
    <w:p w14:paraId="4BB72F13" w14:textId="66575F83" w:rsidR="00704235" w:rsidRDefault="00704235" w:rsidP="00704235">
      <w:pPr>
        <w:pStyle w:val="ListBullet"/>
      </w:pPr>
      <w:r>
        <w:t>PET</w:t>
      </w:r>
      <w:r w:rsidR="00B26332">
        <w:t xml:space="preserve"> was</w:t>
      </w:r>
      <w:r w:rsidR="00F301FD">
        <w:t xml:space="preserve"> primarily sourced from MSW</w:t>
      </w:r>
      <w:r w:rsidR="005A0785">
        <w:t>, accounting for 6</w:t>
      </w:r>
      <w:r w:rsidR="00995DE4">
        <w:t>7</w:t>
      </w:r>
      <w:r w:rsidR="00CE1CC8">
        <w:t>.3</w:t>
      </w:r>
      <w:r w:rsidR="00995DE4">
        <w:t> p</w:t>
      </w:r>
      <w:r w:rsidR="005A0785">
        <w:t>er cent of all PET recovered</w:t>
      </w:r>
    </w:p>
    <w:p w14:paraId="30510270" w14:textId="1D9CD887" w:rsidR="00704235" w:rsidRDefault="00704235" w:rsidP="00155CD0">
      <w:pPr>
        <w:pStyle w:val="ListBullet"/>
      </w:pPr>
      <w:r>
        <w:t>PE</w:t>
      </w:r>
      <w:r w:rsidR="000F6256">
        <w:t>-</w:t>
      </w:r>
      <w:r>
        <w:t>LD / LLD</w:t>
      </w:r>
      <w:r w:rsidR="00B26332">
        <w:t xml:space="preserve"> was</w:t>
      </w:r>
      <w:r w:rsidR="00F301FD">
        <w:t xml:space="preserve"> primarily sourced from C&amp;I</w:t>
      </w:r>
      <w:r w:rsidR="005A0785">
        <w:t>, accounting for 7</w:t>
      </w:r>
      <w:r w:rsidR="00CE1CC8">
        <w:t>5.7</w:t>
      </w:r>
      <w:r w:rsidR="00995DE4">
        <w:t> p</w:t>
      </w:r>
      <w:r w:rsidR="005A0785">
        <w:t>er cent of all PE-LD / LLD recovered</w:t>
      </w:r>
    </w:p>
    <w:p w14:paraId="0E24D685" w14:textId="790A2037" w:rsidR="00F301FD" w:rsidRDefault="00F301FD" w:rsidP="00155CD0">
      <w:pPr>
        <w:pStyle w:val="ListBullet"/>
      </w:pPr>
      <w:r>
        <w:t>PS</w:t>
      </w:r>
      <w:r w:rsidR="00117D6F">
        <w:t xml:space="preserve"> </w:t>
      </w:r>
      <w:r>
        <w:t>/</w:t>
      </w:r>
      <w:r w:rsidR="00117D6F">
        <w:t xml:space="preserve"> </w:t>
      </w:r>
      <w:r>
        <w:t>PS-E</w:t>
      </w:r>
      <w:r w:rsidR="00B26332">
        <w:t xml:space="preserve"> was</w:t>
      </w:r>
      <w:r w:rsidR="00F42D84">
        <w:t xml:space="preserve"> primarily sourced from MSW</w:t>
      </w:r>
      <w:r w:rsidR="005A0785">
        <w:t>, accounting for 5</w:t>
      </w:r>
      <w:r w:rsidR="00CE1CC8">
        <w:t>2.6</w:t>
      </w:r>
      <w:r w:rsidR="00995DE4">
        <w:t> p</w:t>
      </w:r>
      <w:r w:rsidR="005A0785">
        <w:t>er cent of all PS / PS-E recovered</w:t>
      </w:r>
    </w:p>
    <w:p w14:paraId="06115F89" w14:textId="06257D10" w:rsidR="00F42D84" w:rsidRDefault="00F42D84" w:rsidP="00155CD0">
      <w:pPr>
        <w:pStyle w:val="ListBullet"/>
      </w:pPr>
      <w:r>
        <w:t>PVC</w:t>
      </w:r>
      <w:r w:rsidR="00B26332">
        <w:t xml:space="preserve"> was</w:t>
      </w:r>
      <w:r>
        <w:t xml:space="preserve"> primarily sourced from C&amp;I</w:t>
      </w:r>
      <w:r w:rsidR="005A0785">
        <w:t>, accounting for 5</w:t>
      </w:r>
      <w:r w:rsidR="00995DE4">
        <w:t>0</w:t>
      </w:r>
      <w:r w:rsidR="00502E84">
        <w:t>.0</w:t>
      </w:r>
      <w:r w:rsidR="00995DE4">
        <w:t> p</w:t>
      </w:r>
      <w:r w:rsidR="005A0785">
        <w:t>er cent of all PVC recovered.</w:t>
      </w:r>
    </w:p>
    <w:p w14:paraId="16F3E1E8" w14:textId="787F0523" w:rsidR="0094631D" w:rsidRDefault="0094631D" w:rsidP="005A0785">
      <w:pPr>
        <w:pStyle w:val="ListBullet"/>
        <w:numPr>
          <w:ilvl w:val="0"/>
          <w:numId w:val="0"/>
        </w:numPr>
      </w:pPr>
    </w:p>
    <w:p w14:paraId="057A15D6" w14:textId="767AD80A" w:rsidR="0094631D" w:rsidRDefault="00550CDE" w:rsidP="00550CDE">
      <w:pPr>
        <w:pStyle w:val="FigureCaption"/>
      </w:pPr>
      <w:bookmarkStart w:id="70" w:name="_Ref72497225"/>
      <w:bookmarkStart w:id="71" w:name="_Toc77087519"/>
      <w:r>
        <w:t xml:space="preserve">Figure </w:t>
      </w:r>
      <w:r w:rsidR="0085736C">
        <w:fldChar w:fldCharType="begin"/>
      </w:r>
      <w:r w:rsidR="0085736C">
        <w:instrText xml:space="preserve"> SEQ Figure \* ARABIC </w:instrText>
      </w:r>
      <w:r w:rsidR="0085736C">
        <w:fldChar w:fldCharType="separate"/>
      </w:r>
      <w:r w:rsidR="00176C53">
        <w:rPr>
          <w:noProof/>
        </w:rPr>
        <w:t>19</w:t>
      </w:r>
      <w:r w:rsidR="0085736C">
        <w:rPr>
          <w:noProof/>
        </w:rPr>
        <w:fldChar w:fldCharType="end"/>
      </w:r>
      <w:bookmarkEnd w:id="70"/>
      <w:r>
        <w:t xml:space="preserve">: </w:t>
      </w:r>
      <w:r w:rsidR="00B0732A">
        <w:t xml:space="preserve">Plastic </w:t>
      </w:r>
      <w:r w:rsidR="00B0732A" w:rsidRPr="004942B4">
        <w:t>material type</w:t>
      </w:r>
      <w:r w:rsidR="00E313D0">
        <w:t xml:space="preserve"> composition </w:t>
      </w:r>
      <w:r w:rsidR="00B0732A" w:rsidRPr="004942B4">
        <w:t>by source sector</w:t>
      </w:r>
      <w:r w:rsidR="006507F1">
        <w:t xml:space="preserve"> in</w:t>
      </w:r>
      <w:r w:rsidR="006507F1" w:rsidRPr="004942B4">
        <w:t xml:space="preserve"> </w:t>
      </w:r>
      <w:r w:rsidR="00B0732A" w:rsidRPr="004942B4">
        <w:t>Victoria</w:t>
      </w:r>
      <w:r w:rsidR="00B0732A">
        <w:t>,</w:t>
      </w:r>
      <w:r w:rsidR="00B0732A" w:rsidRPr="004942B4">
        <w:t xml:space="preserve"> 201</w:t>
      </w:r>
      <w:r w:rsidR="00B0732A">
        <w:t>9</w:t>
      </w:r>
      <w:r w:rsidR="00F07D91">
        <w:t>–</w:t>
      </w:r>
      <w:r w:rsidR="00B0732A">
        <w:t>20</w:t>
      </w:r>
      <w:bookmarkEnd w:id="71"/>
    </w:p>
    <w:p w14:paraId="23A60CDD" w14:textId="3E0AEF03" w:rsidR="006407A8" w:rsidRPr="00045044" w:rsidRDefault="00872A9E" w:rsidP="00045044">
      <w:r>
        <w:rPr>
          <w:noProof/>
        </w:rPr>
        <w:drawing>
          <wp:inline distT="0" distB="0" distL="0" distR="0" wp14:anchorId="3FE51FBA" wp14:editId="0B4316DB">
            <wp:extent cx="5059680" cy="2385060"/>
            <wp:effectExtent l="0" t="0" r="7620" b="0"/>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a:extLst>
                        <a:ext uri="{C183D7F6-B498-43B3-948B-1728B52AA6E4}">
                          <adec:decorative xmlns:adec="http://schemas.microsoft.com/office/drawing/2017/decorative" val="1"/>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59680" cy="2385060"/>
                    </a:xfrm>
                    <a:prstGeom prst="rect">
                      <a:avLst/>
                    </a:prstGeom>
                    <a:noFill/>
                  </pic:spPr>
                </pic:pic>
              </a:graphicData>
            </a:graphic>
          </wp:inline>
        </w:drawing>
      </w:r>
    </w:p>
    <w:p w14:paraId="441A2BEA" w14:textId="7BC55D03" w:rsidR="006407A8" w:rsidRPr="006407A8" w:rsidRDefault="006407A8" w:rsidP="001341FB">
      <w:pPr>
        <w:pStyle w:val="Caption"/>
      </w:pPr>
      <w:r>
        <w:t>*</w:t>
      </w:r>
      <w:r w:rsidR="00262D30">
        <w:t xml:space="preserve"> </w:t>
      </w:r>
      <w:r>
        <w:t xml:space="preserve">All refers to the grouping of all </w:t>
      </w:r>
      <w:r w:rsidR="00ED24AC">
        <w:t>PIC</w:t>
      </w:r>
      <w:r>
        <w:t xml:space="preserve"> 7 polymers such as nylon,</w:t>
      </w:r>
      <w:r w:rsidR="00FD23DB">
        <w:t xml:space="preserve"> acrylic, </w:t>
      </w:r>
      <w:proofErr w:type="gramStart"/>
      <w:r w:rsidR="00ED24AC">
        <w:t>bioplastic</w:t>
      </w:r>
      <w:proofErr w:type="gramEnd"/>
      <w:r>
        <w:t xml:space="preserve"> and others.</w:t>
      </w:r>
    </w:p>
    <w:p w14:paraId="6DA5B9F9" w14:textId="14327E33" w:rsidR="0094631D" w:rsidRDefault="00550CDE" w:rsidP="0094631D">
      <w:r>
        <w:fldChar w:fldCharType="begin"/>
      </w:r>
      <w:r>
        <w:instrText xml:space="preserve"> REF _Ref72497255 \h </w:instrText>
      </w:r>
      <w:r>
        <w:fldChar w:fldCharType="separate"/>
      </w:r>
      <w:r w:rsidR="00176C53">
        <w:t xml:space="preserve">Figure </w:t>
      </w:r>
      <w:r w:rsidR="00176C53">
        <w:rPr>
          <w:noProof/>
        </w:rPr>
        <w:t>20</w:t>
      </w:r>
      <w:r>
        <w:fldChar w:fldCharType="end"/>
      </w:r>
      <w:r>
        <w:t xml:space="preserve"> </w:t>
      </w:r>
      <w:r w:rsidR="0094631D">
        <w:t xml:space="preserve">presents the material type composition of </w:t>
      </w:r>
      <w:r w:rsidR="002D6396">
        <w:t xml:space="preserve">plastic </w:t>
      </w:r>
      <w:r w:rsidR="0094631D">
        <w:t>waste recovered for reprocessing by source sector in 2019</w:t>
      </w:r>
      <w:r w:rsidR="00F07D91">
        <w:t>–</w:t>
      </w:r>
      <w:r w:rsidR="0094631D">
        <w:t xml:space="preserve">20. </w:t>
      </w:r>
      <w:r w:rsidR="00903911">
        <w:t xml:space="preserve">The figure </w:t>
      </w:r>
      <w:r w:rsidR="0094631D">
        <w:t>shows</w:t>
      </w:r>
      <w:r w:rsidR="00F42D84">
        <w:t>:</w:t>
      </w:r>
    </w:p>
    <w:p w14:paraId="47893B85" w14:textId="1392CF80" w:rsidR="00F301FD" w:rsidRDefault="00903911" w:rsidP="00F42D84">
      <w:pPr>
        <w:pStyle w:val="ListBullet"/>
      </w:pPr>
      <w:r>
        <w:t>th</w:t>
      </w:r>
      <w:r w:rsidR="00F42D84">
        <w:t>e main materials recovered f</w:t>
      </w:r>
      <w:r w:rsidR="0094631D">
        <w:t>rom MSW</w:t>
      </w:r>
      <w:r w:rsidR="00F42D84">
        <w:t xml:space="preserve"> were </w:t>
      </w:r>
      <w:r w:rsidR="0094631D">
        <w:t>PE</w:t>
      </w:r>
      <w:r w:rsidR="001C6BAC">
        <w:t>-</w:t>
      </w:r>
      <w:r w:rsidR="0094631D">
        <w:t>HD (3</w:t>
      </w:r>
      <w:r w:rsidR="00CE1CC8">
        <w:t>2.5</w:t>
      </w:r>
      <w:r w:rsidR="0094631D">
        <w:t> per cent), PET (26</w:t>
      </w:r>
      <w:r w:rsidR="00CE1CC8">
        <w:t>.1</w:t>
      </w:r>
      <w:r w:rsidR="0094631D">
        <w:t> per cent</w:t>
      </w:r>
      <w:r w:rsidR="007F6480">
        <w:t xml:space="preserve">) and </w:t>
      </w:r>
      <w:r w:rsidR="0094631D">
        <w:t>PP (19</w:t>
      </w:r>
      <w:r w:rsidR="00CE1CC8">
        <w:t>.1</w:t>
      </w:r>
      <w:r w:rsidR="0094631D">
        <w:t> per cent)</w:t>
      </w:r>
      <w:r w:rsidR="009E7EA1">
        <w:t>,</w:t>
      </w:r>
      <w:r w:rsidR="0094631D">
        <w:t xml:space="preserve"> </w:t>
      </w:r>
      <w:r w:rsidR="009E7EA1">
        <w:t xml:space="preserve">accounting for </w:t>
      </w:r>
      <w:r w:rsidR="006407A8">
        <w:t>7</w:t>
      </w:r>
      <w:r w:rsidR="00CE1CC8">
        <w:t>7.7</w:t>
      </w:r>
      <w:r w:rsidR="00F42D84">
        <w:t xml:space="preserve"> per cent </w:t>
      </w:r>
      <w:r w:rsidR="006407A8">
        <w:t>(</w:t>
      </w:r>
      <w:r w:rsidR="00C90B4F">
        <w:t>5</w:t>
      </w:r>
      <w:r w:rsidR="00EB244F">
        <w:t>1.6</w:t>
      </w:r>
      <w:r w:rsidR="00995DE4">
        <w:t> </w:t>
      </w:r>
      <w:r w:rsidR="007915B2">
        <w:t>kt</w:t>
      </w:r>
      <w:r w:rsidR="006407A8">
        <w:t xml:space="preserve">) </w:t>
      </w:r>
      <w:r w:rsidR="00F42D84">
        <w:t xml:space="preserve">of all </w:t>
      </w:r>
      <w:r w:rsidR="009E7EA1">
        <w:t xml:space="preserve">plastic </w:t>
      </w:r>
      <w:r w:rsidR="00F42D84">
        <w:t>materials recovered from MSW</w:t>
      </w:r>
      <w:r w:rsidR="00C90B4F">
        <w:t xml:space="preserve"> (6</w:t>
      </w:r>
      <w:r w:rsidR="00995DE4">
        <w:t>6</w:t>
      </w:r>
      <w:r w:rsidR="00EB244F">
        <w:t>.4</w:t>
      </w:r>
      <w:r w:rsidR="00995DE4">
        <w:t> </w:t>
      </w:r>
      <w:r w:rsidR="007915B2">
        <w:t>kt</w:t>
      </w:r>
      <w:r w:rsidR="00C90B4F">
        <w:t>)</w:t>
      </w:r>
    </w:p>
    <w:p w14:paraId="69B330BA" w14:textId="3FBA6545" w:rsidR="0094631D" w:rsidRDefault="00903911" w:rsidP="0094631D">
      <w:pPr>
        <w:pStyle w:val="ListBullet"/>
      </w:pPr>
      <w:r>
        <w:t xml:space="preserve">the </w:t>
      </w:r>
      <w:r w:rsidR="00F42D84">
        <w:t xml:space="preserve">main materials recovered from </w:t>
      </w:r>
      <w:r w:rsidR="00F301FD">
        <w:t>C&amp;I</w:t>
      </w:r>
      <w:r w:rsidR="00F42D84">
        <w:t xml:space="preserve"> were </w:t>
      </w:r>
      <w:r w:rsidR="0094631D" w:rsidRPr="001B5251">
        <w:t>PE</w:t>
      </w:r>
      <w:r w:rsidR="001C6BAC">
        <w:t>-</w:t>
      </w:r>
      <w:r w:rsidR="0094631D" w:rsidRPr="001B5251">
        <w:t>LD</w:t>
      </w:r>
      <w:r w:rsidR="0094631D">
        <w:t xml:space="preserve"> </w:t>
      </w:r>
      <w:r w:rsidR="0094631D" w:rsidRPr="001B5251">
        <w:t>/</w:t>
      </w:r>
      <w:r w:rsidR="0094631D">
        <w:t xml:space="preserve"> </w:t>
      </w:r>
      <w:r w:rsidR="0094631D" w:rsidRPr="001B5251">
        <w:t>LLD</w:t>
      </w:r>
      <w:r w:rsidR="0094631D">
        <w:t xml:space="preserve"> (29</w:t>
      </w:r>
      <w:r w:rsidR="00CE1CC8">
        <w:t>.2</w:t>
      </w:r>
      <w:r w:rsidR="0094631D">
        <w:t> per cent), PP (2</w:t>
      </w:r>
      <w:r w:rsidR="00CE1CC8">
        <w:t>2.8</w:t>
      </w:r>
      <w:r w:rsidR="0094631D">
        <w:t> per cent)</w:t>
      </w:r>
      <w:r w:rsidR="00F42D84">
        <w:t xml:space="preserve"> and PET (1</w:t>
      </w:r>
      <w:r w:rsidR="00CE1CC8">
        <w:t>3.6</w:t>
      </w:r>
      <w:r w:rsidR="00F42D84">
        <w:t xml:space="preserve"> per cent), </w:t>
      </w:r>
      <w:r w:rsidR="009E7EA1">
        <w:t xml:space="preserve">accounting for </w:t>
      </w:r>
      <w:r w:rsidR="00F42D84">
        <w:t>6</w:t>
      </w:r>
      <w:r w:rsidR="00CE1CC8">
        <w:t>5.6</w:t>
      </w:r>
      <w:r w:rsidR="00667F9B">
        <w:t> p</w:t>
      </w:r>
      <w:r w:rsidR="00F42D84">
        <w:t xml:space="preserve">er cent </w:t>
      </w:r>
      <w:r w:rsidR="00C90B4F">
        <w:t>(4</w:t>
      </w:r>
      <w:r w:rsidR="00EB244F">
        <w:t>0.6</w:t>
      </w:r>
      <w:r w:rsidR="00995DE4">
        <w:t> </w:t>
      </w:r>
      <w:r w:rsidR="007915B2">
        <w:t>kt</w:t>
      </w:r>
      <w:r w:rsidR="00C90B4F">
        <w:t xml:space="preserve">) </w:t>
      </w:r>
      <w:r w:rsidR="00F42D84">
        <w:t xml:space="preserve">of all </w:t>
      </w:r>
      <w:r w:rsidR="009E7EA1">
        <w:t xml:space="preserve">plastic </w:t>
      </w:r>
      <w:r w:rsidR="00F42D84">
        <w:t>materials recovered from C&amp;I</w:t>
      </w:r>
      <w:r w:rsidR="00C90B4F">
        <w:t xml:space="preserve"> (6</w:t>
      </w:r>
      <w:r w:rsidR="00EB244F">
        <w:t>1.9</w:t>
      </w:r>
      <w:r w:rsidR="00995DE4">
        <w:t> </w:t>
      </w:r>
      <w:r w:rsidR="007915B2">
        <w:t>kt</w:t>
      </w:r>
      <w:r w:rsidR="00C90B4F">
        <w:t>)</w:t>
      </w:r>
    </w:p>
    <w:p w14:paraId="3ED9817D" w14:textId="6489943F" w:rsidR="00B0732A" w:rsidRDefault="00903911" w:rsidP="00CE1CC8">
      <w:pPr>
        <w:pStyle w:val="ListBullet"/>
      </w:pPr>
      <w:r>
        <w:t xml:space="preserve">the </w:t>
      </w:r>
      <w:r w:rsidR="00F42D84">
        <w:t xml:space="preserve">main materials recovered from </w:t>
      </w:r>
      <w:r w:rsidR="0094631D">
        <w:t>C&amp;D</w:t>
      </w:r>
      <w:r w:rsidR="00F42D84">
        <w:t xml:space="preserve"> were </w:t>
      </w:r>
      <w:r w:rsidR="0094631D">
        <w:t>PS / PS</w:t>
      </w:r>
      <w:r w:rsidR="001C6BAC">
        <w:t>-</w:t>
      </w:r>
      <w:r w:rsidR="0094631D">
        <w:t>E (4</w:t>
      </w:r>
      <w:r w:rsidR="00CE1CC8">
        <w:t>1.9</w:t>
      </w:r>
      <w:r w:rsidR="0094631D">
        <w:t> per cent</w:t>
      </w:r>
      <w:r w:rsidR="00F301FD">
        <w:t xml:space="preserve">), </w:t>
      </w:r>
      <w:r w:rsidR="0094631D">
        <w:t>PVC (</w:t>
      </w:r>
      <w:r w:rsidR="00CE1CC8">
        <w:t>25.8</w:t>
      </w:r>
      <w:r w:rsidR="0094631D">
        <w:t> per cent)</w:t>
      </w:r>
      <w:r w:rsidR="00F301FD">
        <w:t>,</w:t>
      </w:r>
      <w:r w:rsidR="0094631D">
        <w:t xml:space="preserve"> PE</w:t>
      </w:r>
      <w:r w:rsidR="001C6BAC">
        <w:t>-</w:t>
      </w:r>
      <w:r w:rsidR="0094631D">
        <w:t>HD (</w:t>
      </w:r>
      <w:r w:rsidR="00CE1CC8">
        <w:t>16.1</w:t>
      </w:r>
      <w:r w:rsidR="0094631D">
        <w:t> per cent)</w:t>
      </w:r>
      <w:r w:rsidR="00C90B4F">
        <w:t xml:space="preserve"> and </w:t>
      </w:r>
      <w:r w:rsidR="00C90B4F" w:rsidRPr="00C90B4F">
        <w:t>PE-LD</w:t>
      </w:r>
      <w:r w:rsidR="005F616F">
        <w:t xml:space="preserve"> </w:t>
      </w:r>
      <w:r w:rsidR="00C90B4F" w:rsidRPr="00C90B4F">
        <w:t>/</w:t>
      </w:r>
      <w:r w:rsidR="005F616F">
        <w:t xml:space="preserve"> </w:t>
      </w:r>
      <w:r w:rsidR="00C90B4F" w:rsidRPr="00C90B4F">
        <w:t xml:space="preserve">LLD </w:t>
      </w:r>
      <w:r w:rsidR="00C90B4F">
        <w:t>(</w:t>
      </w:r>
      <w:r w:rsidR="00CE1CC8">
        <w:t>12.9</w:t>
      </w:r>
      <w:r w:rsidR="00995DE4">
        <w:t> p</w:t>
      </w:r>
      <w:r w:rsidR="00C90B4F">
        <w:t>er cent)</w:t>
      </w:r>
      <w:r w:rsidR="00270F67">
        <w:t>,</w:t>
      </w:r>
      <w:r w:rsidR="00C90B4F">
        <w:t xml:space="preserve"> </w:t>
      </w:r>
      <w:r w:rsidR="00F42D84">
        <w:t>accounting for</w:t>
      </w:r>
      <w:r w:rsidR="00C90B4F">
        <w:t xml:space="preserve"> almost all,</w:t>
      </w:r>
      <w:r w:rsidR="00F42D84">
        <w:t xml:space="preserve"> </w:t>
      </w:r>
      <w:r w:rsidR="00C90B4F">
        <w:t>9</w:t>
      </w:r>
      <w:r w:rsidR="00CE1CC8">
        <w:t>6.8</w:t>
      </w:r>
      <w:r w:rsidR="00667F9B">
        <w:t> p</w:t>
      </w:r>
      <w:r w:rsidR="00F42D84">
        <w:t>er cent</w:t>
      </w:r>
      <w:r w:rsidR="00C90B4F">
        <w:t>,</w:t>
      </w:r>
      <w:r w:rsidR="00F42D84">
        <w:t xml:space="preserve"> of all plastic materials recovered from C&amp;D</w:t>
      </w:r>
      <w:r w:rsidR="00C90B4F">
        <w:t xml:space="preserve"> (</w:t>
      </w:r>
      <w:r w:rsidR="00995DE4">
        <w:t>3</w:t>
      </w:r>
      <w:r w:rsidR="00EB244F">
        <w:t>.1</w:t>
      </w:r>
      <w:r w:rsidR="00995DE4">
        <w:t> </w:t>
      </w:r>
      <w:r w:rsidR="007915B2">
        <w:t>kt</w:t>
      </w:r>
      <w:r w:rsidR="00C90B4F">
        <w:t>)</w:t>
      </w:r>
      <w:r w:rsidR="00F42D84">
        <w:t>.</w:t>
      </w:r>
    </w:p>
    <w:p w14:paraId="2FFC7958" w14:textId="17FC9DE1" w:rsidR="00B0732A" w:rsidRDefault="00550CDE" w:rsidP="00550CDE">
      <w:pPr>
        <w:pStyle w:val="FigureCaption"/>
      </w:pPr>
      <w:bookmarkStart w:id="72" w:name="_Ref72497255"/>
      <w:bookmarkStart w:id="73" w:name="_Toc77087520"/>
      <w:r>
        <w:t xml:space="preserve">Figure </w:t>
      </w:r>
      <w:r w:rsidR="0085736C">
        <w:fldChar w:fldCharType="begin"/>
      </w:r>
      <w:r w:rsidR="0085736C">
        <w:instrText xml:space="preserve"> SEQ Figure \* ARABIC </w:instrText>
      </w:r>
      <w:r w:rsidR="0085736C">
        <w:fldChar w:fldCharType="separate"/>
      </w:r>
      <w:r w:rsidR="00176C53">
        <w:rPr>
          <w:noProof/>
        </w:rPr>
        <w:t>20</w:t>
      </w:r>
      <w:r w:rsidR="0085736C">
        <w:rPr>
          <w:noProof/>
        </w:rPr>
        <w:fldChar w:fldCharType="end"/>
      </w:r>
      <w:bookmarkEnd w:id="72"/>
      <w:r>
        <w:t xml:space="preserve">: </w:t>
      </w:r>
      <w:r w:rsidR="00B0732A" w:rsidRPr="00155F23">
        <w:t xml:space="preserve">Material type composition of </w:t>
      </w:r>
      <w:r w:rsidR="005029BC">
        <w:t>plastics</w:t>
      </w:r>
      <w:r w:rsidR="00B0732A">
        <w:t xml:space="preserve"> </w:t>
      </w:r>
      <w:r w:rsidR="00B0732A" w:rsidRPr="00155F23">
        <w:t>recovered for reprocessing by source sector</w:t>
      </w:r>
      <w:r w:rsidR="006507F1">
        <w:t xml:space="preserve"> in</w:t>
      </w:r>
      <w:r w:rsidR="006507F1" w:rsidRPr="00155F23">
        <w:t xml:space="preserve"> </w:t>
      </w:r>
      <w:r w:rsidR="00B0732A" w:rsidRPr="00155F23">
        <w:t>Victoria</w:t>
      </w:r>
      <w:r w:rsidR="00B0732A">
        <w:t>,</w:t>
      </w:r>
      <w:r w:rsidR="00B0732A" w:rsidRPr="00155F23">
        <w:t xml:space="preserve"> 201</w:t>
      </w:r>
      <w:r w:rsidR="00B0732A">
        <w:t>9</w:t>
      </w:r>
      <w:r w:rsidR="00F07D91">
        <w:t>–</w:t>
      </w:r>
      <w:r w:rsidR="00B0732A">
        <w:t>20</w:t>
      </w:r>
      <w:bookmarkEnd w:id="73"/>
    </w:p>
    <w:p w14:paraId="445D2DC8" w14:textId="7C72B732" w:rsidR="00B0732A" w:rsidRDefault="004635BE" w:rsidP="008C65B4">
      <w:r>
        <w:rPr>
          <w:noProof/>
        </w:rPr>
        <w:lastRenderedPageBreak/>
        <w:drawing>
          <wp:inline distT="0" distB="0" distL="0" distR="0" wp14:anchorId="28D1E24A" wp14:editId="2973896A">
            <wp:extent cx="5151120" cy="2415540"/>
            <wp:effectExtent l="0" t="0" r="0" b="3810"/>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a:extLst>
                        <a:ext uri="{C183D7F6-B498-43B3-948B-1728B52AA6E4}">
                          <adec:decorative xmlns:adec="http://schemas.microsoft.com/office/drawing/2017/decorative" val="1"/>
                        </a:ext>
                      </a:extLs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51120" cy="2415540"/>
                    </a:xfrm>
                    <a:prstGeom prst="rect">
                      <a:avLst/>
                    </a:prstGeom>
                    <a:noFill/>
                  </pic:spPr>
                </pic:pic>
              </a:graphicData>
            </a:graphic>
          </wp:inline>
        </w:drawing>
      </w:r>
    </w:p>
    <w:p w14:paraId="75BF5278" w14:textId="53D0C822" w:rsidR="00D6074C" w:rsidRDefault="00C90B4F" w:rsidP="001341FB">
      <w:pPr>
        <w:pStyle w:val="Caption"/>
      </w:pPr>
      <w:r>
        <w:t>*</w:t>
      </w:r>
      <w:r w:rsidR="008C65B4">
        <w:t xml:space="preserve"> </w:t>
      </w:r>
      <w:r>
        <w:t xml:space="preserve">All refers to the grouping of all </w:t>
      </w:r>
      <w:r w:rsidR="00ED24AC">
        <w:t>PIC</w:t>
      </w:r>
      <w:r>
        <w:t xml:space="preserve"> 7 polymers such as nylon, </w:t>
      </w:r>
      <w:r w:rsidR="00ED24AC">
        <w:t xml:space="preserve">acrylic, </w:t>
      </w:r>
      <w:proofErr w:type="gramStart"/>
      <w:r>
        <w:t>bioplastic</w:t>
      </w:r>
      <w:proofErr w:type="gramEnd"/>
      <w:r>
        <w:t xml:space="preserve"> and others</w:t>
      </w:r>
      <w:r w:rsidR="008C65B4">
        <w:t>.</w:t>
      </w:r>
    </w:p>
    <w:p w14:paraId="2732AAD3" w14:textId="77777777" w:rsidR="00B223C4" w:rsidRDefault="00B223C4">
      <w:pPr>
        <w:spacing w:after="0" w:line="240" w:lineRule="auto"/>
        <w:rPr>
          <w:rFonts w:asciiTheme="majorHAnsi" w:eastAsiaTheme="majorEastAsia" w:hAnsiTheme="majorHAnsi" w:cstheme="majorBidi"/>
          <w:bCs/>
          <w:sz w:val="28"/>
          <w:szCs w:val="28"/>
        </w:rPr>
      </w:pPr>
      <w:bookmarkStart w:id="74" w:name="_Toc78881412"/>
      <w:bookmarkStart w:id="75" w:name="_Hlk71105247"/>
      <w:bookmarkEnd w:id="64"/>
      <w:r>
        <w:br w:type="page"/>
      </w:r>
    </w:p>
    <w:p w14:paraId="7A3226B1" w14:textId="7E51E7B3" w:rsidR="00B0732A" w:rsidRPr="004A24C7" w:rsidRDefault="00CE4255" w:rsidP="002105B4">
      <w:pPr>
        <w:pStyle w:val="Heading1Numbered"/>
      </w:pPr>
      <w:bookmarkStart w:id="76" w:name="_Toc83108371"/>
      <w:r w:rsidRPr="004A24C7">
        <w:lastRenderedPageBreak/>
        <w:t>Other materials</w:t>
      </w:r>
      <w:r w:rsidR="006B491C" w:rsidRPr="004A24C7">
        <w:t xml:space="preserve"> – rubber and textiles</w:t>
      </w:r>
      <w:bookmarkEnd w:id="74"/>
      <w:bookmarkEnd w:id="76"/>
    </w:p>
    <w:p w14:paraId="2341B6A6" w14:textId="1DE96754" w:rsidR="0018078B" w:rsidRDefault="007A286D" w:rsidP="007A286D">
      <w:r>
        <w:t>Other materials comprise of rubber and textiles.</w:t>
      </w:r>
      <w:r w:rsidR="009E7EA1">
        <w:t xml:space="preserve"> This is </w:t>
      </w:r>
      <w:r w:rsidR="004635BE">
        <w:t xml:space="preserve">0.9 </w:t>
      </w:r>
      <w:r w:rsidR="009E7EA1">
        <w:t>per cent of the total recovered materials in 2019–20. This year, 6</w:t>
      </w:r>
      <w:r w:rsidR="00EB244F">
        <w:t>2.6</w:t>
      </w:r>
      <w:r w:rsidR="00995DE4">
        <w:t> </w:t>
      </w:r>
      <w:r w:rsidR="007915B2">
        <w:t>kt</w:t>
      </w:r>
      <w:r w:rsidR="009E7EA1">
        <w:t xml:space="preserve"> of rubber and 3</w:t>
      </w:r>
      <w:r w:rsidR="00995DE4">
        <w:t>2</w:t>
      </w:r>
      <w:r w:rsidR="00EB244F">
        <w:t>.0</w:t>
      </w:r>
      <w:r w:rsidR="00995DE4">
        <w:t> </w:t>
      </w:r>
      <w:r w:rsidR="007915B2">
        <w:t>kt</w:t>
      </w:r>
      <w:r w:rsidR="009E7EA1">
        <w:t xml:space="preserve"> of textiles were recovered for reprocessing. </w:t>
      </w:r>
      <w:r w:rsidR="00550CDE">
        <w:fldChar w:fldCharType="begin"/>
      </w:r>
      <w:r w:rsidR="00550CDE">
        <w:instrText xml:space="preserve"> REF _Ref72497310 \h </w:instrText>
      </w:r>
      <w:r w:rsidR="00550CDE">
        <w:fldChar w:fldCharType="separate"/>
      </w:r>
      <w:r w:rsidR="00176C53">
        <w:t xml:space="preserve">Figure </w:t>
      </w:r>
      <w:r w:rsidR="00176C53">
        <w:rPr>
          <w:noProof/>
        </w:rPr>
        <w:t>21</w:t>
      </w:r>
      <w:r w:rsidR="00550CDE">
        <w:fldChar w:fldCharType="end"/>
      </w:r>
      <w:r>
        <w:t xml:space="preserve"> shows the trend of rubber and textile material recovered over the last 10 years. For rubber, there was </w:t>
      </w:r>
      <w:r w:rsidR="0018078B">
        <w:t xml:space="preserve">a </w:t>
      </w:r>
      <w:r>
        <w:t>13</w:t>
      </w:r>
      <w:r w:rsidR="00502E84">
        <w:t>.0</w:t>
      </w:r>
      <w:r>
        <w:t> per cent decrease from 2018–19</w:t>
      </w:r>
      <w:r w:rsidR="00962ACC">
        <w:t xml:space="preserve"> (7</w:t>
      </w:r>
      <w:r w:rsidR="00EB244F">
        <w:t>2.0</w:t>
      </w:r>
      <w:r w:rsidR="00995DE4">
        <w:t> </w:t>
      </w:r>
      <w:r w:rsidR="007915B2">
        <w:t>kt</w:t>
      </w:r>
      <w:r w:rsidR="00962ACC">
        <w:t>)</w:t>
      </w:r>
      <w:r>
        <w:t>;</w:t>
      </w:r>
      <w:r w:rsidRPr="004819C6">
        <w:t xml:space="preserve"> this </w:t>
      </w:r>
      <w:r>
        <w:t xml:space="preserve">continues a downwards trend following </w:t>
      </w:r>
      <w:r w:rsidRPr="004819C6">
        <w:t xml:space="preserve">a spike in reprocessing quantities in 2017–18 </w:t>
      </w:r>
      <w:r w:rsidR="00225A21">
        <w:t>due to</w:t>
      </w:r>
      <w:r w:rsidRPr="004819C6">
        <w:t xml:space="preserve"> tyre stockpile clean</w:t>
      </w:r>
      <w:r w:rsidR="007F6480">
        <w:t>-</w:t>
      </w:r>
      <w:r w:rsidRPr="004819C6">
        <w:t>up</w:t>
      </w:r>
      <w:r w:rsidR="00225A21">
        <w:t xml:space="preserve"> </w:t>
      </w:r>
      <w:r w:rsidR="00AF7086">
        <w:t>activities</w:t>
      </w:r>
      <w:r w:rsidR="0018078B">
        <w:t>.</w:t>
      </w:r>
      <w:r w:rsidRPr="004819C6">
        <w:t xml:space="preserve"> </w:t>
      </w:r>
      <w:r w:rsidR="0018078B">
        <w:t>A</w:t>
      </w:r>
      <w:r>
        <w:t>s such</w:t>
      </w:r>
      <w:r w:rsidR="00532F0B">
        <w:t>,</w:t>
      </w:r>
      <w:r>
        <w:t xml:space="preserve"> the observed decrease i</w:t>
      </w:r>
      <w:r w:rsidR="00473E84">
        <w:t>n</w:t>
      </w:r>
      <w:r>
        <w:t xml:space="preserve"> recovery may be </w:t>
      </w:r>
      <w:r w:rsidR="00CE18B2">
        <w:t>closer to the quantity of tyres generated for reprocessing</w:t>
      </w:r>
      <w:r w:rsidRPr="004819C6">
        <w:t>.</w:t>
      </w:r>
    </w:p>
    <w:p w14:paraId="7A0DFDC1" w14:textId="4371754C" w:rsidR="00427264" w:rsidRDefault="007A286D" w:rsidP="00B223C4">
      <w:r>
        <w:t xml:space="preserve">For textiles, there </w:t>
      </w:r>
      <w:r w:rsidR="0018078B">
        <w:t xml:space="preserve">was a </w:t>
      </w:r>
      <w:r w:rsidR="007A4720">
        <w:t xml:space="preserve">large </w:t>
      </w:r>
      <w:r>
        <w:t>increase</w:t>
      </w:r>
      <w:r w:rsidR="0018078B">
        <w:t xml:space="preserve"> in recovered tonne</w:t>
      </w:r>
      <w:r w:rsidR="009E7EA1">
        <w:t>s</w:t>
      </w:r>
      <w:r w:rsidR="0018078B">
        <w:t xml:space="preserve"> </w:t>
      </w:r>
      <w:r>
        <w:t xml:space="preserve">compared </w:t>
      </w:r>
      <w:r w:rsidR="00191C3B">
        <w:t xml:space="preserve">with </w:t>
      </w:r>
      <w:r w:rsidR="009E7EA1">
        <w:t>the</w:t>
      </w:r>
      <w:r>
        <w:t xml:space="preserve"> </w:t>
      </w:r>
      <w:r w:rsidR="00EB244F">
        <w:t xml:space="preserve">0.6 kt </w:t>
      </w:r>
      <w:r w:rsidR="0018078B">
        <w:t>reported in 2018</w:t>
      </w:r>
      <w:r w:rsidR="00F07D91">
        <w:t>–</w:t>
      </w:r>
      <w:r w:rsidR="0018078B">
        <w:t>19. This is due to more industry engagement and a higher response rat</w:t>
      </w:r>
      <w:r w:rsidR="009E7EA1">
        <w:t xml:space="preserve">e from textile </w:t>
      </w:r>
      <w:proofErr w:type="spellStart"/>
      <w:r w:rsidR="009E7EA1">
        <w:t>reprocessors</w:t>
      </w:r>
      <w:proofErr w:type="spellEnd"/>
      <w:r w:rsidR="009E7EA1">
        <w:t>. Due to i</w:t>
      </w:r>
      <w:r w:rsidR="00AF7086">
        <w:t>t</w:t>
      </w:r>
      <w:r w:rsidR="009E7EA1">
        <w:t xml:space="preserve">s anomalous nature, it is </w:t>
      </w:r>
      <w:r w:rsidR="008333B2">
        <w:t xml:space="preserve">difficult </w:t>
      </w:r>
      <w:r w:rsidR="009E7EA1">
        <w:t>to comment on the trend for textile recovery</w:t>
      </w:r>
      <w:r w:rsidR="00473E84">
        <w:t>.</w:t>
      </w:r>
      <w:r w:rsidR="009E7EA1">
        <w:t xml:space="preserve"> </w:t>
      </w:r>
      <w:r w:rsidR="00473E84">
        <w:t>The industry</w:t>
      </w:r>
      <w:r w:rsidR="009E7EA1">
        <w:t xml:space="preserve"> is certainly more engaged and hints towards a strengthening area of material recovery.</w:t>
      </w:r>
    </w:p>
    <w:p w14:paraId="248EF010" w14:textId="717A49BA" w:rsidR="00B0732A" w:rsidRDefault="00550CDE" w:rsidP="00550CDE">
      <w:pPr>
        <w:pStyle w:val="FigureCaption"/>
      </w:pPr>
      <w:bookmarkStart w:id="77" w:name="_Ref72497310"/>
      <w:bookmarkStart w:id="78" w:name="_Toc77087521"/>
      <w:r>
        <w:t xml:space="preserve">Figure </w:t>
      </w:r>
      <w:r w:rsidR="0085736C">
        <w:fldChar w:fldCharType="begin"/>
      </w:r>
      <w:r w:rsidR="0085736C">
        <w:instrText xml:space="preserve"> SEQ Figure \* ARABIC </w:instrText>
      </w:r>
      <w:r w:rsidR="0085736C">
        <w:fldChar w:fldCharType="separate"/>
      </w:r>
      <w:r w:rsidR="00176C53">
        <w:rPr>
          <w:noProof/>
        </w:rPr>
        <w:t>21</w:t>
      </w:r>
      <w:r w:rsidR="0085736C">
        <w:rPr>
          <w:noProof/>
        </w:rPr>
        <w:fldChar w:fldCharType="end"/>
      </w:r>
      <w:bookmarkEnd w:id="77"/>
      <w:r>
        <w:t xml:space="preserve">: </w:t>
      </w:r>
      <w:r w:rsidR="00E82CE7">
        <w:t xml:space="preserve">Rubber </w:t>
      </w:r>
      <w:r w:rsidR="00360D02">
        <w:t xml:space="preserve">and textile </w:t>
      </w:r>
      <w:r w:rsidR="00E82CE7">
        <w:t>waste</w:t>
      </w:r>
      <w:r w:rsidR="00360D02">
        <w:t xml:space="preserve"> </w:t>
      </w:r>
      <w:r w:rsidR="00360D02" w:rsidRPr="00B270B8">
        <w:t>recovered for reprocessing</w:t>
      </w:r>
      <w:r w:rsidR="00E82CE7">
        <w:t xml:space="preserve"> (</w:t>
      </w:r>
      <w:r w:rsidR="000502C0">
        <w:rPr>
          <w:rFonts w:ascii="Arial" w:hAnsi="Arial" w:cs="Arial"/>
        </w:rPr>
        <w:t>kt</w:t>
      </w:r>
      <w:r w:rsidR="00E82CE7">
        <w:t>)</w:t>
      </w:r>
      <w:r w:rsidR="00360D02" w:rsidRPr="00B270B8">
        <w:t xml:space="preserve"> in Victoria, </w:t>
      </w:r>
      <w:r w:rsidR="00360D02">
        <w:t>2010</w:t>
      </w:r>
      <w:r w:rsidR="00F07D91">
        <w:t>–</w:t>
      </w:r>
      <w:r w:rsidR="00360D02">
        <w:t>11 to 2019</w:t>
      </w:r>
      <w:r w:rsidR="00F07D91">
        <w:t>–</w:t>
      </w:r>
      <w:r w:rsidR="00360D02">
        <w:t>20</w:t>
      </w:r>
      <w:bookmarkEnd w:id="78"/>
    </w:p>
    <w:p w14:paraId="73F8453C" w14:textId="59D9B4AA" w:rsidR="00D25208" w:rsidRPr="00D25208" w:rsidRDefault="00D25208" w:rsidP="00D25208">
      <w:r>
        <w:rPr>
          <w:noProof/>
        </w:rPr>
        <w:drawing>
          <wp:inline distT="0" distB="0" distL="0" distR="0" wp14:anchorId="08587370" wp14:editId="2D842C6B">
            <wp:extent cx="4922520" cy="2385060"/>
            <wp:effectExtent l="0" t="0" r="0" b="0"/>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extLst>
                        <a:ext uri="{C183D7F6-B498-43B3-948B-1728B52AA6E4}">
                          <adec:decorative xmlns:adec="http://schemas.microsoft.com/office/drawing/2017/decorative" val="1"/>
                        </a:ext>
                      </a:extLs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922520" cy="2385060"/>
                    </a:xfrm>
                    <a:prstGeom prst="rect">
                      <a:avLst/>
                    </a:prstGeom>
                    <a:noFill/>
                  </pic:spPr>
                </pic:pic>
              </a:graphicData>
            </a:graphic>
          </wp:inline>
        </w:drawing>
      </w:r>
    </w:p>
    <w:p w14:paraId="76EA9940" w14:textId="0FF4BFEB" w:rsidR="00E160B9" w:rsidRPr="00E160B9" w:rsidRDefault="00E160B9" w:rsidP="00E160B9"/>
    <w:p w14:paraId="6FAABECF" w14:textId="4E5D84D6" w:rsidR="00962ACC" w:rsidRPr="00962ACC" w:rsidRDefault="00962ACC" w:rsidP="00962ACC"/>
    <w:bookmarkEnd w:id="75"/>
    <w:p w14:paraId="7FA65556" w14:textId="77777777" w:rsidR="00C60B6B" w:rsidRDefault="00C60B6B">
      <w:pPr>
        <w:spacing w:after="0" w:line="240" w:lineRule="auto"/>
      </w:pPr>
    </w:p>
    <w:p w14:paraId="5A45BE9C" w14:textId="633BC4B7" w:rsidR="001F3331" w:rsidRDefault="00C60B6B">
      <w:pPr>
        <w:spacing w:after="0" w:line="240" w:lineRule="auto"/>
      </w:pPr>
      <w:r>
        <w:br w:type="page"/>
      </w:r>
    </w:p>
    <w:p w14:paraId="1866B799" w14:textId="14775689" w:rsidR="00954B8B" w:rsidRDefault="001F3331" w:rsidP="00954B8B">
      <w:pPr>
        <w:pStyle w:val="SectionDividerTitle"/>
        <w:framePr w:wrap="around"/>
      </w:pPr>
      <w:bookmarkStart w:id="79" w:name="_Ref72505103"/>
      <w:bookmarkStart w:id="80" w:name="_Toc83108372"/>
      <w:r>
        <w:lastRenderedPageBreak/>
        <w:t>Material exported for recovery</w:t>
      </w:r>
      <w:bookmarkStart w:id="81" w:name="_Toc78881413"/>
      <w:bookmarkEnd w:id="79"/>
      <w:bookmarkEnd w:id="80"/>
    </w:p>
    <w:p w14:paraId="4D4B468E" w14:textId="5A534EA4" w:rsidR="00954B8B" w:rsidRPr="00A73696" w:rsidRDefault="007D11FD" w:rsidP="00A73696">
      <w:pPr>
        <w:pStyle w:val="casestudybox"/>
      </w:pPr>
      <w:r w:rsidRPr="00A73696">
        <w:t>»</w:t>
      </w:r>
      <w:r>
        <w:t xml:space="preserve"> </w:t>
      </w:r>
      <w:r w:rsidR="00954B8B" w:rsidRPr="00A73696">
        <w:t>Victoria’s resources were predominantly reprocessed locally, with 9</w:t>
      </w:r>
      <w:r w:rsidR="00824C43">
        <w:t>0.</w:t>
      </w:r>
      <w:r w:rsidR="00A02813">
        <w:t>6</w:t>
      </w:r>
      <w:r w:rsidR="00954B8B" w:rsidRPr="00A73696">
        <w:t xml:space="preserve"> per cent of all recyclables processed within the state.</w:t>
      </w:r>
    </w:p>
    <w:p w14:paraId="5BDEA2D4" w14:textId="276260AB" w:rsidR="00954B8B" w:rsidRPr="00A73696" w:rsidRDefault="007D11FD" w:rsidP="00A73696">
      <w:pPr>
        <w:pStyle w:val="casestudybox"/>
      </w:pPr>
      <w:r w:rsidRPr="00A73696">
        <w:t>»</w:t>
      </w:r>
      <w:r>
        <w:t xml:space="preserve"> </w:t>
      </w:r>
      <w:r w:rsidR="00954B8B" w:rsidRPr="00A73696">
        <w:t xml:space="preserve">The quantity of materials exported for reprocessing overseas decreased by </w:t>
      </w:r>
      <w:r w:rsidR="00A02813">
        <w:t>7.0</w:t>
      </w:r>
      <w:r w:rsidR="00954B8B" w:rsidRPr="00A73696">
        <w:t xml:space="preserve"> per cent compared with 2018–19 to 1</w:t>
      </w:r>
      <w:r w:rsidR="005441C5">
        <w:t>.0</w:t>
      </w:r>
      <w:r w:rsidR="00A02813">
        <w:t>4</w:t>
      </w:r>
      <w:r w:rsidR="00954B8B" w:rsidRPr="00A73696">
        <w:t xml:space="preserve"> Mt, as exporters were unable to find overseas markets for recyclable materials.</w:t>
      </w:r>
    </w:p>
    <w:p w14:paraId="7C06C422" w14:textId="1D76E682" w:rsidR="00954B8B" w:rsidRPr="00A73696" w:rsidRDefault="007D11FD" w:rsidP="00A73696">
      <w:pPr>
        <w:pStyle w:val="casestudybox"/>
      </w:pPr>
      <w:r w:rsidRPr="00A73696">
        <w:t>»</w:t>
      </w:r>
      <w:r>
        <w:t xml:space="preserve"> </w:t>
      </w:r>
      <w:r w:rsidR="00954B8B" w:rsidRPr="00A73696">
        <w:t xml:space="preserve">The top 10 receiving countries of Victorian waste exports accounted for </w:t>
      </w:r>
      <w:r w:rsidR="00824C43">
        <w:t>94.6</w:t>
      </w:r>
      <w:r w:rsidR="00954B8B" w:rsidRPr="00A73696">
        <w:t xml:space="preserve"> per cent of all material exported. Bangladesh (</w:t>
      </w:r>
      <w:r w:rsidR="00824C43">
        <w:t>17.1</w:t>
      </w:r>
      <w:r w:rsidR="00954B8B" w:rsidRPr="00A73696">
        <w:t xml:space="preserve"> per cent), Indonesia (</w:t>
      </w:r>
      <w:r w:rsidR="00824C43">
        <w:t>14.3</w:t>
      </w:r>
      <w:r w:rsidR="00954B8B" w:rsidRPr="00A73696">
        <w:t xml:space="preserve"> per cent), </w:t>
      </w:r>
      <w:r w:rsidR="00824C43">
        <w:t xml:space="preserve">China (13.3 per cent), </w:t>
      </w:r>
      <w:r w:rsidR="00954B8B" w:rsidRPr="00A73696">
        <w:t>Malaysia (1</w:t>
      </w:r>
      <w:r w:rsidR="00824C43">
        <w:t>3.2</w:t>
      </w:r>
      <w:r w:rsidR="00954B8B" w:rsidRPr="00A73696">
        <w:t xml:space="preserve"> per cent) and India (</w:t>
      </w:r>
      <w:r w:rsidR="00824C43">
        <w:t>12.9</w:t>
      </w:r>
      <w:r w:rsidR="00954B8B" w:rsidRPr="00A73696">
        <w:t xml:space="preserve"> per cent) accepted the most by weight.</w:t>
      </w:r>
    </w:p>
    <w:p w14:paraId="24C5ED4C" w14:textId="5AAD5C93" w:rsidR="00954B8B" w:rsidRPr="00A73696" w:rsidRDefault="007D11FD" w:rsidP="00A73696">
      <w:pPr>
        <w:pStyle w:val="casestudybox"/>
      </w:pPr>
      <w:r w:rsidRPr="00A73696">
        <w:t>»</w:t>
      </w:r>
      <w:r>
        <w:t xml:space="preserve"> </w:t>
      </w:r>
      <w:r w:rsidR="00954B8B" w:rsidRPr="00A73696">
        <w:t>Paper and cardboard made up the largest component of kerbside recyclables that were exported for reprocessing, peaking at 15</w:t>
      </w:r>
      <w:r w:rsidR="00824C43">
        <w:t>.</w:t>
      </w:r>
      <w:r w:rsidR="00954B8B" w:rsidRPr="00A73696">
        <w:t>4</w:t>
      </w:r>
      <w:r w:rsidR="00824C43">
        <w:t xml:space="preserve"> kt </w:t>
      </w:r>
      <w:r w:rsidR="00954B8B" w:rsidRPr="00A73696">
        <w:t>in February 2020. Exports of plastics and metals were steady across the year and exports of glass varied month-to-month in 2019–20.</w:t>
      </w:r>
    </w:p>
    <w:p w14:paraId="452D7D46" w14:textId="6BC2A1CC" w:rsidR="00CE4255" w:rsidRDefault="00CE4255" w:rsidP="001F3331">
      <w:pPr>
        <w:pStyle w:val="Heading1Numbered"/>
      </w:pPr>
      <w:bookmarkStart w:id="82" w:name="_Toc83108373"/>
      <w:r>
        <w:t>Annual trends in waste exports</w:t>
      </w:r>
      <w:bookmarkEnd w:id="81"/>
      <w:bookmarkEnd w:id="82"/>
    </w:p>
    <w:p w14:paraId="5A3022D0" w14:textId="1F203F54" w:rsidR="00465D67" w:rsidRDefault="0018078B" w:rsidP="00837A50">
      <w:pPr>
        <w:rPr>
          <w:noProof/>
        </w:rPr>
      </w:pPr>
      <w:r>
        <w:rPr>
          <w:noProof/>
        </w:rPr>
        <w:t xml:space="preserve">In </w:t>
      </w:r>
      <w:r w:rsidR="005945C5">
        <w:rPr>
          <w:noProof/>
        </w:rPr>
        <w:t>2019</w:t>
      </w:r>
      <w:r w:rsidR="00F07D91">
        <w:rPr>
          <w:noProof/>
        </w:rPr>
        <w:t>–</w:t>
      </w:r>
      <w:r w:rsidR="005945C5">
        <w:rPr>
          <w:noProof/>
        </w:rPr>
        <w:t>20</w:t>
      </w:r>
      <w:r>
        <w:rPr>
          <w:noProof/>
        </w:rPr>
        <w:t xml:space="preserve">, Victoria’s resources were </w:t>
      </w:r>
      <w:r w:rsidR="00402574">
        <w:rPr>
          <w:noProof/>
        </w:rPr>
        <w:t xml:space="preserve">mostly </w:t>
      </w:r>
      <w:r>
        <w:rPr>
          <w:noProof/>
        </w:rPr>
        <w:t>reprocessed locally</w:t>
      </w:r>
      <w:r w:rsidR="00837A50">
        <w:rPr>
          <w:noProof/>
        </w:rPr>
        <w:t>.</w:t>
      </w:r>
      <w:r>
        <w:rPr>
          <w:noProof/>
        </w:rPr>
        <w:t xml:space="preserve"> </w:t>
      </w:r>
      <w:r w:rsidR="00550CDE">
        <w:rPr>
          <w:noProof/>
        </w:rPr>
        <w:fldChar w:fldCharType="begin"/>
      </w:r>
      <w:r w:rsidR="00550CDE">
        <w:rPr>
          <w:noProof/>
        </w:rPr>
        <w:instrText xml:space="preserve"> REF _Ref72497342 \h </w:instrText>
      </w:r>
      <w:r w:rsidR="00550CDE">
        <w:rPr>
          <w:noProof/>
        </w:rPr>
      </w:r>
      <w:r w:rsidR="00550CDE">
        <w:rPr>
          <w:noProof/>
        </w:rPr>
        <w:fldChar w:fldCharType="separate"/>
      </w:r>
      <w:r w:rsidR="00176C53">
        <w:t xml:space="preserve">Figure </w:t>
      </w:r>
      <w:r w:rsidR="00176C53">
        <w:rPr>
          <w:noProof/>
        </w:rPr>
        <w:t>22</w:t>
      </w:r>
      <w:r w:rsidR="00550CDE">
        <w:rPr>
          <w:noProof/>
        </w:rPr>
        <w:fldChar w:fldCharType="end"/>
      </w:r>
      <w:r w:rsidR="00837A50">
        <w:rPr>
          <w:noProof/>
        </w:rPr>
        <w:t xml:space="preserve"> shows </w:t>
      </w:r>
      <w:r w:rsidR="00CF306D">
        <w:rPr>
          <w:noProof/>
        </w:rPr>
        <w:t xml:space="preserve">the </w:t>
      </w:r>
      <w:r w:rsidR="009D3410">
        <w:rPr>
          <w:noProof/>
        </w:rPr>
        <w:t>tonnes</w:t>
      </w:r>
      <w:r w:rsidR="00CF306D">
        <w:rPr>
          <w:noProof/>
        </w:rPr>
        <w:t xml:space="preserve"> of materials remaining in Victoria and exported overseas or interstate since 2005–06</w:t>
      </w:r>
      <w:r w:rsidR="00837A50">
        <w:rPr>
          <w:noProof/>
        </w:rPr>
        <w:t>.</w:t>
      </w:r>
      <w:r>
        <w:rPr>
          <w:noProof/>
        </w:rPr>
        <w:t xml:space="preserve"> </w:t>
      </w:r>
      <w:r w:rsidR="009D3410">
        <w:rPr>
          <w:noProof/>
        </w:rPr>
        <w:t xml:space="preserve">In 2019–20, </w:t>
      </w:r>
      <w:r>
        <w:rPr>
          <w:noProof/>
        </w:rPr>
        <w:t>9</w:t>
      </w:r>
      <w:r w:rsidR="00824C43">
        <w:rPr>
          <w:noProof/>
        </w:rPr>
        <w:t>0.</w:t>
      </w:r>
      <w:r w:rsidR="00A02813">
        <w:rPr>
          <w:noProof/>
        </w:rPr>
        <w:t>6</w:t>
      </w:r>
      <w:r>
        <w:rPr>
          <w:noProof/>
        </w:rPr>
        <w:t xml:space="preserve"> per cent </w:t>
      </w:r>
      <w:r w:rsidR="00837A50">
        <w:rPr>
          <w:noProof/>
        </w:rPr>
        <w:t xml:space="preserve">or </w:t>
      </w:r>
      <w:r w:rsidR="00837A50">
        <w:rPr>
          <w:noProof/>
          <w:lang w:eastAsia="en-AU"/>
        </w:rPr>
        <w:drawing>
          <wp:anchor distT="0" distB="0" distL="114300" distR="114300" simplePos="0" relativeHeight="251658242" behindDoc="1" locked="1" layoutInCell="1" allowOverlap="1" wp14:anchorId="356B5835" wp14:editId="261DE84C">
            <wp:simplePos x="0" y="0"/>
            <wp:positionH relativeFrom="page">
              <wp:posOffset>-3175</wp:posOffset>
            </wp:positionH>
            <wp:positionV relativeFrom="page">
              <wp:posOffset>2540</wp:posOffset>
            </wp:positionV>
            <wp:extent cx="7559675" cy="3095625"/>
            <wp:effectExtent l="0" t="0" r="3175" b="9525"/>
            <wp:wrapThrough wrapText="bothSides">
              <wp:wrapPolygon edited="0">
                <wp:start x="0" y="0"/>
                <wp:lineTo x="0" y="21534"/>
                <wp:lineTo x="21555" y="21534"/>
                <wp:lineTo x="21555" y="0"/>
                <wp:lineTo x="0" y="0"/>
              </wp:wrapPolygon>
            </wp:wrapThrough>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24">
                      <a:clrChange>
                        <a:clrFrom>
                          <a:srgbClr val="FFFFFF"/>
                        </a:clrFrom>
                        <a:clrTo>
                          <a:srgbClr val="FFFFFF">
                            <a:alpha val="0"/>
                          </a:srgbClr>
                        </a:clrTo>
                      </a:clrChange>
                    </a:blip>
                    <a:stretch>
                      <a:fillRect/>
                    </a:stretch>
                  </pic:blipFill>
                  <pic:spPr>
                    <a:xfrm>
                      <a:off x="0" y="0"/>
                      <a:ext cx="7559675" cy="3095625"/>
                    </a:xfrm>
                    <a:prstGeom prst="rect">
                      <a:avLst/>
                    </a:prstGeom>
                  </pic:spPr>
                </pic:pic>
              </a:graphicData>
            </a:graphic>
            <wp14:sizeRelH relativeFrom="margin">
              <wp14:pctWidth>0</wp14:pctWidth>
            </wp14:sizeRelH>
            <wp14:sizeRelV relativeFrom="margin">
              <wp14:pctHeight>0</wp14:pctHeight>
            </wp14:sizeRelV>
          </wp:anchor>
        </w:drawing>
      </w:r>
      <w:r w:rsidR="00837A50">
        <w:rPr>
          <w:noProof/>
        </w:rPr>
        <w:t>around 10</w:t>
      </w:r>
      <w:r w:rsidR="00A1526C">
        <w:rPr>
          <w:noProof/>
        </w:rPr>
        <w:t>.01</w:t>
      </w:r>
      <w:r w:rsidR="00837A50">
        <w:rPr>
          <w:noProof/>
        </w:rPr>
        <w:t> </w:t>
      </w:r>
      <w:r w:rsidR="00F65324">
        <w:rPr>
          <w:noProof/>
        </w:rPr>
        <w:t>Mt</w:t>
      </w:r>
      <w:r w:rsidR="00837A50">
        <w:rPr>
          <w:noProof/>
        </w:rPr>
        <w:t xml:space="preserve"> </w:t>
      </w:r>
      <w:r>
        <w:rPr>
          <w:noProof/>
        </w:rPr>
        <w:t xml:space="preserve">of </w:t>
      </w:r>
      <w:r w:rsidR="009D3410">
        <w:rPr>
          <w:noProof/>
        </w:rPr>
        <w:t xml:space="preserve">recovered </w:t>
      </w:r>
      <w:r w:rsidR="00AE673B">
        <w:rPr>
          <w:noProof/>
        </w:rPr>
        <w:t xml:space="preserve">material </w:t>
      </w:r>
      <w:r>
        <w:rPr>
          <w:noProof/>
        </w:rPr>
        <w:t xml:space="preserve">remained in Victoria to be reprocessed </w:t>
      </w:r>
      <w:r w:rsidR="009D3410">
        <w:rPr>
          <w:noProof/>
        </w:rPr>
        <w:t xml:space="preserve">by </w:t>
      </w:r>
      <w:r>
        <w:rPr>
          <w:noProof/>
        </w:rPr>
        <w:t xml:space="preserve">local plants. This is an increase of </w:t>
      </w:r>
      <w:r w:rsidR="00824C43">
        <w:rPr>
          <w:noProof/>
        </w:rPr>
        <w:t>3.8</w:t>
      </w:r>
      <w:r>
        <w:rPr>
          <w:noProof/>
        </w:rPr>
        <w:t xml:space="preserve"> per cent </w:t>
      </w:r>
      <w:r w:rsidR="00AE673B">
        <w:rPr>
          <w:noProof/>
        </w:rPr>
        <w:t xml:space="preserve">compared </w:t>
      </w:r>
      <w:r w:rsidR="00191C3B">
        <w:rPr>
          <w:noProof/>
        </w:rPr>
        <w:t xml:space="preserve">with </w:t>
      </w:r>
      <w:r w:rsidR="001F5998">
        <w:rPr>
          <w:noProof/>
        </w:rPr>
        <w:t xml:space="preserve">the </w:t>
      </w:r>
      <w:r w:rsidR="00AE673B">
        <w:rPr>
          <w:noProof/>
        </w:rPr>
        <w:t>9.6</w:t>
      </w:r>
      <w:r w:rsidR="00995DE4">
        <w:rPr>
          <w:noProof/>
        </w:rPr>
        <w:t>4 M</w:t>
      </w:r>
      <w:r w:rsidR="00F65324">
        <w:rPr>
          <w:noProof/>
        </w:rPr>
        <w:t>t</w:t>
      </w:r>
      <w:r w:rsidR="00AE673B">
        <w:rPr>
          <w:noProof/>
        </w:rPr>
        <w:t xml:space="preserve"> </w:t>
      </w:r>
      <w:r w:rsidR="008051DB">
        <w:rPr>
          <w:noProof/>
        </w:rPr>
        <w:t>that remained</w:t>
      </w:r>
      <w:r w:rsidR="00CF306D">
        <w:rPr>
          <w:noProof/>
        </w:rPr>
        <w:t xml:space="preserve"> for local reprocessing </w:t>
      </w:r>
      <w:r w:rsidR="00AE673B">
        <w:rPr>
          <w:noProof/>
        </w:rPr>
        <w:t xml:space="preserve">in </w:t>
      </w:r>
      <w:r>
        <w:rPr>
          <w:noProof/>
        </w:rPr>
        <w:t>2018</w:t>
      </w:r>
      <w:r w:rsidR="00F07D91">
        <w:rPr>
          <w:noProof/>
        </w:rPr>
        <w:t>–</w:t>
      </w:r>
      <w:r>
        <w:rPr>
          <w:noProof/>
        </w:rPr>
        <w:t>19</w:t>
      </w:r>
      <w:r w:rsidR="00465D67">
        <w:rPr>
          <w:noProof/>
        </w:rPr>
        <w:t>.</w:t>
      </w:r>
      <w:r w:rsidR="00837A50">
        <w:rPr>
          <w:noProof/>
        </w:rPr>
        <w:t xml:space="preserve"> </w:t>
      </w:r>
      <w:r w:rsidR="00465D67">
        <w:rPr>
          <w:noProof/>
        </w:rPr>
        <w:t xml:space="preserve">The other </w:t>
      </w:r>
      <w:r w:rsidR="00824C43">
        <w:rPr>
          <w:noProof/>
        </w:rPr>
        <w:t>9.</w:t>
      </w:r>
      <w:r w:rsidR="00A02813">
        <w:rPr>
          <w:noProof/>
        </w:rPr>
        <w:t>4</w:t>
      </w:r>
      <w:r w:rsidR="00546662">
        <w:rPr>
          <w:noProof/>
        </w:rPr>
        <w:t> </w:t>
      </w:r>
      <w:r w:rsidR="00837A50">
        <w:rPr>
          <w:noProof/>
        </w:rPr>
        <w:t>per cent or 1</w:t>
      </w:r>
      <w:r w:rsidR="00962ACC">
        <w:rPr>
          <w:noProof/>
        </w:rPr>
        <w:t>.0</w:t>
      </w:r>
      <w:r w:rsidR="00A02813">
        <w:rPr>
          <w:noProof/>
        </w:rPr>
        <w:t>4</w:t>
      </w:r>
      <w:r w:rsidR="00546662">
        <w:rPr>
          <w:noProof/>
        </w:rPr>
        <w:t> </w:t>
      </w:r>
      <w:r w:rsidR="00F65324">
        <w:rPr>
          <w:noProof/>
        </w:rPr>
        <w:t>Mt</w:t>
      </w:r>
      <w:r w:rsidR="00837A50">
        <w:rPr>
          <w:noProof/>
        </w:rPr>
        <w:t xml:space="preserve"> </w:t>
      </w:r>
      <w:r w:rsidR="00CF1F00">
        <w:rPr>
          <w:noProof/>
        </w:rPr>
        <w:t xml:space="preserve">was </w:t>
      </w:r>
      <w:r w:rsidR="00837A50">
        <w:rPr>
          <w:noProof/>
        </w:rPr>
        <w:t>exported</w:t>
      </w:r>
      <w:r w:rsidR="00465D67">
        <w:rPr>
          <w:noProof/>
        </w:rPr>
        <w:t xml:space="preserve"> overseas or interstate</w:t>
      </w:r>
      <w:r w:rsidR="00837A50">
        <w:rPr>
          <w:noProof/>
        </w:rPr>
        <w:t xml:space="preserve">. </w:t>
      </w:r>
      <w:r w:rsidR="00465D67">
        <w:rPr>
          <w:noProof/>
        </w:rPr>
        <w:t xml:space="preserve">This is a decrease of </w:t>
      </w:r>
      <w:r w:rsidR="00A02813">
        <w:rPr>
          <w:noProof/>
        </w:rPr>
        <w:t>7.0</w:t>
      </w:r>
      <w:r w:rsidR="00837A50">
        <w:rPr>
          <w:noProof/>
        </w:rPr>
        <w:t> per cent</w:t>
      </w:r>
      <w:r w:rsidR="00837A50" w:rsidRPr="00C81FC7">
        <w:rPr>
          <w:noProof/>
        </w:rPr>
        <w:t xml:space="preserve"> </w:t>
      </w:r>
      <w:r w:rsidR="00465D67">
        <w:rPr>
          <w:noProof/>
        </w:rPr>
        <w:t xml:space="preserve">compared </w:t>
      </w:r>
      <w:r w:rsidR="00191C3B">
        <w:rPr>
          <w:noProof/>
        </w:rPr>
        <w:t>with</w:t>
      </w:r>
      <w:r w:rsidR="00191C3B" w:rsidRPr="00C81FC7">
        <w:rPr>
          <w:noProof/>
        </w:rPr>
        <w:t xml:space="preserve"> </w:t>
      </w:r>
      <w:r w:rsidR="00CF1F00">
        <w:rPr>
          <w:noProof/>
        </w:rPr>
        <w:t xml:space="preserve">the </w:t>
      </w:r>
      <w:r w:rsidR="00465D67">
        <w:rPr>
          <w:noProof/>
        </w:rPr>
        <w:t>1.12</w:t>
      </w:r>
      <w:r w:rsidR="00837A50">
        <w:rPr>
          <w:noProof/>
        </w:rPr>
        <w:t> </w:t>
      </w:r>
      <w:r w:rsidR="00F65324">
        <w:rPr>
          <w:noProof/>
        </w:rPr>
        <w:t>Mt</w:t>
      </w:r>
      <w:r w:rsidR="00465D67">
        <w:rPr>
          <w:noProof/>
        </w:rPr>
        <w:t xml:space="preserve"> exported for reprocessing in 2018–19.</w:t>
      </w:r>
    </w:p>
    <w:p w14:paraId="61F79B8C" w14:textId="7806ED79" w:rsidR="00427264" w:rsidRDefault="00465D67" w:rsidP="0018078B">
      <w:pPr>
        <w:rPr>
          <w:noProof/>
        </w:rPr>
      </w:pPr>
      <w:r>
        <w:rPr>
          <w:noProof/>
        </w:rPr>
        <w:t xml:space="preserve">The quantity of materials remaining in Victoria has increased by </w:t>
      </w:r>
      <w:r w:rsidR="00A1526C">
        <w:rPr>
          <w:noProof/>
        </w:rPr>
        <w:t>2.92</w:t>
      </w:r>
      <w:r w:rsidR="00546662">
        <w:rPr>
          <w:noProof/>
        </w:rPr>
        <w:t> </w:t>
      </w:r>
      <w:r w:rsidR="00F65324">
        <w:rPr>
          <w:noProof/>
        </w:rPr>
        <w:t>Mt</w:t>
      </w:r>
      <w:r>
        <w:rPr>
          <w:noProof/>
        </w:rPr>
        <w:t xml:space="preserve"> since 2014–15 (7.</w:t>
      </w:r>
      <w:r w:rsidR="00A1526C">
        <w:rPr>
          <w:noProof/>
        </w:rPr>
        <w:t>09</w:t>
      </w:r>
      <w:r w:rsidR="005F366F">
        <w:rPr>
          <w:noProof/>
        </w:rPr>
        <w:t> </w:t>
      </w:r>
      <w:r w:rsidR="00F65324">
        <w:rPr>
          <w:noProof/>
        </w:rPr>
        <w:t>Mt</w:t>
      </w:r>
      <w:r>
        <w:rPr>
          <w:noProof/>
        </w:rPr>
        <w:t xml:space="preserve">), while the quantity of </w:t>
      </w:r>
      <w:r w:rsidR="00C3761D">
        <w:rPr>
          <w:noProof/>
        </w:rPr>
        <w:t xml:space="preserve">exported </w:t>
      </w:r>
      <w:r>
        <w:rPr>
          <w:noProof/>
        </w:rPr>
        <w:t>materials ha</w:t>
      </w:r>
      <w:r w:rsidR="00C3761D">
        <w:rPr>
          <w:noProof/>
        </w:rPr>
        <w:t>s</w:t>
      </w:r>
      <w:r>
        <w:rPr>
          <w:noProof/>
        </w:rPr>
        <w:t xml:space="preserve"> declined by around 0.1</w:t>
      </w:r>
      <w:r w:rsidR="00A1526C">
        <w:rPr>
          <w:noProof/>
        </w:rPr>
        <w:t>4</w:t>
      </w:r>
      <w:r w:rsidR="00546662">
        <w:rPr>
          <w:noProof/>
        </w:rPr>
        <w:t> </w:t>
      </w:r>
      <w:r w:rsidR="00F65324">
        <w:rPr>
          <w:noProof/>
        </w:rPr>
        <w:t>Mt</w:t>
      </w:r>
      <w:r>
        <w:rPr>
          <w:noProof/>
        </w:rPr>
        <w:t xml:space="preserve"> since 2014–15</w:t>
      </w:r>
      <w:r w:rsidR="00A1526C">
        <w:rPr>
          <w:noProof/>
        </w:rPr>
        <w:t xml:space="preserve"> (1.1</w:t>
      </w:r>
      <w:r w:rsidR="00995DE4">
        <w:rPr>
          <w:noProof/>
        </w:rPr>
        <w:t>9 M</w:t>
      </w:r>
      <w:r w:rsidR="00A1526C">
        <w:rPr>
          <w:noProof/>
        </w:rPr>
        <w:t>t)</w:t>
      </w:r>
      <w:r w:rsidR="00515927">
        <w:rPr>
          <w:noProof/>
        </w:rPr>
        <w:t xml:space="preserve">. This indicates </w:t>
      </w:r>
      <w:r w:rsidR="008051DB">
        <w:rPr>
          <w:noProof/>
        </w:rPr>
        <w:t xml:space="preserve">a shift </w:t>
      </w:r>
      <w:r w:rsidR="00361776">
        <w:rPr>
          <w:noProof/>
        </w:rPr>
        <w:t>in export markets</w:t>
      </w:r>
      <w:r w:rsidR="00C3761D">
        <w:rPr>
          <w:noProof/>
        </w:rPr>
        <w:t>,</w:t>
      </w:r>
      <w:r w:rsidR="00361776">
        <w:rPr>
          <w:noProof/>
        </w:rPr>
        <w:t xml:space="preserve"> </w:t>
      </w:r>
      <w:r w:rsidR="00583AFA">
        <w:rPr>
          <w:noProof/>
        </w:rPr>
        <w:t xml:space="preserve">especially in import countries </w:t>
      </w:r>
      <w:r w:rsidR="00CF1F00">
        <w:rPr>
          <w:noProof/>
        </w:rPr>
        <w:t xml:space="preserve">that </w:t>
      </w:r>
      <w:r w:rsidR="00361776">
        <w:rPr>
          <w:noProof/>
        </w:rPr>
        <w:t xml:space="preserve">have implemented bans to ensure the quality of </w:t>
      </w:r>
      <w:r w:rsidR="00583AFA">
        <w:rPr>
          <w:noProof/>
        </w:rPr>
        <w:t xml:space="preserve">recevied </w:t>
      </w:r>
      <w:r w:rsidR="00361776">
        <w:rPr>
          <w:noProof/>
        </w:rPr>
        <w:t>material is maintained.</w:t>
      </w:r>
    </w:p>
    <w:p w14:paraId="332601B4" w14:textId="77777777" w:rsidR="00427264" w:rsidRDefault="00427264">
      <w:pPr>
        <w:spacing w:after="0" w:line="240" w:lineRule="auto"/>
        <w:rPr>
          <w:noProof/>
        </w:rPr>
      </w:pPr>
      <w:r>
        <w:rPr>
          <w:noProof/>
        </w:rPr>
        <w:br w:type="page"/>
      </w:r>
    </w:p>
    <w:p w14:paraId="6F91BCEC" w14:textId="017E37D4" w:rsidR="00360D02" w:rsidRDefault="00550CDE" w:rsidP="00550CDE">
      <w:pPr>
        <w:pStyle w:val="FigureCaption"/>
      </w:pPr>
      <w:bookmarkStart w:id="83" w:name="_Ref72497342"/>
      <w:bookmarkStart w:id="84" w:name="_Ref72505197"/>
      <w:bookmarkStart w:id="85" w:name="_Toc77087522"/>
      <w:r>
        <w:lastRenderedPageBreak/>
        <w:t xml:space="preserve">Figure </w:t>
      </w:r>
      <w:r w:rsidR="0085736C">
        <w:fldChar w:fldCharType="begin"/>
      </w:r>
      <w:r w:rsidR="0085736C">
        <w:instrText xml:space="preserve"> SEQ Figure \* ARABIC </w:instrText>
      </w:r>
      <w:r w:rsidR="0085736C">
        <w:fldChar w:fldCharType="separate"/>
      </w:r>
      <w:r w:rsidR="00176C53">
        <w:rPr>
          <w:noProof/>
        </w:rPr>
        <w:t>22</w:t>
      </w:r>
      <w:r w:rsidR="0085736C">
        <w:rPr>
          <w:noProof/>
        </w:rPr>
        <w:fldChar w:fldCharType="end"/>
      </w:r>
      <w:bookmarkEnd w:id="83"/>
      <w:r>
        <w:t xml:space="preserve">: </w:t>
      </w:r>
      <w:r w:rsidR="00360D02" w:rsidRPr="00FE19E0">
        <w:t xml:space="preserve">Material reprocessed locally or exported overseas or interstate </w:t>
      </w:r>
      <w:r w:rsidR="00360D02">
        <w:t>from</w:t>
      </w:r>
      <w:r w:rsidR="00360D02" w:rsidRPr="00FE19E0">
        <w:t xml:space="preserve"> Victoria, </w:t>
      </w:r>
      <w:r w:rsidR="00515927">
        <w:t>2005–06</w:t>
      </w:r>
      <w:r w:rsidR="00360D02">
        <w:t xml:space="preserve"> to 2019</w:t>
      </w:r>
      <w:r w:rsidR="00F07D91">
        <w:t>–</w:t>
      </w:r>
      <w:r w:rsidR="00360D02">
        <w:t>20</w:t>
      </w:r>
      <w:bookmarkEnd w:id="84"/>
      <w:bookmarkEnd w:id="85"/>
    </w:p>
    <w:p w14:paraId="45EB536D" w14:textId="4F48BE4E" w:rsidR="006F2E03" w:rsidRDefault="00596112" w:rsidP="00CE4255">
      <w:r>
        <w:rPr>
          <w:noProof/>
        </w:rPr>
        <w:drawing>
          <wp:inline distT="0" distB="0" distL="0" distR="0" wp14:anchorId="793F7B26" wp14:editId="42A8E082">
            <wp:extent cx="4922520" cy="2346960"/>
            <wp:effectExtent l="0" t="0" r="0" b="0"/>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extLst>
                        <a:ext uri="{C183D7F6-B498-43B3-948B-1728B52AA6E4}">
                          <adec:decorative xmlns:adec="http://schemas.microsoft.com/office/drawing/2017/decorative" val="1"/>
                        </a:ext>
                      </a:extLs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922520" cy="2346960"/>
                    </a:xfrm>
                    <a:prstGeom prst="rect">
                      <a:avLst/>
                    </a:prstGeom>
                    <a:noFill/>
                  </pic:spPr>
                </pic:pic>
              </a:graphicData>
            </a:graphic>
          </wp:inline>
        </w:drawing>
      </w:r>
    </w:p>
    <w:p w14:paraId="4A9A45B1" w14:textId="0EDB7FDC" w:rsidR="00CE4255" w:rsidRDefault="00CE4255" w:rsidP="001F3331">
      <w:pPr>
        <w:pStyle w:val="Heading1Numbered"/>
      </w:pPr>
      <w:bookmarkStart w:id="86" w:name="_Toc78881414"/>
      <w:bookmarkStart w:id="87" w:name="_Toc83108374"/>
      <w:r>
        <w:t>Export composition in 2019–20</w:t>
      </w:r>
      <w:bookmarkEnd w:id="86"/>
      <w:bookmarkEnd w:id="87"/>
    </w:p>
    <w:p w14:paraId="18C4B1FE" w14:textId="3C80F95C" w:rsidR="00D72146" w:rsidRDefault="00361776" w:rsidP="006F2E03">
      <w:r>
        <w:t xml:space="preserve">Of the total quantity </w:t>
      </w:r>
      <w:r w:rsidR="00D72146">
        <w:t xml:space="preserve">of materials </w:t>
      </w:r>
      <w:r>
        <w:t>exported (by weight) i</w:t>
      </w:r>
      <w:r w:rsidR="008051DB">
        <w:t>n 2019–20, m</w:t>
      </w:r>
      <w:r w:rsidR="006F2E03">
        <w:t xml:space="preserve">etals, and paper and cardboard </w:t>
      </w:r>
      <w:r w:rsidR="00D72146">
        <w:t>accounted for 9</w:t>
      </w:r>
      <w:r w:rsidR="006151E9">
        <w:t>0.</w:t>
      </w:r>
      <w:r w:rsidR="004F55A5">
        <w:t>4</w:t>
      </w:r>
      <w:r w:rsidR="00995DE4">
        <w:t> p</w:t>
      </w:r>
      <w:r w:rsidR="00D72146">
        <w:t>er cent (0.9</w:t>
      </w:r>
      <w:r w:rsidR="00995DE4">
        <w:t>4 M</w:t>
      </w:r>
      <w:r w:rsidR="00F65324">
        <w:t>t</w:t>
      </w:r>
      <w:r w:rsidR="00D72146">
        <w:t xml:space="preserve">). </w:t>
      </w:r>
      <w:r w:rsidR="00D72146">
        <w:fldChar w:fldCharType="begin"/>
      </w:r>
      <w:r w:rsidR="00D72146">
        <w:instrText xml:space="preserve"> REF _Ref72497379 \h </w:instrText>
      </w:r>
      <w:r w:rsidR="00D72146">
        <w:fldChar w:fldCharType="separate"/>
      </w:r>
      <w:r w:rsidR="00176C53">
        <w:t xml:space="preserve">Figure </w:t>
      </w:r>
      <w:r w:rsidR="00176C53">
        <w:rPr>
          <w:noProof/>
        </w:rPr>
        <w:t>23</w:t>
      </w:r>
      <w:r w:rsidR="00D72146">
        <w:fldChar w:fldCharType="end"/>
      </w:r>
      <w:r w:rsidR="00D72146">
        <w:t xml:space="preserve"> presents the composition of materials exported for reprocessing from Victoria in 2019–20</w:t>
      </w:r>
      <w:r w:rsidR="00AE23AB">
        <w:t>,</w:t>
      </w:r>
      <w:r w:rsidR="00D72146">
        <w:t xml:space="preserve"> where metals </w:t>
      </w:r>
      <w:r w:rsidR="006F2E03">
        <w:t xml:space="preserve">made up </w:t>
      </w:r>
      <w:r w:rsidR="006151E9">
        <w:t>50.</w:t>
      </w:r>
      <w:r w:rsidR="004F55A5">
        <w:t>6</w:t>
      </w:r>
      <w:r w:rsidR="00546662">
        <w:t> </w:t>
      </w:r>
      <w:r w:rsidR="008051DB">
        <w:t>per cent (0.53</w:t>
      </w:r>
      <w:r w:rsidR="00546662">
        <w:t> </w:t>
      </w:r>
      <w:r w:rsidR="00F65324">
        <w:t>Mt</w:t>
      </w:r>
      <w:r w:rsidR="008051DB">
        <w:t>)</w:t>
      </w:r>
      <w:r w:rsidR="00D72146">
        <w:t xml:space="preserve"> and paper and cardboard made up </w:t>
      </w:r>
      <w:r w:rsidR="006151E9">
        <w:t>39.</w:t>
      </w:r>
      <w:r w:rsidR="004F55A5">
        <w:t>8</w:t>
      </w:r>
      <w:r w:rsidR="006F2E03">
        <w:t xml:space="preserve"> per cent </w:t>
      </w:r>
      <w:r w:rsidR="008051DB">
        <w:t>(0.42</w:t>
      </w:r>
      <w:r w:rsidR="00546662">
        <w:t> </w:t>
      </w:r>
      <w:r w:rsidR="00F65324">
        <w:t>Mt</w:t>
      </w:r>
      <w:r w:rsidR="008051DB">
        <w:t>)</w:t>
      </w:r>
      <w:r w:rsidR="006F2E03">
        <w:t>.</w:t>
      </w:r>
      <w:r w:rsidR="00D72146">
        <w:t xml:space="preserve"> The remaining </w:t>
      </w:r>
      <w:r w:rsidR="00995DE4">
        <w:t>9</w:t>
      </w:r>
      <w:r w:rsidR="006151E9">
        <w:t>.</w:t>
      </w:r>
      <w:r w:rsidR="004F55A5">
        <w:t>6</w:t>
      </w:r>
      <w:r w:rsidR="00995DE4">
        <w:t> p</w:t>
      </w:r>
      <w:r w:rsidR="00D72146">
        <w:t>er cent</w:t>
      </w:r>
      <w:r w:rsidR="003E6AAD">
        <w:t xml:space="preserve"> </w:t>
      </w:r>
      <w:r w:rsidR="00D72146">
        <w:t xml:space="preserve">consisted of plastics, rubber, textiles, </w:t>
      </w:r>
      <w:proofErr w:type="gramStart"/>
      <w:r w:rsidR="002D08E7">
        <w:t>glass</w:t>
      </w:r>
      <w:proofErr w:type="gramEnd"/>
      <w:r w:rsidR="00D72146">
        <w:t xml:space="preserve"> and organics.</w:t>
      </w:r>
    </w:p>
    <w:p w14:paraId="5DA8EFE9" w14:textId="62AD14D9" w:rsidR="00360D02" w:rsidRDefault="00550CDE" w:rsidP="00360D02">
      <w:pPr>
        <w:pStyle w:val="FigureCaption"/>
      </w:pPr>
      <w:bookmarkStart w:id="88" w:name="_Ref72497379"/>
      <w:bookmarkStart w:id="89" w:name="_Toc77087523"/>
      <w:r>
        <w:t xml:space="preserve">Figure </w:t>
      </w:r>
      <w:r w:rsidR="0085736C">
        <w:fldChar w:fldCharType="begin"/>
      </w:r>
      <w:r w:rsidR="0085736C">
        <w:instrText xml:space="preserve"> SEQ Figure \* ARABIC </w:instrText>
      </w:r>
      <w:r w:rsidR="0085736C">
        <w:fldChar w:fldCharType="separate"/>
      </w:r>
      <w:r w:rsidR="00176C53">
        <w:rPr>
          <w:noProof/>
        </w:rPr>
        <w:t>23</w:t>
      </w:r>
      <w:r w:rsidR="0085736C">
        <w:rPr>
          <w:noProof/>
        </w:rPr>
        <w:fldChar w:fldCharType="end"/>
      </w:r>
      <w:bookmarkEnd w:id="88"/>
      <w:r w:rsidR="00360D02">
        <w:t>:</w:t>
      </w:r>
      <w:r w:rsidR="00D15576">
        <w:t xml:space="preserve"> Composition </w:t>
      </w:r>
      <w:r w:rsidR="00D15576" w:rsidRPr="00AE060B">
        <w:t>of materials exported for reprocessing</w:t>
      </w:r>
      <w:r w:rsidR="006507F1">
        <w:t xml:space="preserve"> from </w:t>
      </w:r>
      <w:r w:rsidR="00D15576" w:rsidRPr="00AE060B">
        <w:t>Victoria</w:t>
      </w:r>
      <w:r w:rsidR="00D15576">
        <w:t>,</w:t>
      </w:r>
      <w:r w:rsidR="00D15576" w:rsidRPr="00AE060B">
        <w:t xml:space="preserve"> 201</w:t>
      </w:r>
      <w:r w:rsidR="00D15576">
        <w:t>9</w:t>
      </w:r>
      <w:r w:rsidR="00F07D91">
        <w:t>–</w:t>
      </w:r>
      <w:r w:rsidR="00D15576">
        <w:t>20</w:t>
      </w:r>
      <w:bookmarkEnd w:id="89"/>
    </w:p>
    <w:p w14:paraId="164B527A" w14:textId="4986E9FA" w:rsidR="006F2E03" w:rsidRDefault="00A02813" w:rsidP="006F2E03">
      <w:r>
        <w:rPr>
          <w:noProof/>
        </w:rPr>
        <w:drawing>
          <wp:inline distT="0" distB="0" distL="0" distR="0" wp14:anchorId="50E49B4F" wp14:editId="506B80F9">
            <wp:extent cx="4792980" cy="2400300"/>
            <wp:effectExtent l="0" t="0" r="7620"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92980" cy="2400300"/>
                    </a:xfrm>
                    <a:prstGeom prst="rect">
                      <a:avLst/>
                    </a:prstGeom>
                    <a:noFill/>
                  </pic:spPr>
                </pic:pic>
              </a:graphicData>
            </a:graphic>
          </wp:inline>
        </w:drawing>
      </w:r>
    </w:p>
    <w:p w14:paraId="16CF453B" w14:textId="755E4C0D" w:rsidR="00BC1BC1" w:rsidRDefault="00550CDE" w:rsidP="002D08E7">
      <w:r>
        <w:fldChar w:fldCharType="begin"/>
      </w:r>
      <w:r>
        <w:instrText xml:space="preserve"> REF _Ref72497435 \h </w:instrText>
      </w:r>
      <w:r>
        <w:fldChar w:fldCharType="separate"/>
      </w:r>
      <w:r w:rsidR="00176C53">
        <w:t xml:space="preserve">Figure </w:t>
      </w:r>
      <w:r w:rsidR="00176C53">
        <w:rPr>
          <w:noProof/>
        </w:rPr>
        <w:t>24</w:t>
      </w:r>
      <w:r>
        <w:fldChar w:fldCharType="end"/>
      </w:r>
      <w:r>
        <w:t xml:space="preserve"> </w:t>
      </w:r>
      <w:r w:rsidR="00C81326">
        <w:t>shows the proportions of material</w:t>
      </w:r>
      <w:r w:rsidR="002D08E7">
        <w:t xml:space="preserve"> quantities</w:t>
      </w:r>
      <w:r w:rsidR="00C81326">
        <w:t xml:space="preserve"> reprocessed locally </w:t>
      </w:r>
      <w:r w:rsidR="002D08E7">
        <w:t>to quantities</w:t>
      </w:r>
      <w:r w:rsidR="00C81326">
        <w:t xml:space="preserve"> exported for reprocessing in 2018–19 and 2019</w:t>
      </w:r>
      <w:r w:rsidR="00F07D91">
        <w:t>–</w:t>
      </w:r>
      <w:r w:rsidR="00C81326">
        <w:t xml:space="preserve">20. </w:t>
      </w:r>
      <w:r w:rsidR="00F75AD1">
        <w:t xml:space="preserve">In 2019–20, local reprocessing </w:t>
      </w:r>
      <w:r w:rsidR="00381340">
        <w:t xml:space="preserve">for glass, paper and cardboard, plastics and rubber </w:t>
      </w:r>
      <w:r w:rsidR="00F75AD1">
        <w:t xml:space="preserve">in Victoria increased </w:t>
      </w:r>
      <w:r w:rsidR="00381340">
        <w:t>relative to the quantities exported</w:t>
      </w:r>
      <w:r w:rsidR="00A27474">
        <w:t xml:space="preserve"> with glass, plastics and rubber showing the most noteworthy change.</w:t>
      </w:r>
      <w:r w:rsidR="00BC1BC1">
        <w:t xml:space="preserve"> The change in glass, plastics and rubber suggests that due to the closure of some export markets for these materials, there are developments in local markets and in facilities accessing these markets both within Victoria and other jurisdictions.</w:t>
      </w:r>
    </w:p>
    <w:p w14:paraId="0037940E" w14:textId="7EF81C5F" w:rsidR="00DC7D2A" w:rsidRDefault="002D08E7" w:rsidP="002D08E7">
      <w:r>
        <w:t xml:space="preserve">Paper and cardboard </w:t>
      </w:r>
      <w:proofErr w:type="gramStart"/>
      <w:r>
        <w:t>was</w:t>
      </w:r>
      <w:proofErr w:type="gramEnd"/>
      <w:r>
        <w:t xml:space="preserve"> the only material to demonstrate both a decrease in the quantities exported and in the quantities </w:t>
      </w:r>
      <w:r w:rsidR="00426ED5">
        <w:t xml:space="preserve">that were </w:t>
      </w:r>
      <w:r>
        <w:t>locally reprocessed</w:t>
      </w:r>
      <w:r w:rsidR="00AE23AB">
        <w:t>,</w:t>
      </w:r>
      <w:r>
        <w:t xml:space="preserve"> which suggests that with the closure of some export markets for this material</w:t>
      </w:r>
      <w:r w:rsidR="00F32C39">
        <w:t xml:space="preserve"> the market and infrastructure for recycled paper products is weak.</w:t>
      </w:r>
    </w:p>
    <w:p w14:paraId="2A2A0AA0" w14:textId="2E91B0E1" w:rsidR="00C81326" w:rsidRDefault="00BC1BC1" w:rsidP="006F2E03">
      <w:r>
        <w:lastRenderedPageBreak/>
        <w:t xml:space="preserve">Metals were the only materials to demonstrate an increase in exported quantities relative to quantities reprocessed locally in 2019–20 however this was slight, and no real conclusion may be drawn. </w:t>
      </w:r>
      <w:r w:rsidR="009C671E">
        <w:t xml:space="preserve">Lower value materials, such as </w:t>
      </w:r>
      <w:r w:rsidR="001E5D31">
        <w:t xml:space="preserve">material </w:t>
      </w:r>
      <w:r w:rsidR="009C671E">
        <w:t xml:space="preserve">from C&amp;D activities and </w:t>
      </w:r>
      <w:r w:rsidR="00655FCF">
        <w:t>FOGO</w:t>
      </w:r>
      <w:r w:rsidR="009C671E">
        <w:t xml:space="preserve">, are rarely exported, if at all, as it is financially </w:t>
      </w:r>
      <w:r w:rsidR="00A83F5A">
        <w:t xml:space="preserve">unviable </w:t>
      </w:r>
      <w:r w:rsidR="009C671E">
        <w:t>to do so.</w:t>
      </w:r>
    </w:p>
    <w:p w14:paraId="3AC9A590" w14:textId="4DD38953" w:rsidR="00C81326" w:rsidRDefault="00550CDE" w:rsidP="00550CDE">
      <w:pPr>
        <w:pStyle w:val="FigureCaption"/>
      </w:pPr>
      <w:bookmarkStart w:id="90" w:name="_Ref72497435"/>
      <w:bookmarkStart w:id="91" w:name="_Toc77087524"/>
      <w:r>
        <w:t xml:space="preserve">Figure </w:t>
      </w:r>
      <w:r w:rsidR="0085736C">
        <w:fldChar w:fldCharType="begin"/>
      </w:r>
      <w:r w:rsidR="0085736C">
        <w:instrText xml:space="preserve"> SEQ Figure \* ARABIC </w:instrText>
      </w:r>
      <w:r w:rsidR="0085736C">
        <w:fldChar w:fldCharType="separate"/>
      </w:r>
      <w:r w:rsidR="00176C53">
        <w:rPr>
          <w:noProof/>
        </w:rPr>
        <w:t>24</w:t>
      </w:r>
      <w:r w:rsidR="0085736C">
        <w:rPr>
          <w:noProof/>
        </w:rPr>
        <w:fldChar w:fldCharType="end"/>
      </w:r>
      <w:bookmarkEnd w:id="90"/>
      <w:r>
        <w:t xml:space="preserve">: </w:t>
      </w:r>
      <w:r w:rsidR="00D15576" w:rsidRPr="00D52218">
        <w:t xml:space="preserve">Proportions of materials reprocessed in Victoria and exported </w:t>
      </w:r>
      <w:r w:rsidR="00184F9F">
        <w:t>from</w:t>
      </w:r>
      <w:r w:rsidR="00184F9F" w:rsidRPr="00D52218">
        <w:t xml:space="preserve"> Victoria </w:t>
      </w:r>
      <w:r w:rsidR="00D15576" w:rsidRPr="00D52218">
        <w:t>for reprocessing by material type, 20</w:t>
      </w:r>
      <w:r w:rsidR="00D15576">
        <w:t>18</w:t>
      </w:r>
      <w:r w:rsidR="00F07D91">
        <w:t>–</w:t>
      </w:r>
      <w:r w:rsidR="00D15576">
        <w:t>19 and 2019</w:t>
      </w:r>
      <w:r w:rsidR="00F07D91">
        <w:t>–</w:t>
      </w:r>
      <w:r w:rsidR="00D15576">
        <w:t>20</w:t>
      </w:r>
      <w:bookmarkEnd w:id="91"/>
    </w:p>
    <w:p w14:paraId="04EDB826" w14:textId="0A425578" w:rsidR="006F2E03" w:rsidRDefault="008863E5" w:rsidP="006F2E03">
      <w:r>
        <w:rPr>
          <w:noProof/>
        </w:rPr>
        <w:drawing>
          <wp:inline distT="0" distB="0" distL="0" distR="0" wp14:anchorId="24828895" wp14:editId="673BB525">
            <wp:extent cx="4808220" cy="2567940"/>
            <wp:effectExtent l="0" t="0" r="0" b="3810"/>
            <wp:docPr id="208" name="Picture 2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a:extLst>
                        <a:ext uri="{C183D7F6-B498-43B3-948B-1728B52AA6E4}">
                          <adec:decorative xmlns:adec="http://schemas.microsoft.com/office/drawing/2017/decorative" val="1"/>
                        </a:ext>
                      </a:extLs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08220" cy="2567940"/>
                    </a:xfrm>
                    <a:prstGeom prst="rect">
                      <a:avLst/>
                    </a:prstGeom>
                    <a:noFill/>
                  </pic:spPr>
                </pic:pic>
              </a:graphicData>
            </a:graphic>
          </wp:inline>
        </w:drawing>
      </w:r>
    </w:p>
    <w:p w14:paraId="5BA674FB" w14:textId="20C87CDA" w:rsidR="00C81326" w:rsidRDefault="004E5F77" w:rsidP="00C81326">
      <w:r>
        <w:t>In 2019–20</w:t>
      </w:r>
      <w:r w:rsidR="00C81326">
        <w:t>, local reprocessing of:</w:t>
      </w:r>
    </w:p>
    <w:p w14:paraId="4BC9AE4C" w14:textId="38D284FD" w:rsidR="008C3B14" w:rsidRDefault="008C3B14" w:rsidP="008C3B14">
      <w:pPr>
        <w:pStyle w:val="ListBullet"/>
      </w:pPr>
      <w:r>
        <w:t xml:space="preserve">glass increased by </w:t>
      </w:r>
      <w:r w:rsidR="00481D66">
        <w:t>64.6</w:t>
      </w:r>
      <w:r w:rsidR="00546662">
        <w:t> </w:t>
      </w:r>
      <w:r>
        <w:t>per cent</w:t>
      </w:r>
      <w:r w:rsidR="002B2D2B">
        <w:t xml:space="preserve"> </w:t>
      </w:r>
      <w:r w:rsidR="00763DCE">
        <w:t xml:space="preserve">from </w:t>
      </w:r>
      <w:r w:rsidR="00481D66">
        <w:t>180</w:t>
      </w:r>
      <w:r w:rsidR="00EB244F">
        <w:t>.3</w:t>
      </w:r>
      <w:r w:rsidR="00995DE4">
        <w:t> </w:t>
      </w:r>
      <w:r w:rsidR="007915B2">
        <w:t>kt</w:t>
      </w:r>
      <w:r w:rsidR="00763DCE">
        <w:t xml:space="preserve"> </w:t>
      </w:r>
      <w:r w:rsidR="002B2D2B">
        <w:t xml:space="preserve">to </w:t>
      </w:r>
      <w:r w:rsidR="006151E9">
        <w:t>29</w:t>
      </w:r>
      <w:r w:rsidR="00EB244F">
        <w:t>6.8</w:t>
      </w:r>
      <w:r w:rsidR="00995DE4">
        <w:t> </w:t>
      </w:r>
      <w:r w:rsidR="007915B2">
        <w:t>kt</w:t>
      </w:r>
      <w:r w:rsidR="008E3CE5">
        <w:t>,</w:t>
      </w:r>
      <w:r w:rsidR="002B2D2B">
        <w:t xml:space="preserve"> which aligns with increased</w:t>
      </w:r>
      <w:r w:rsidR="001E5D31">
        <w:t xml:space="preserve"> clearance of long-term stockpiles</w:t>
      </w:r>
      <w:r w:rsidR="002B2D2B">
        <w:t xml:space="preserve"> </w:t>
      </w:r>
      <w:r w:rsidR="002C5DAE">
        <w:t xml:space="preserve">and </w:t>
      </w:r>
      <w:r w:rsidR="002B2D2B">
        <w:t xml:space="preserve">use of recycled glass in </w:t>
      </w:r>
      <w:r w:rsidR="00832357">
        <w:t xml:space="preserve">construction </w:t>
      </w:r>
      <w:r w:rsidR="002B2D2B">
        <w:t>material</w:t>
      </w:r>
    </w:p>
    <w:p w14:paraId="63B20217" w14:textId="67E5B5CF" w:rsidR="008C3B14" w:rsidRDefault="008C3B14" w:rsidP="008C3B14">
      <w:pPr>
        <w:pStyle w:val="ListBullet"/>
      </w:pPr>
      <w:r>
        <w:t xml:space="preserve">plastics increased by </w:t>
      </w:r>
      <w:r w:rsidR="00A402E3">
        <w:t>44.5</w:t>
      </w:r>
      <w:r w:rsidR="00546662">
        <w:t> </w:t>
      </w:r>
      <w:r>
        <w:t>per cent</w:t>
      </w:r>
      <w:r w:rsidR="002B2D2B">
        <w:t xml:space="preserve"> </w:t>
      </w:r>
      <w:r w:rsidR="00763DCE">
        <w:t>from 6</w:t>
      </w:r>
      <w:r w:rsidR="007C00BC">
        <w:t>0.6</w:t>
      </w:r>
      <w:r w:rsidR="00995DE4">
        <w:t> </w:t>
      </w:r>
      <w:r w:rsidR="00570CCD">
        <w:t>kt</w:t>
      </w:r>
      <w:r w:rsidR="00763DCE">
        <w:t xml:space="preserve"> </w:t>
      </w:r>
      <w:r w:rsidR="002B2D2B">
        <w:t>to</w:t>
      </w:r>
      <w:r w:rsidR="00A402E3">
        <w:t xml:space="preserve"> 87.6</w:t>
      </w:r>
      <w:r w:rsidR="00995DE4">
        <w:t> </w:t>
      </w:r>
      <w:r w:rsidR="00570CCD">
        <w:t>kt</w:t>
      </w:r>
      <w:r w:rsidR="002B2D2B">
        <w:t xml:space="preserve"> </w:t>
      </w:r>
    </w:p>
    <w:p w14:paraId="212295DF" w14:textId="32BF3642" w:rsidR="002B2D2B" w:rsidRDefault="002B2D2B" w:rsidP="002B2D2B">
      <w:pPr>
        <w:pStyle w:val="ListBullet"/>
      </w:pPr>
      <w:r>
        <w:t xml:space="preserve">paper </w:t>
      </w:r>
      <w:r w:rsidR="00C105D2">
        <w:t>and</w:t>
      </w:r>
      <w:r>
        <w:t xml:space="preserve"> cardboard decreased by </w:t>
      </w:r>
      <w:r w:rsidR="00481D66">
        <w:t>8.7</w:t>
      </w:r>
      <w:r>
        <w:t xml:space="preserve"> per cent </w:t>
      </w:r>
      <w:r w:rsidR="00667497">
        <w:t xml:space="preserve">from </w:t>
      </w:r>
      <w:r w:rsidR="00481D66">
        <w:t>765</w:t>
      </w:r>
      <w:r w:rsidR="00EB244F">
        <w:t>.4</w:t>
      </w:r>
      <w:r w:rsidR="00995DE4">
        <w:t> </w:t>
      </w:r>
      <w:r w:rsidR="00570CCD">
        <w:t>kt</w:t>
      </w:r>
      <w:r w:rsidR="00763DCE">
        <w:t xml:space="preserve"> to </w:t>
      </w:r>
      <w:r w:rsidR="00481D66">
        <w:t>699</w:t>
      </w:r>
      <w:r w:rsidR="00EB244F">
        <w:t>.2</w:t>
      </w:r>
      <w:r w:rsidR="00995DE4">
        <w:t> </w:t>
      </w:r>
      <w:r w:rsidR="00570CCD">
        <w:t>kt</w:t>
      </w:r>
      <w:r w:rsidR="008E3CE5">
        <w:t>,</w:t>
      </w:r>
      <w:r>
        <w:t xml:space="preserve"> which is in line with overall reductions in paper </w:t>
      </w:r>
      <w:r w:rsidR="00C105D2">
        <w:t>and</w:t>
      </w:r>
      <w:r>
        <w:t xml:space="preserve"> cardboard quantities managed</w:t>
      </w:r>
    </w:p>
    <w:p w14:paraId="4BB08FFA" w14:textId="1F2BB639" w:rsidR="008C3B14" w:rsidRDefault="008C3B14" w:rsidP="001F4410">
      <w:pPr>
        <w:pStyle w:val="ListBullet"/>
      </w:pPr>
      <w:r>
        <w:t>rubber increased by 8</w:t>
      </w:r>
      <w:r w:rsidR="00481D66">
        <w:t>.4</w:t>
      </w:r>
      <w:r>
        <w:t> per cent</w:t>
      </w:r>
      <w:r w:rsidR="002B2D2B">
        <w:t xml:space="preserve"> </w:t>
      </w:r>
      <w:r w:rsidR="00763DCE">
        <w:t>from 3</w:t>
      </w:r>
      <w:r w:rsidR="00995DE4">
        <w:t>0</w:t>
      </w:r>
      <w:r w:rsidR="00EB244F">
        <w:t>.0</w:t>
      </w:r>
      <w:r w:rsidR="00995DE4">
        <w:t> </w:t>
      </w:r>
      <w:r w:rsidR="00570CCD">
        <w:t>kt</w:t>
      </w:r>
      <w:r w:rsidR="00763DCE">
        <w:t xml:space="preserve"> </w:t>
      </w:r>
      <w:r w:rsidR="002B2D2B">
        <w:t>to 3</w:t>
      </w:r>
      <w:r w:rsidR="007C00BC">
        <w:t>2.6</w:t>
      </w:r>
      <w:r w:rsidR="00995DE4">
        <w:t> </w:t>
      </w:r>
      <w:r w:rsidR="00570CCD">
        <w:t>kt</w:t>
      </w:r>
    </w:p>
    <w:p w14:paraId="0487BE37" w14:textId="1238C414" w:rsidR="002B2D2B" w:rsidRDefault="00C81326" w:rsidP="00AE1EA7">
      <w:pPr>
        <w:pStyle w:val="ListBullet"/>
      </w:pPr>
      <w:r>
        <w:t xml:space="preserve">metals </w:t>
      </w:r>
      <w:r w:rsidR="001F4410">
        <w:t>decreased</w:t>
      </w:r>
      <w:r>
        <w:t xml:space="preserve"> by </w:t>
      </w:r>
      <w:r w:rsidR="008C3B14">
        <w:t>3</w:t>
      </w:r>
      <w:r w:rsidR="007C00BC">
        <w:t>.4</w:t>
      </w:r>
      <w:r>
        <w:t> per cent</w:t>
      </w:r>
      <w:r w:rsidR="001F4410">
        <w:t xml:space="preserve"> </w:t>
      </w:r>
      <w:r w:rsidR="00763DCE">
        <w:t>from 98</w:t>
      </w:r>
      <w:r w:rsidR="00EB244F">
        <w:t>7.6</w:t>
      </w:r>
      <w:r w:rsidR="00995DE4">
        <w:t> </w:t>
      </w:r>
      <w:r w:rsidR="00570CCD">
        <w:t>kt</w:t>
      </w:r>
      <w:r w:rsidR="00763DCE">
        <w:t xml:space="preserve"> to </w:t>
      </w:r>
      <w:r w:rsidR="002B2D2B">
        <w:t>95</w:t>
      </w:r>
      <w:r w:rsidR="00EB244F">
        <w:t>3.8</w:t>
      </w:r>
      <w:r w:rsidR="00995DE4">
        <w:t> </w:t>
      </w:r>
      <w:r w:rsidR="00570CCD">
        <w:t>kt</w:t>
      </w:r>
      <w:r w:rsidR="008E3CE5">
        <w:t>.</w:t>
      </w:r>
    </w:p>
    <w:p w14:paraId="6E5E788F" w14:textId="29925569" w:rsidR="008C3B14" w:rsidRDefault="008C3B14" w:rsidP="008C3B14">
      <w:r>
        <w:t xml:space="preserve">During the same </w:t>
      </w:r>
      <w:r w:rsidR="002B2D2B">
        <w:t>12</w:t>
      </w:r>
      <w:r w:rsidR="00AE1EA7">
        <w:t>-</w:t>
      </w:r>
      <w:r w:rsidR="002B2D2B">
        <w:t xml:space="preserve">month </w:t>
      </w:r>
      <w:r>
        <w:t>period, quantities exported for reprocessing</w:t>
      </w:r>
      <w:r w:rsidR="002B2D2B">
        <w:t xml:space="preserve"> of</w:t>
      </w:r>
      <w:r>
        <w:t>:</w:t>
      </w:r>
    </w:p>
    <w:p w14:paraId="3943F020" w14:textId="2E424AF2" w:rsidR="008C3B14" w:rsidRDefault="008C3B14" w:rsidP="008C3B14">
      <w:pPr>
        <w:pStyle w:val="ListBullet"/>
      </w:pPr>
      <w:r>
        <w:t>glass decreased by 7</w:t>
      </w:r>
      <w:r w:rsidR="007C00BC">
        <w:t>2.8</w:t>
      </w:r>
      <w:r w:rsidR="005F366F">
        <w:t> p</w:t>
      </w:r>
      <w:r>
        <w:t xml:space="preserve">er cent </w:t>
      </w:r>
      <w:r w:rsidR="00763DCE">
        <w:t>from 1</w:t>
      </w:r>
      <w:r w:rsidR="00995DE4">
        <w:t>4</w:t>
      </w:r>
      <w:r w:rsidR="00FA57BA">
        <w:t>.4</w:t>
      </w:r>
      <w:r w:rsidR="00995DE4">
        <w:t> </w:t>
      </w:r>
      <w:r w:rsidR="00570CCD">
        <w:t>kt</w:t>
      </w:r>
      <w:r w:rsidR="00763DCE">
        <w:t xml:space="preserve"> </w:t>
      </w:r>
      <w:r>
        <w:t xml:space="preserve">to </w:t>
      </w:r>
      <w:r w:rsidR="00FA57BA">
        <w:t>3.9</w:t>
      </w:r>
      <w:r w:rsidR="00995DE4">
        <w:t> </w:t>
      </w:r>
      <w:r w:rsidR="00570CCD">
        <w:t>kt</w:t>
      </w:r>
    </w:p>
    <w:p w14:paraId="2672EEC3" w14:textId="1E5865E2" w:rsidR="008C3B14" w:rsidRDefault="008C3B14" w:rsidP="008C3B14">
      <w:pPr>
        <w:pStyle w:val="ListBullet"/>
      </w:pPr>
      <w:r>
        <w:t xml:space="preserve">plastics decreased by </w:t>
      </w:r>
      <w:r w:rsidR="00610966">
        <w:t>35.9</w:t>
      </w:r>
      <w:r>
        <w:t xml:space="preserve"> per cent </w:t>
      </w:r>
      <w:r w:rsidR="00667497">
        <w:t xml:space="preserve">from </w:t>
      </w:r>
      <w:r w:rsidR="00763DCE">
        <w:t>8</w:t>
      </w:r>
      <w:r w:rsidR="00FA57BA">
        <w:t>1.9</w:t>
      </w:r>
      <w:r w:rsidR="00995DE4">
        <w:t> </w:t>
      </w:r>
      <w:r w:rsidR="00570CCD">
        <w:t>kt</w:t>
      </w:r>
      <w:r w:rsidR="00763DCE">
        <w:t xml:space="preserve"> to </w:t>
      </w:r>
      <w:r w:rsidR="00FA57BA">
        <w:t>5</w:t>
      </w:r>
      <w:r w:rsidR="00610966">
        <w:t>2</w:t>
      </w:r>
      <w:r w:rsidR="00FA57BA">
        <w:t>.</w:t>
      </w:r>
      <w:r w:rsidR="00610966">
        <w:t>5</w:t>
      </w:r>
      <w:r w:rsidR="00995DE4">
        <w:t> </w:t>
      </w:r>
      <w:r w:rsidR="00570CCD">
        <w:t>kt</w:t>
      </w:r>
      <w:r>
        <w:t xml:space="preserve"> </w:t>
      </w:r>
    </w:p>
    <w:p w14:paraId="7A89B0FA" w14:textId="0E4E9BBF" w:rsidR="008C3B14" w:rsidRDefault="008C3B14" w:rsidP="008C3B14">
      <w:pPr>
        <w:pStyle w:val="ListBullet"/>
      </w:pPr>
      <w:r>
        <w:t>rubber decreased by 28</w:t>
      </w:r>
      <w:r w:rsidR="007C00BC">
        <w:t>.3</w:t>
      </w:r>
      <w:r w:rsidR="00546662">
        <w:t> </w:t>
      </w:r>
      <w:r>
        <w:t xml:space="preserve">per cent </w:t>
      </w:r>
      <w:r w:rsidR="00667497">
        <w:t xml:space="preserve">from </w:t>
      </w:r>
      <w:r w:rsidR="00763DCE">
        <w:t>4</w:t>
      </w:r>
      <w:r w:rsidR="00FA57BA">
        <w:t>1.9</w:t>
      </w:r>
      <w:r w:rsidR="00995DE4">
        <w:t> </w:t>
      </w:r>
      <w:r w:rsidR="00570CCD">
        <w:t>kt</w:t>
      </w:r>
      <w:r w:rsidR="00763DCE">
        <w:t xml:space="preserve"> to </w:t>
      </w:r>
      <w:r>
        <w:t>3</w:t>
      </w:r>
      <w:r w:rsidR="00995DE4">
        <w:t>0</w:t>
      </w:r>
      <w:r w:rsidR="00FA57BA">
        <w:t>.1</w:t>
      </w:r>
      <w:r w:rsidR="00995DE4">
        <w:t> </w:t>
      </w:r>
      <w:r w:rsidR="00570CCD">
        <w:t>kt</w:t>
      </w:r>
    </w:p>
    <w:p w14:paraId="241720A4" w14:textId="0A37094E" w:rsidR="008C3B14" w:rsidRDefault="008C3B14" w:rsidP="008C3B14">
      <w:pPr>
        <w:pStyle w:val="ListBullet"/>
      </w:pPr>
      <w:r>
        <w:t xml:space="preserve">paper </w:t>
      </w:r>
      <w:r w:rsidR="00C105D2">
        <w:t>and</w:t>
      </w:r>
      <w:r>
        <w:t xml:space="preserve"> cardboard decreased by </w:t>
      </w:r>
      <w:r w:rsidR="002B2D2B">
        <w:t>14</w:t>
      </w:r>
      <w:r w:rsidR="007C00BC">
        <w:t>.1</w:t>
      </w:r>
      <w:r>
        <w:t xml:space="preserve"> per cent </w:t>
      </w:r>
      <w:r w:rsidR="00667497">
        <w:t xml:space="preserve">from </w:t>
      </w:r>
      <w:r w:rsidR="00763DCE">
        <w:t>48</w:t>
      </w:r>
      <w:r w:rsidR="00EB244F">
        <w:t>3.9</w:t>
      </w:r>
      <w:r w:rsidR="00995DE4">
        <w:t> </w:t>
      </w:r>
      <w:r w:rsidR="00570CCD">
        <w:t>kt</w:t>
      </w:r>
      <w:r w:rsidR="00763DCE">
        <w:t xml:space="preserve"> to </w:t>
      </w:r>
      <w:r w:rsidR="002B2D2B">
        <w:t>41</w:t>
      </w:r>
      <w:r w:rsidR="00EB244F">
        <w:t>5.7</w:t>
      </w:r>
      <w:r w:rsidR="00995DE4">
        <w:t> </w:t>
      </w:r>
      <w:r w:rsidR="00570CCD">
        <w:t>kt</w:t>
      </w:r>
    </w:p>
    <w:p w14:paraId="27323328" w14:textId="46DF75FA" w:rsidR="001F4410" w:rsidRDefault="008C3B14" w:rsidP="008C3B14">
      <w:pPr>
        <w:pStyle w:val="ListBullet"/>
      </w:pPr>
      <w:r>
        <w:t xml:space="preserve">metals increased by </w:t>
      </w:r>
      <w:r w:rsidR="007C00BC">
        <w:t>8.6</w:t>
      </w:r>
      <w:r>
        <w:t xml:space="preserve"> per cent </w:t>
      </w:r>
      <w:r w:rsidR="00667497">
        <w:t xml:space="preserve">from </w:t>
      </w:r>
      <w:r w:rsidR="00763DCE">
        <w:t>48</w:t>
      </w:r>
      <w:r w:rsidR="00EB244F">
        <w:t>6.9</w:t>
      </w:r>
      <w:r w:rsidR="00995DE4">
        <w:t> </w:t>
      </w:r>
      <w:r w:rsidR="00570CCD">
        <w:t>kt</w:t>
      </w:r>
      <w:r w:rsidR="00763DCE">
        <w:t xml:space="preserve"> to </w:t>
      </w:r>
      <w:r>
        <w:t>52</w:t>
      </w:r>
      <w:r w:rsidR="00EB244F">
        <w:t>8.6</w:t>
      </w:r>
      <w:r w:rsidR="00995DE4">
        <w:t> </w:t>
      </w:r>
      <w:r w:rsidR="00570CCD">
        <w:t>kt</w:t>
      </w:r>
      <w:r w:rsidR="008E3CE5">
        <w:t>.</w:t>
      </w:r>
    </w:p>
    <w:p w14:paraId="1B708440" w14:textId="280E3E28" w:rsidR="00CE4255" w:rsidRDefault="00CE4255" w:rsidP="001F3331">
      <w:pPr>
        <w:pStyle w:val="Heading1Numbered"/>
      </w:pPr>
      <w:bookmarkStart w:id="92" w:name="_Toc78881415"/>
      <w:bookmarkStart w:id="93" w:name="_Toc83108375"/>
      <w:r>
        <w:t>Export destinations a</w:t>
      </w:r>
      <w:r w:rsidR="00281517">
        <w:t>n</w:t>
      </w:r>
      <w:r>
        <w:t>d import restrictions</w:t>
      </w:r>
      <w:bookmarkEnd w:id="92"/>
      <w:bookmarkEnd w:id="93"/>
    </w:p>
    <w:p w14:paraId="2DB767D4" w14:textId="2AF08C0C" w:rsidR="00427264" w:rsidRDefault="001F4410" w:rsidP="001F4410">
      <w:r>
        <w:t>In 2019</w:t>
      </w:r>
      <w:r w:rsidR="00F07D91">
        <w:t>–</w:t>
      </w:r>
      <w:r>
        <w:t xml:space="preserve">20, exports of recyclable materials were sent from Victoria to around 70 destinations worldwide. </w:t>
      </w:r>
      <w:r w:rsidR="00DF3ED0">
        <w:fldChar w:fldCharType="begin"/>
      </w:r>
      <w:r w:rsidR="00DF3ED0">
        <w:instrText xml:space="preserve"> REF _Ref72497488 \h </w:instrText>
      </w:r>
      <w:r w:rsidR="00DF3ED0">
        <w:fldChar w:fldCharType="separate"/>
      </w:r>
      <w:r w:rsidR="00176C53">
        <w:t xml:space="preserve">Table </w:t>
      </w:r>
      <w:r w:rsidR="00176C53">
        <w:rPr>
          <w:noProof/>
        </w:rPr>
        <w:t>1</w:t>
      </w:r>
      <w:r w:rsidR="00DF3ED0">
        <w:fldChar w:fldCharType="end"/>
      </w:r>
      <w:r w:rsidR="00DF3ED0">
        <w:t xml:space="preserve"> presents the top 10 destinations for exports of recyclable material from Victoria in 2019–20. These </w:t>
      </w:r>
      <w:r w:rsidR="00EB6123">
        <w:t xml:space="preserve">top </w:t>
      </w:r>
      <w:r>
        <w:t>10 countries accounted for 9</w:t>
      </w:r>
      <w:r w:rsidR="007C00BC">
        <w:t>4.6</w:t>
      </w:r>
      <w:r>
        <w:t xml:space="preserve"> per cent by weight of all material exported. </w:t>
      </w:r>
      <w:r w:rsidRPr="00600B1D">
        <w:t xml:space="preserve">The countries </w:t>
      </w:r>
      <w:r>
        <w:t xml:space="preserve">that </w:t>
      </w:r>
      <w:r w:rsidRPr="00600B1D">
        <w:t>accept</w:t>
      </w:r>
      <w:r>
        <w:t>ed</w:t>
      </w:r>
      <w:r w:rsidRPr="00600B1D">
        <w:t xml:space="preserve"> the most </w:t>
      </w:r>
      <w:r>
        <w:t xml:space="preserve">material </w:t>
      </w:r>
      <w:proofErr w:type="gramStart"/>
      <w:r>
        <w:t>were</w:t>
      </w:r>
      <w:proofErr w:type="gramEnd"/>
      <w:r>
        <w:t xml:space="preserve"> </w:t>
      </w:r>
      <w:r w:rsidR="002B2D2B">
        <w:t>Bangladesh (</w:t>
      </w:r>
      <w:r w:rsidR="009A3564">
        <w:t>17</w:t>
      </w:r>
      <w:r w:rsidR="007C00BC">
        <w:t>.1</w:t>
      </w:r>
      <w:r w:rsidR="002B2D2B">
        <w:t> per cent)</w:t>
      </w:r>
      <w:r w:rsidR="00DF3ED0">
        <w:t xml:space="preserve">, </w:t>
      </w:r>
      <w:r>
        <w:t>Indonesia (</w:t>
      </w:r>
      <w:r w:rsidR="009A3564">
        <w:t>1</w:t>
      </w:r>
      <w:r w:rsidR="00995DE4">
        <w:t>4</w:t>
      </w:r>
      <w:r w:rsidR="007C00BC">
        <w:t>.3</w:t>
      </w:r>
      <w:r w:rsidR="00995DE4">
        <w:t> p</w:t>
      </w:r>
      <w:r>
        <w:t xml:space="preserve">er cent), </w:t>
      </w:r>
      <w:r w:rsidR="009A3564">
        <w:t>China (1</w:t>
      </w:r>
      <w:r w:rsidR="00995DE4">
        <w:t>3</w:t>
      </w:r>
      <w:r w:rsidR="007C00BC">
        <w:t>.3</w:t>
      </w:r>
      <w:r w:rsidR="00995DE4">
        <w:t> p</w:t>
      </w:r>
      <w:r w:rsidR="009A3564">
        <w:t xml:space="preserve">er cent), </w:t>
      </w:r>
      <w:r w:rsidR="00DF3ED0">
        <w:t>Malaysia (1</w:t>
      </w:r>
      <w:r w:rsidR="009A3564">
        <w:t>3</w:t>
      </w:r>
      <w:r w:rsidR="007C00BC">
        <w:t>.2</w:t>
      </w:r>
      <w:r w:rsidR="005F366F">
        <w:t> p</w:t>
      </w:r>
      <w:r w:rsidR="00DF3ED0">
        <w:t xml:space="preserve">er cent) and </w:t>
      </w:r>
      <w:r>
        <w:t>India (1</w:t>
      </w:r>
      <w:r w:rsidR="007C00BC">
        <w:t>2.9</w:t>
      </w:r>
      <w:r w:rsidR="005F366F">
        <w:t> p</w:t>
      </w:r>
      <w:r>
        <w:t>er cent).</w:t>
      </w:r>
    </w:p>
    <w:p w14:paraId="08A27E74" w14:textId="77777777" w:rsidR="00427264" w:rsidRDefault="00427264">
      <w:pPr>
        <w:spacing w:after="0" w:line="240" w:lineRule="auto"/>
      </w:pPr>
      <w:r>
        <w:br w:type="page"/>
      </w:r>
    </w:p>
    <w:p w14:paraId="26F26B39" w14:textId="29EDF02D" w:rsidR="00FA3167" w:rsidRDefault="00550CDE" w:rsidP="00550CDE">
      <w:pPr>
        <w:pStyle w:val="FigureCaption"/>
      </w:pPr>
      <w:bookmarkStart w:id="94" w:name="_Ref72497488"/>
      <w:bookmarkStart w:id="95" w:name="_Toc77087529"/>
      <w:r>
        <w:lastRenderedPageBreak/>
        <w:t xml:space="preserve">Table </w:t>
      </w:r>
      <w:r w:rsidR="0085736C">
        <w:fldChar w:fldCharType="begin"/>
      </w:r>
      <w:r w:rsidR="0085736C">
        <w:instrText xml:space="preserve"> SEQ Table \* ARABIC </w:instrText>
      </w:r>
      <w:r w:rsidR="0085736C">
        <w:fldChar w:fldCharType="separate"/>
      </w:r>
      <w:r w:rsidR="00176C53">
        <w:rPr>
          <w:noProof/>
        </w:rPr>
        <w:t>1</w:t>
      </w:r>
      <w:r w:rsidR="0085736C">
        <w:rPr>
          <w:noProof/>
        </w:rPr>
        <w:fldChar w:fldCharType="end"/>
      </w:r>
      <w:bookmarkEnd w:id="94"/>
      <w:r>
        <w:t xml:space="preserve">: </w:t>
      </w:r>
      <w:r w:rsidR="005945C5" w:rsidRPr="005945C5">
        <w:t xml:space="preserve">Top 10 destinations for exports of recyclables </w:t>
      </w:r>
      <w:r w:rsidR="0074074F">
        <w:t xml:space="preserve">(in </w:t>
      </w:r>
      <w:r w:rsidR="00402A3E">
        <w:t>kt</w:t>
      </w:r>
      <w:r w:rsidR="0074074F">
        <w:t xml:space="preserve">) </w:t>
      </w:r>
      <w:r w:rsidR="005945C5" w:rsidRPr="005945C5">
        <w:t>from Victoria</w:t>
      </w:r>
      <w:r w:rsidR="00402A3E">
        <w:t>,</w:t>
      </w:r>
      <w:r w:rsidR="005945C5" w:rsidRPr="005945C5">
        <w:t xml:space="preserve"> 201</w:t>
      </w:r>
      <w:r w:rsidR="00FA3167">
        <w:t>9</w:t>
      </w:r>
      <w:r w:rsidR="00F07D91">
        <w:t>–</w:t>
      </w:r>
      <w:r w:rsidR="00FA3167">
        <w:t>20</w:t>
      </w:r>
      <w:bookmarkEnd w:id="95"/>
    </w:p>
    <w:tbl>
      <w:tblPr>
        <w:tblStyle w:val="SVTable"/>
        <w:tblW w:w="5020" w:type="pct"/>
        <w:tblLayout w:type="fixed"/>
        <w:tblLook w:val="04E0" w:firstRow="1" w:lastRow="1" w:firstColumn="1" w:lastColumn="0" w:noHBand="0" w:noVBand="1"/>
      </w:tblPr>
      <w:tblGrid>
        <w:gridCol w:w="2128"/>
        <w:gridCol w:w="856"/>
        <w:gridCol w:w="993"/>
        <w:gridCol w:w="993"/>
        <w:gridCol w:w="850"/>
        <w:gridCol w:w="850"/>
        <w:gridCol w:w="1128"/>
      </w:tblGrid>
      <w:tr w:rsidR="00FA3167" w:rsidRPr="00456498" w14:paraId="7A153404" w14:textId="77777777" w:rsidTr="009A3564">
        <w:trPr>
          <w:cnfStyle w:val="100000000000" w:firstRow="1" w:lastRow="0" w:firstColumn="0" w:lastColumn="0" w:oddVBand="0" w:evenVBand="0" w:oddHBand="0" w:evenHBand="0" w:firstRowFirstColumn="0" w:firstRowLastColumn="0" w:lastRowFirstColumn="0" w:lastRowLastColumn="0"/>
          <w:tblHeader w:val="0"/>
        </w:trPr>
        <w:tc>
          <w:tcPr>
            <w:tcW w:w="1364" w:type="pct"/>
          </w:tcPr>
          <w:p w14:paraId="7244FDF6" w14:textId="77777777" w:rsidR="00FA3167" w:rsidRPr="00F15E5D" w:rsidRDefault="00FA3167" w:rsidP="00870380">
            <w:pPr>
              <w:pStyle w:val="TableHeading"/>
              <w:rPr>
                <w:color w:val="auto"/>
              </w:rPr>
            </w:pPr>
            <w:r w:rsidRPr="00F15E5D">
              <w:rPr>
                <w:color w:val="auto"/>
              </w:rPr>
              <w:t xml:space="preserve">Destination country </w:t>
            </w:r>
          </w:p>
        </w:tc>
        <w:tc>
          <w:tcPr>
            <w:tcW w:w="549" w:type="pct"/>
          </w:tcPr>
          <w:p w14:paraId="5BCFC299" w14:textId="5541282A" w:rsidR="00FA3167" w:rsidRPr="00F15E5D" w:rsidRDefault="00FA3167" w:rsidP="00870380">
            <w:pPr>
              <w:pStyle w:val="TableHeading"/>
              <w:jc w:val="right"/>
              <w:rPr>
                <w:color w:val="auto"/>
              </w:rPr>
            </w:pPr>
            <w:r w:rsidRPr="00F15E5D">
              <w:rPr>
                <w:color w:val="auto"/>
              </w:rPr>
              <w:t>Glass</w:t>
            </w:r>
            <w:r w:rsidR="00EE571F" w:rsidRPr="00F15E5D">
              <w:rPr>
                <w:color w:val="auto"/>
              </w:rPr>
              <w:br/>
            </w:r>
            <w:r w:rsidR="00EE571F" w:rsidRPr="00F15E5D">
              <w:rPr>
                <w:color w:val="auto"/>
              </w:rPr>
              <w:br/>
              <w:t>(kt)</w:t>
            </w:r>
          </w:p>
        </w:tc>
        <w:tc>
          <w:tcPr>
            <w:tcW w:w="637" w:type="pct"/>
          </w:tcPr>
          <w:p w14:paraId="4C6947B7" w14:textId="1E6F6675" w:rsidR="00FA3167" w:rsidRPr="00F15E5D" w:rsidRDefault="00FA3167" w:rsidP="00870380">
            <w:pPr>
              <w:pStyle w:val="TableHeading"/>
              <w:jc w:val="right"/>
              <w:rPr>
                <w:color w:val="auto"/>
              </w:rPr>
            </w:pPr>
            <w:r w:rsidRPr="00F15E5D">
              <w:rPr>
                <w:color w:val="auto"/>
              </w:rPr>
              <w:t>Metals</w:t>
            </w:r>
            <w:r w:rsidR="00EE571F" w:rsidRPr="00F15E5D">
              <w:rPr>
                <w:color w:val="auto"/>
              </w:rPr>
              <w:br/>
            </w:r>
            <w:r w:rsidR="00EE571F" w:rsidRPr="00F15E5D">
              <w:rPr>
                <w:color w:val="auto"/>
              </w:rPr>
              <w:br/>
              <w:t>(kt)</w:t>
            </w:r>
          </w:p>
        </w:tc>
        <w:tc>
          <w:tcPr>
            <w:tcW w:w="637" w:type="pct"/>
          </w:tcPr>
          <w:p w14:paraId="7DF1130A" w14:textId="4179B950" w:rsidR="00FA3167" w:rsidRPr="00F15E5D" w:rsidRDefault="00FA3167" w:rsidP="00870380">
            <w:pPr>
              <w:pStyle w:val="TableHeading"/>
              <w:jc w:val="right"/>
              <w:rPr>
                <w:color w:val="auto"/>
              </w:rPr>
            </w:pPr>
            <w:r w:rsidRPr="00F15E5D">
              <w:rPr>
                <w:color w:val="auto"/>
              </w:rPr>
              <w:t>Paper</w:t>
            </w:r>
            <w:r w:rsidR="002E271E" w:rsidRPr="00F15E5D">
              <w:rPr>
                <w:color w:val="auto"/>
              </w:rPr>
              <w:t xml:space="preserve"> / </w:t>
            </w:r>
            <w:r w:rsidRPr="00F15E5D">
              <w:rPr>
                <w:color w:val="auto"/>
              </w:rPr>
              <w:t>cardboard</w:t>
            </w:r>
            <w:r w:rsidR="00EE571F" w:rsidRPr="00F15E5D">
              <w:rPr>
                <w:color w:val="auto"/>
              </w:rPr>
              <w:t xml:space="preserve"> (kt)</w:t>
            </w:r>
          </w:p>
        </w:tc>
        <w:tc>
          <w:tcPr>
            <w:tcW w:w="545" w:type="pct"/>
          </w:tcPr>
          <w:p w14:paraId="2474657D" w14:textId="2D927047" w:rsidR="00FA3167" w:rsidRPr="00F15E5D" w:rsidRDefault="00FA3167" w:rsidP="00870380">
            <w:pPr>
              <w:pStyle w:val="TableHeading"/>
              <w:jc w:val="right"/>
              <w:rPr>
                <w:color w:val="auto"/>
              </w:rPr>
            </w:pPr>
            <w:r w:rsidRPr="00F15E5D">
              <w:rPr>
                <w:color w:val="auto"/>
              </w:rPr>
              <w:t>Plastics</w:t>
            </w:r>
            <w:r w:rsidR="00EE571F" w:rsidRPr="00F15E5D">
              <w:rPr>
                <w:color w:val="auto"/>
              </w:rPr>
              <w:br/>
            </w:r>
            <w:r w:rsidR="00EE571F" w:rsidRPr="00F15E5D">
              <w:rPr>
                <w:color w:val="auto"/>
              </w:rPr>
              <w:br/>
              <w:t>(kt)</w:t>
            </w:r>
          </w:p>
        </w:tc>
        <w:tc>
          <w:tcPr>
            <w:tcW w:w="545" w:type="pct"/>
          </w:tcPr>
          <w:p w14:paraId="206633D2" w14:textId="3B714A88" w:rsidR="00FA3167" w:rsidRPr="00F15E5D" w:rsidRDefault="00FA3167" w:rsidP="00870380">
            <w:pPr>
              <w:pStyle w:val="TableHeading"/>
              <w:jc w:val="right"/>
              <w:rPr>
                <w:color w:val="auto"/>
              </w:rPr>
            </w:pPr>
            <w:r w:rsidRPr="00F15E5D">
              <w:rPr>
                <w:color w:val="auto"/>
              </w:rPr>
              <w:t>Other</w:t>
            </w:r>
            <w:r w:rsidRPr="00F15E5D">
              <w:rPr>
                <w:rFonts w:cstheme="majorHAnsi"/>
                <w:color w:val="auto"/>
                <w:vertAlign w:val="superscript"/>
              </w:rPr>
              <w:t>†</w:t>
            </w:r>
            <w:r w:rsidR="00EE571F" w:rsidRPr="00F15E5D">
              <w:rPr>
                <w:rFonts w:cstheme="majorHAnsi"/>
                <w:color w:val="auto"/>
                <w:vertAlign w:val="superscript"/>
              </w:rPr>
              <w:br/>
            </w:r>
            <w:r w:rsidR="00EE571F" w:rsidRPr="00F15E5D">
              <w:rPr>
                <w:rFonts w:cstheme="majorHAnsi"/>
                <w:color w:val="auto"/>
              </w:rPr>
              <w:br/>
              <w:t>(kt)</w:t>
            </w:r>
          </w:p>
        </w:tc>
        <w:tc>
          <w:tcPr>
            <w:tcW w:w="724" w:type="pct"/>
          </w:tcPr>
          <w:p w14:paraId="0BDEB6BD" w14:textId="2DA1E0ED" w:rsidR="00FA3167" w:rsidRPr="00F15E5D" w:rsidRDefault="00FA3167" w:rsidP="00870380">
            <w:pPr>
              <w:pStyle w:val="TableHeading"/>
              <w:jc w:val="right"/>
              <w:rPr>
                <w:color w:val="auto"/>
              </w:rPr>
            </w:pPr>
            <w:r w:rsidRPr="00F15E5D">
              <w:rPr>
                <w:color w:val="auto"/>
              </w:rPr>
              <w:t>Total</w:t>
            </w:r>
            <w:r w:rsidR="00EE571F" w:rsidRPr="00F15E5D">
              <w:rPr>
                <w:color w:val="auto"/>
              </w:rPr>
              <w:br/>
            </w:r>
            <w:r w:rsidR="00EE571F" w:rsidRPr="00F15E5D">
              <w:rPr>
                <w:color w:val="auto"/>
              </w:rPr>
              <w:br/>
              <w:t>(kt)</w:t>
            </w:r>
          </w:p>
        </w:tc>
      </w:tr>
      <w:tr w:rsidR="00FA3167" w:rsidRPr="00456498" w14:paraId="7C16D3E2" w14:textId="77777777" w:rsidTr="009A3564">
        <w:tc>
          <w:tcPr>
            <w:tcW w:w="1364" w:type="pct"/>
          </w:tcPr>
          <w:p w14:paraId="1A7988F9" w14:textId="39CEDC33" w:rsidR="00FA3167" w:rsidRPr="00465AC9" w:rsidRDefault="00FA3167" w:rsidP="00870380">
            <w:pPr>
              <w:pStyle w:val="TableText"/>
            </w:pPr>
            <w:r w:rsidRPr="00465AC9">
              <w:t>Bangladesh</w:t>
            </w:r>
            <w:r w:rsidR="00F345E1" w:rsidRPr="00465AC9">
              <w:t>*</w:t>
            </w:r>
          </w:p>
        </w:tc>
        <w:tc>
          <w:tcPr>
            <w:tcW w:w="549" w:type="pct"/>
          </w:tcPr>
          <w:p w14:paraId="43887453" w14:textId="63F8E816" w:rsidR="00FA3167" w:rsidRPr="002538B9" w:rsidRDefault="008253E9" w:rsidP="00870380">
            <w:pPr>
              <w:pStyle w:val="TableText"/>
              <w:jc w:val="right"/>
            </w:pPr>
            <w:r>
              <w:t>1.5</w:t>
            </w:r>
          </w:p>
        </w:tc>
        <w:tc>
          <w:tcPr>
            <w:tcW w:w="637" w:type="pct"/>
          </w:tcPr>
          <w:p w14:paraId="64E37302" w14:textId="219FC259" w:rsidR="00FA3167" w:rsidRPr="002538B9" w:rsidRDefault="008253E9" w:rsidP="00870380">
            <w:pPr>
              <w:pStyle w:val="TableText"/>
              <w:jc w:val="right"/>
            </w:pPr>
            <w:r>
              <w:t>175.1</w:t>
            </w:r>
          </w:p>
        </w:tc>
        <w:tc>
          <w:tcPr>
            <w:tcW w:w="637" w:type="pct"/>
          </w:tcPr>
          <w:p w14:paraId="04C01249" w14:textId="14E93F7F" w:rsidR="00FA3167" w:rsidRPr="002538B9" w:rsidRDefault="008253E9" w:rsidP="00870380">
            <w:pPr>
              <w:pStyle w:val="TableText"/>
              <w:jc w:val="right"/>
            </w:pPr>
            <w:r>
              <w:t>1.5</w:t>
            </w:r>
          </w:p>
        </w:tc>
        <w:tc>
          <w:tcPr>
            <w:tcW w:w="545" w:type="pct"/>
          </w:tcPr>
          <w:p w14:paraId="578A25FA" w14:textId="523E2815" w:rsidR="00FA3167" w:rsidRPr="002538B9" w:rsidRDefault="003A3882" w:rsidP="00870380">
            <w:pPr>
              <w:pStyle w:val="TableText"/>
              <w:jc w:val="right"/>
            </w:pPr>
            <w:r>
              <w:t>0</w:t>
            </w:r>
            <w:r w:rsidR="00EB244F">
              <w:t>.0</w:t>
            </w:r>
          </w:p>
        </w:tc>
        <w:tc>
          <w:tcPr>
            <w:tcW w:w="545" w:type="pct"/>
          </w:tcPr>
          <w:p w14:paraId="69DFCF25" w14:textId="7C60A17F" w:rsidR="00FA3167" w:rsidRPr="002538B9" w:rsidRDefault="00FA3167" w:rsidP="00870380">
            <w:pPr>
              <w:pStyle w:val="TableText"/>
              <w:jc w:val="right"/>
            </w:pPr>
            <w:r>
              <w:t>0</w:t>
            </w:r>
            <w:r w:rsidR="00EB244F">
              <w:t>.0</w:t>
            </w:r>
          </w:p>
        </w:tc>
        <w:tc>
          <w:tcPr>
            <w:tcW w:w="724" w:type="pct"/>
          </w:tcPr>
          <w:p w14:paraId="4A1AAACA" w14:textId="10F5FE06" w:rsidR="00FA3167" w:rsidRPr="002538B9" w:rsidRDefault="008253E9" w:rsidP="00870380">
            <w:pPr>
              <w:pStyle w:val="TableText"/>
              <w:jc w:val="right"/>
            </w:pPr>
            <w:r>
              <w:t>178.1</w:t>
            </w:r>
          </w:p>
        </w:tc>
      </w:tr>
      <w:tr w:rsidR="00FA3167" w:rsidRPr="00456498" w14:paraId="09AFB943" w14:textId="77777777" w:rsidTr="009A3564">
        <w:tc>
          <w:tcPr>
            <w:tcW w:w="1364" w:type="pct"/>
          </w:tcPr>
          <w:p w14:paraId="12CB7067" w14:textId="21B7F0AC" w:rsidR="00FA3167" w:rsidRPr="00465AC9" w:rsidRDefault="00FA3167" w:rsidP="00870380">
            <w:pPr>
              <w:pStyle w:val="TableText"/>
            </w:pPr>
            <w:r w:rsidRPr="00465AC9">
              <w:t>Indonesia</w:t>
            </w:r>
            <w:r w:rsidR="00DF3ED0" w:rsidRPr="00465AC9">
              <w:t>*</w:t>
            </w:r>
          </w:p>
        </w:tc>
        <w:tc>
          <w:tcPr>
            <w:tcW w:w="549" w:type="pct"/>
          </w:tcPr>
          <w:p w14:paraId="21A3D718" w14:textId="58868AB6" w:rsidR="00FA3167" w:rsidRPr="002538B9" w:rsidRDefault="00FA3167" w:rsidP="00870380">
            <w:pPr>
              <w:pStyle w:val="TableText"/>
              <w:jc w:val="right"/>
            </w:pPr>
            <w:r>
              <w:t>0</w:t>
            </w:r>
            <w:r w:rsidR="00EB244F">
              <w:t>.0</w:t>
            </w:r>
          </w:p>
        </w:tc>
        <w:tc>
          <w:tcPr>
            <w:tcW w:w="637" w:type="pct"/>
          </w:tcPr>
          <w:p w14:paraId="257F659F" w14:textId="0C7808F5" w:rsidR="00FA3167" w:rsidRPr="002538B9" w:rsidRDefault="008253E9" w:rsidP="00870380">
            <w:pPr>
              <w:pStyle w:val="TableText"/>
              <w:jc w:val="right"/>
            </w:pPr>
            <w:r>
              <w:t>37.5</w:t>
            </w:r>
          </w:p>
        </w:tc>
        <w:tc>
          <w:tcPr>
            <w:tcW w:w="637" w:type="pct"/>
          </w:tcPr>
          <w:p w14:paraId="236A5D8E" w14:textId="02C62AED" w:rsidR="00FA3167" w:rsidRPr="002538B9" w:rsidRDefault="008253E9" w:rsidP="00870380">
            <w:pPr>
              <w:pStyle w:val="TableText"/>
              <w:jc w:val="right"/>
            </w:pPr>
            <w:r>
              <w:t>107.6</w:t>
            </w:r>
          </w:p>
        </w:tc>
        <w:tc>
          <w:tcPr>
            <w:tcW w:w="545" w:type="pct"/>
          </w:tcPr>
          <w:p w14:paraId="4293CD6E" w14:textId="63700E48" w:rsidR="00FA3167" w:rsidRPr="002538B9" w:rsidRDefault="008253E9" w:rsidP="00870380">
            <w:pPr>
              <w:pStyle w:val="TableText"/>
              <w:jc w:val="right"/>
            </w:pPr>
            <w:r>
              <w:t>4.4</w:t>
            </w:r>
          </w:p>
        </w:tc>
        <w:tc>
          <w:tcPr>
            <w:tcW w:w="545" w:type="pct"/>
          </w:tcPr>
          <w:p w14:paraId="3B3CBB52" w14:textId="02ECB7AF" w:rsidR="00FA3167" w:rsidRPr="002538B9" w:rsidRDefault="008253E9" w:rsidP="00870380">
            <w:pPr>
              <w:pStyle w:val="TableText"/>
              <w:jc w:val="right"/>
            </w:pPr>
            <w:r>
              <w:t>0.1</w:t>
            </w:r>
          </w:p>
        </w:tc>
        <w:tc>
          <w:tcPr>
            <w:tcW w:w="724" w:type="pct"/>
          </w:tcPr>
          <w:p w14:paraId="23EB01C5" w14:textId="70F74675" w:rsidR="00FA3167" w:rsidRPr="002538B9" w:rsidRDefault="008253E9" w:rsidP="00870380">
            <w:pPr>
              <w:pStyle w:val="TableText"/>
              <w:jc w:val="right"/>
            </w:pPr>
            <w:r>
              <w:t>149.6</w:t>
            </w:r>
          </w:p>
        </w:tc>
      </w:tr>
      <w:tr w:rsidR="009A3564" w:rsidRPr="00456498" w14:paraId="35E91C6F" w14:textId="77777777" w:rsidTr="009A3564">
        <w:tc>
          <w:tcPr>
            <w:tcW w:w="1364" w:type="pct"/>
          </w:tcPr>
          <w:p w14:paraId="30187A85" w14:textId="6830EC11" w:rsidR="009A3564" w:rsidRPr="00465AC9" w:rsidRDefault="009A3564" w:rsidP="00870380">
            <w:pPr>
              <w:pStyle w:val="TableText"/>
            </w:pPr>
            <w:r w:rsidRPr="00465AC9">
              <w:t>China*</w:t>
            </w:r>
          </w:p>
        </w:tc>
        <w:tc>
          <w:tcPr>
            <w:tcW w:w="549" w:type="pct"/>
          </w:tcPr>
          <w:p w14:paraId="362104BA" w14:textId="3A5BB4BC" w:rsidR="009A3564" w:rsidRPr="00E70B5F" w:rsidRDefault="009A3564" w:rsidP="00870380">
            <w:pPr>
              <w:pStyle w:val="TableText"/>
              <w:jc w:val="right"/>
            </w:pPr>
            <w:r w:rsidRPr="00E70B5F">
              <w:t>0</w:t>
            </w:r>
            <w:r w:rsidR="00EB244F" w:rsidRPr="00E70B5F">
              <w:t>.0</w:t>
            </w:r>
          </w:p>
        </w:tc>
        <w:tc>
          <w:tcPr>
            <w:tcW w:w="637" w:type="pct"/>
          </w:tcPr>
          <w:p w14:paraId="2BBF32B1" w14:textId="740B3567" w:rsidR="009A3564" w:rsidRPr="00E70B5F" w:rsidRDefault="008253E9" w:rsidP="00870380">
            <w:pPr>
              <w:pStyle w:val="TableText"/>
              <w:jc w:val="right"/>
            </w:pPr>
            <w:r w:rsidRPr="00E70B5F">
              <w:t>20.9</w:t>
            </w:r>
          </w:p>
        </w:tc>
        <w:tc>
          <w:tcPr>
            <w:tcW w:w="637" w:type="pct"/>
          </w:tcPr>
          <w:p w14:paraId="61088DA9" w14:textId="44FD24A6" w:rsidR="009A3564" w:rsidRPr="00E70B5F" w:rsidRDefault="008253E9" w:rsidP="00870380">
            <w:pPr>
              <w:pStyle w:val="TableText"/>
              <w:jc w:val="right"/>
            </w:pPr>
            <w:r w:rsidRPr="00E70B5F">
              <w:t>106.8</w:t>
            </w:r>
          </w:p>
        </w:tc>
        <w:tc>
          <w:tcPr>
            <w:tcW w:w="545" w:type="pct"/>
          </w:tcPr>
          <w:p w14:paraId="202F72AD" w14:textId="6B332DE7" w:rsidR="009A3564" w:rsidRPr="00E70B5F" w:rsidRDefault="008253E9" w:rsidP="00870380">
            <w:pPr>
              <w:pStyle w:val="TableText"/>
              <w:jc w:val="right"/>
            </w:pPr>
            <w:r w:rsidRPr="00E70B5F">
              <w:t>10.9</w:t>
            </w:r>
          </w:p>
        </w:tc>
        <w:tc>
          <w:tcPr>
            <w:tcW w:w="545" w:type="pct"/>
          </w:tcPr>
          <w:p w14:paraId="574F0800" w14:textId="7A14F865" w:rsidR="009A3564" w:rsidRPr="00E70B5F" w:rsidRDefault="008253E9" w:rsidP="00870380">
            <w:pPr>
              <w:pStyle w:val="TableText"/>
              <w:jc w:val="right"/>
            </w:pPr>
            <w:r w:rsidRPr="00E70B5F">
              <w:t>0.8</w:t>
            </w:r>
          </w:p>
        </w:tc>
        <w:tc>
          <w:tcPr>
            <w:tcW w:w="724" w:type="pct"/>
          </w:tcPr>
          <w:p w14:paraId="0DF2C7D6" w14:textId="475CE182" w:rsidR="009A3564" w:rsidRPr="00E70B5F" w:rsidRDefault="008253E9" w:rsidP="00870380">
            <w:pPr>
              <w:pStyle w:val="TableText"/>
              <w:jc w:val="right"/>
            </w:pPr>
            <w:r w:rsidRPr="00E70B5F">
              <w:t>139.3</w:t>
            </w:r>
          </w:p>
        </w:tc>
      </w:tr>
      <w:tr w:rsidR="009A3564" w:rsidRPr="00456498" w14:paraId="6B894080" w14:textId="77777777" w:rsidTr="009A3564">
        <w:tc>
          <w:tcPr>
            <w:tcW w:w="1364" w:type="pct"/>
          </w:tcPr>
          <w:p w14:paraId="536A1F1E" w14:textId="03049ED3" w:rsidR="009A3564" w:rsidRPr="00465AC9" w:rsidRDefault="009A3564" w:rsidP="009A3564">
            <w:pPr>
              <w:pStyle w:val="TableText"/>
            </w:pPr>
            <w:r w:rsidRPr="00465AC9">
              <w:t>Malaysia*</w:t>
            </w:r>
          </w:p>
        </w:tc>
        <w:tc>
          <w:tcPr>
            <w:tcW w:w="549" w:type="pct"/>
          </w:tcPr>
          <w:p w14:paraId="2938AC86" w14:textId="7C45C9A2" w:rsidR="009A3564" w:rsidRPr="00E70B5F" w:rsidRDefault="008253E9" w:rsidP="009A3564">
            <w:pPr>
              <w:pStyle w:val="TableText"/>
              <w:jc w:val="right"/>
            </w:pPr>
            <w:r w:rsidRPr="00E70B5F">
              <w:t>2.4</w:t>
            </w:r>
          </w:p>
        </w:tc>
        <w:tc>
          <w:tcPr>
            <w:tcW w:w="637" w:type="pct"/>
          </w:tcPr>
          <w:p w14:paraId="7E3F565C" w14:textId="470CCB4E" w:rsidR="009A3564" w:rsidRPr="00E70B5F" w:rsidRDefault="008253E9" w:rsidP="009A3564">
            <w:pPr>
              <w:pStyle w:val="TableText"/>
              <w:jc w:val="right"/>
            </w:pPr>
            <w:r w:rsidRPr="00E70B5F">
              <w:t>32.4</w:t>
            </w:r>
          </w:p>
        </w:tc>
        <w:tc>
          <w:tcPr>
            <w:tcW w:w="637" w:type="pct"/>
          </w:tcPr>
          <w:p w14:paraId="5EE104C6" w14:textId="3D164C3E" w:rsidR="009A3564" w:rsidRPr="00E70B5F" w:rsidRDefault="008253E9" w:rsidP="009A3564">
            <w:pPr>
              <w:pStyle w:val="TableText"/>
              <w:jc w:val="right"/>
            </w:pPr>
            <w:r w:rsidRPr="00E70B5F">
              <w:t>68</w:t>
            </w:r>
            <w:r w:rsidR="00EB244F" w:rsidRPr="00E70B5F">
              <w:t>.0</w:t>
            </w:r>
          </w:p>
        </w:tc>
        <w:tc>
          <w:tcPr>
            <w:tcW w:w="545" w:type="pct"/>
          </w:tcPr>
          <w:p w14:paraId="79811BC8" w14:textId="778DB36B" w:rsidR="009A3564" w:rsidRPr="00E70B5F" w:rsidRDefault="008253E9" w:rsidP="009A3564">
            <w:pPr>
              <w:pStyle w:val="TableText"/>
              <w:jc w:val="right"/>
            </w:pPr>
            <w:r w:rsidRPr="00E70B5F">
              <w:t>27</w:t>
            </w:r>
            <w:r w:rsidR="00EB244F" w:rsidRPr="00E70B5F">
              <w:t>.0</w:t>
            </w:r>
          </w:p>
        </w:tc>
        <w:tc>
          <w:tcPr>
            <w:tcW w:w="545" w:type="pct"/>
          </w:tcPr>
          <w:p w14:paraId="6913D186" w14:textId="4C437BAF" w:rsidR="009A3564" w:rsidRPr="00E70B5F" w:rsidRDefault="008253E9" w:rsidP="009A3564">
            <w:pPr>
              <w:pStyle w:val="TableText"/>
              <w:jc w:val="right"/>
            </w:pPr>
            <w:r w:rsidRPr="00E70B5F">
              <w:t>8</w:t>
            </w:r>
            <w:r w:rsidR="00EB244F" w:rsidRPr="00E70B5F">
              <w:t>.0</w:t>
            </w:r>
          </w:p>
        </w:tc>
        <w:tc>
          <w:tcPr>
            <w:tcW w:w="724" w:type="pct"/>
          </w:tcPr>
          <w:p w14:paraId="3859E3E9" w14:textId="67CE503C" w:rsidR="009A3564" w:rsidRPr="00E70B5F" w:rsidRDefault="008253E9" w:rsidP="009A3564">
            <w:pPr>
              <w:pStyle w:val="TableText"/>
              <w:jc w:val="right"/>
            </w:pPr>
            <w:r w:rsidRPr="00E70B5F">
              <w:t>137.8</w:t>
            </w:r>
          </w:p>
        </w:tc>
      </w:tr>
      <w:tr w:rsidR="009A3564" w:rsidRPr="00456498" w14:paraId="47268769" w14:textId="77777777" w:rsidTr="009A3564">
        <w:tc>
          <w:tcPr>
            <w:tcW w:w="1364" w:type="pct"/>
          </w:tcPr>
          <w:p w14:paraId="73D73EBA" w14:textId="5A5CAD0F" w:rsidR="009A3564" w:rsidRPr="00465AC9" w:rsidRDefault="009A3564" w:rsidP="009A3564">
            <w:pPr>
              <w:pStyle w:val="TableText"/>
            </w:pPr>
            <w:r w:rsidRPr="00465AC9">
              <w:t>India*</w:t>
            </w:r>
          </w:p>
        </w:tc>
        <w:tc>
          <w:tcPr>
            <w:tcW w:w="549" w:type="pct"/>
          </w:tcPr>
          <w:p w14:paraId="238E5C09" w14:textId="6145F7F2" w:rsidR="009A3564" w:rsidRPr="00E70B5F" w:rsidRDefault="009A3564" w:rsidP="009A3564">
            <w:pPr>
              <w:pStyle w:val="TableText"/>
              <w:jc w:val="right"/>
            </w:pPr>
            <w:r w:rsidRPr="00E70B5F">
              <w:t>0</w:t>
            </w:r>
            <w:r w:rsidR="00EB244F" w:rsidRPr="00E70B5F">
              <w:t>.0</w:t>
            </w:r>
          </w:p>
        </w:tc>
        <w:tc>
          <w:tcPr>
            <w:tcW w:w="637" w:type="pct"/>
          </w:tcPr>
          <w:p w14:paraId="276D7F7E" w14:textId="0988D0D9" w:rsidR="009A3564" w:rsidRPr="00E70B5F" w:rsidRDefault="008253E9" w:rsidP="009A3564">
            <w:pPr>
              <w:pStyle w:val="TableText"/>
              <w:jc w:val="right"/>
            </w:pPr>
            <w:r w:rsidRPr="00E70B5F">
              <w:t>84.5</w:t>
            </w:r>
          </w:p>
        </w:tc>
        <w:tc>
          <w:tcPr>
            <w:tcW w:w="637" w:type="pct"/>
          </w:tcPr>
          <w:p w14:paraId="2EC0BD6C" w14:textId="6022F9AE" w:rsidR="009A3564" w:rsidRPr="00E70B5F" w:rsidRDefault="008253E9" w:rsidP="009A3564">
            <w:pPr>
              <w:pStyle w:val="TableText"/>
              <w:jc w:val="right"/>
            </w:pPr>
            <w:r w:rsidRPr="00E70B5F">
              <w:t>37.7</w:t>
            </w:r>
          </w:p>
        </w:tc>
        <w:tc>
          <w:tcPr>
            <w:tcW w:w="545" w:type="pct"/>
          </w:tcPr>
          <w:p w14:paraId="332F9800" w14:textId="5BB3ABDD" w:rsidR="009A3564" w:rsidRPr="00E70B5F" w:rsidRDefault="008253E9" w:rsidP="009A3564">
            <w:pPr>
              <w:pStyle w:val="TableText"/>
              <w:jc w:val="right"/>
            </w:pPr>
            <w:r w:rsidRPr="00E70B5F">
              <w:t>0.1</w:t>
            </w:r>
          </w:p>
        </w:tc>
        <w:tc>
          <w:tcPr>
            <w:tcW w:w="545" w:type="pct"/>
          </w:tcPr>
          <w:p w14:paraId="43E70194" w14:textId="13AE40AF" w:rsidR="009A3564" w:rsidRPr="00E70B5F" w:rsidRDefault="008253E9" w:rsidP="009A3564">
            <w:pPr>
              <w:pStyle w:val="TableText"/>
              <w:jc w:val="right"/>
            </w:pPr>
            <w:r w:rsidRPr="00E70B5F">
              <w:t>12.5</w:t>
            </w:r>
          </w:p>
        </w:tc>
        <w:tc>
          <w:tcPr>
            <w:tcW w:w="724" w:type="pct"/>
          </w:tcPr>
          <w:p w14:paraId="103472D8" w14:textId="46CD7F1C" w:rsidR="009A3564" w:rsidRPr="00E70B5F" w:rsidRDefault="008253E9" w:rsidP="009A3564">
            <w:pPr>
              <w:pStyle w:val="TableText"/>
              <w:jc w:val="right"/>
            </w:pPr>
            <w:r w:rsidRPr="00E70B5F">
              <w:t>134.7</w:t>
            </w:r>
          </w:p>
        </w:tc>
      </w:tr>
      <w:tr w:rsidR="009A3564" w:rsidRPr="00456498" w14:paraId="1A7FFE6E" w14:textId="77777777" w:rsidTr="009A3564">
        <w:tc>
          <w:tcPr>
            <w:tcW w:w="1364" w:type="pct"/>
          </w:tcPr>
          <w:p w14:paraId="2C2590CD" w14:textId="2898CA55" w:rsidR="009A3564" w:rsidRPr="00465AC9" w:rsidRDefault="009A3564" w:rsidP="009A3564">
            <w:pPr>
              <w:pStyle w:val="TableText"/>
            </w:pPr>
            <w:r w:rsidRPr="00465AC9">
              <w:t>Thailand*</w:t>
            </w:r>
          </w:p>
        </w:tc>
        <w:tc>
          <w:tcPr>
            <w:tcW w:w="549" w:type="pct"/>
          </w:tcPr>
          <w:p w14:paraId="3830D127" w14:textId="1A1A0D70" w:rsidR="009A3564" w:rsidRPr="00E70B5F" w:rsidRDefault="009A3564" w:rsidP="009A3564">
            <w:pPr>
              <w:pStyle w:val="TableText"/>
              <w:jc w:val="right"/>
            </w:pPr>
            <w:r w:rsidRPr="00E70B5F">
              <w:t>0</w:t>
            </w:r>
            <w:r w:rsidR="00EB244F" w:rsidRPr="00E70B5F">
              <w:t>.0</w:t>
            </w:r>
          </w:p>
        </w:tc>
        <w:tc>
          <w:tcPr>
            <w:tcW w:w="637" w:type="pct"/>
          </w:tcPr>
          <w:p w14:paraId="43D4A65A" w14:textId="1F654261" w:rsidR="009A3564" w:rsidRPr="00E70B5F" w:rsidRDefault="008253E9" w:rsidP="009A3564">
            <w:pPr>
              <w:pStyle w:val="TableText"/>
              <w:jc w:val="right"/>
            </w:pPr>
            <w:r w:rsidRPr="00E70B5F">
              <w:t>27.6</w:t>
            </w:r>
          </w:p>
        </w:tc>
        <w:tc>
          <w:tcPr>
            <w:tcW w:w="637" w:type="pct"/>
          </w:tcPr>
          <w:p w14:paraId="4FFE94B9" w14:textId="7421F117" w:rsidR="009A3564" w:rsidRPr="00E70B5F" w:rsidRDefault="008253E9" w:rsidP="009A3564">
            <w:pPr>
              <w:pStyle w:val="TableText"/>
              <w:jc w:val="right"/>
            </w:pPr>
            <w:r w:rsidRPr="00E70B5F">
              <w:t>48.1</w:t>
            </w:r>
          </w:p>
        </w:tc>
        <w:tc>
          <w:tcPr>
            <w:tcW w:w="545" w:type="pct"/>
          </w:tcPr>
          <w:p w14:paraId="749C68BA" w14:textId="2D4E2F76" w:rsidR="009A3564" w:rsidRPr="00E70B5F" w:rsidRDefault="008253E9" w:rsidP="009A3564">
            <w:pPr>
              <w:pStyle w:val="TableText"/>
              <w:jc w:val="right"/>
            </w:pPr>
            <w:r w:rsidRPr="00E70B5F">
              <w:t>1</w:t>
            </w:r>
            <w:r w:rsidR="00EB244F" w:rsidRPr="00E70B5F">
              <w:t>.0</w:t>
            </w:r>
          </w:p>
        </w:tc>
        <w:tc>
          <w:tcPr>
            <w:tcW w:w="545" w:type="pct"/>
          </w:tcPr>
          <w:p w14:paraId="2F6A9A83" w14:textId="581550FA" w:rsidR="009A3564" w:rsidRPr="00E70B5F" w:rsidRDefault="009A3564" w:rsidP="009A3564">
            <w:pPr>
              <w:pStyle w:val="TableText"/>
              <w:jc w:val="right"/>
            </w:pPr>
            <w:r w:rsidRPr="00E70B5F">
              <w:t>0</w:t>
            </w:r>
            <w:r w:rsidR="00EB244F" w:rsidRPr="00E70B5F">
              <w:t>.0</w:t>
            </w:r>
          </w:p>
        </w:tc>
        <w:tc>
          <w:tcPr>
            <w:tcW w:w="724" w:type="pct"/>
          </w:tcPr>
          <w:p w14:paraId="27B65FA5" w14:textId="1308C3EB" w:rsidR="009A3564" w:rsidRPr="00E70B5F" w:rsidRDefault="008253E9" w:rsidP="009A3564">
            <w:pPr>
              <w:pStyle w:val="TableText"/>
              <w:jc w:val="right"/>
            </w:pPr>
            <w:r w:rsidRPr="00E70B5F">
              <w:t>76.7</w:t>
            </w:r>
          </w:p>
        </w:tc>
      </w:tr>
      <w:tr w:rsidR="009A3564" w:rsidRPr="00456498" w14:paraId="616A1BE9" w14:textId="77777777" w:rsidTr="009A3564">
        <w:tc>
          <w:tcPr>
            <w:tcW w:w="1364" w:type="pct"/>
          </w:tcPr>
          <w:p w14:paraId="3B50925C" w14:textId="0896DC2D" w:rsidR="009A3564" w:rsidRPr="00465AC9" w:rsidRDefault="009A3564" w:rsidP="009A3564">
            <w:pPr>
              <w:pStyle w:val="TableText"/>
            </w:pPr>
            <w:r w:rsidRPr="00465AC9">
              <w:t>Taiwan*</w:t>
            </w:r>
          </w:p>
        </w:tc>
        <w:tc>
          <w:tcPr>
            <w:tcW w:w="549" w:type="pct"/>
          </w:tcPr>
          <w:p w14:paraId="1D0BA971" w14:textId="44F5FEA2" w:rsidR="009A3564" w:rsidRPr="00E70B5F" w:rsidRDefault="009A3564" w:rsidP="009A3564">
            <w:pPr>
              <w:pStyle w:val="TableText"/>
              <w:jc w:val="right"/>
            </w:pPr>
            <w:r w:rsidRPr="00E70B5F">
              <w:t>0</w:t>
            </w:r>
            <w:r w:rsidR="00EB244F" w:rsidRPr="00E70B5F">
              <w:t>.0</w:t>
            </w:r>
          </w:p>
        </w:tc>
        <w:tc>
          <w:tcPr>
            <w:tcW w:w="637" w:type="pct"/>
          </w:tcPr>
          <w:p w14:paraId="63701B9B" w14:textId="258DE023" w:rsidR="009A3564" w:rsidRPr="00E70B5F" w:rsidRDefault="008253E9" w:rsidP="009A3564">
            <w:pPr>
              <w:pStyle w:val="TableText"/>
              <w:jc w:val="right"/>
            </w:pPr>
            <w:r w:rsidRPr="00E70B5F">
              <w:t>50.3</w:t>
            </w:r>
          </w:p>
        </w:tc>
        <w:tc>
          <w:tcPr>
            <w:tcW w:w="637" w:type="pct"/>
          </w:tcPr>
          <w:p w14:paraId="5EDFF50E" w14:textId="50CBB222" w:rsidR="009A3564" w:rsidRPr="00E70B5F" w:rsidRDefault="008253E9" w:rsidP="009A3564">
            <w:pPr>
              <w:pStyle w:val="TableText"/>
              <w:jc w:val="right"/>
            </w:pPr>
            <w:r w:rsidRPr="00E70B5F">
              <w:t>4.5</w:t>
            </w:r>
          </w:p>
        </w:tc>
        <w:tc>
          <w:tcPr>
            <w:tcW w:w="545" w:type="pct"/>
          </w:tcPr>
          <w:p w14:paraId="50C8FB91" w14:textId="410E7443" w:rsidR="009A3564" w:rsidRPr="00E70B5F" w:rsidRDefault="008253E9" w:rsidP="009A3564">
            <w:pPr>
              <w:pStyle w:val="TableText"/>
              <w:jc w:val="right"/>
            </w:pPr>
            <w:r w:rsidRPr="00E70B5F">
              <w:t>3.8</w:t>
            </w:r>
          </w:p>
        </w:tc>
        <w:tc>
          <w:tcPr>
            <w:tcW w:w="545" w:type="pct"/>
          </w:tcPr>
          <w:p w14:paraId="4967CF94" w14:textId="0D57942F" w:rsidR="009A3564" w:rsidRPr="00E70B5F" w:rsidRDefault="009A3564" w:rsidP="009A3564">
            <w:pPr>
              <w:pStyle w:val="TableText"/>
              <w:jc w:val="right"/>
            </w:pPr>
            <w:r w:rsidRPr="00E70B5F">
              <w:t>0</w:t>
            </w:r>
            <w:r w:rsidR="00EB244F" w:rsidRPr="00E70B5F">
              <w:t>.0</w:t>
            </w:r>
          </w:p>
        </w:tc>
        <w:tc>
          <w:tcPr>
            <w:tcW w:w="724" w:type="pct"/>
          </w:tcPr>
          <w:p w14:paraId="2E933BCE" w14:textId="0A653DB1" w:rsidR="009A3564" w:rsidRPr="00E70B5F" w:rsidRDefault="008253E9" w:rsidP="009A3564">
            <w:pPr>
              <w:pStyle w:val="TableText"/>
              <w:jc w:val="right"/>
            </w:pPr>
            <w:r w:rsidRPr="00E70B5F">
              <w:t>58.6</w:t>
            </w:r>
          </w:p>
        </w:tc>
      </w:tr>
      <w:tr w:rsidR="009A3564" w:rsidRPr="00456498" w14:paraId="17122231" w14:textId="77777777" w:rsidTr="009A3564">
        <w:tc>
          <w:tcPr>
            <w:tcW w:w="1364" w:type="pct"/>
          </w:tcPr>
          <w:p w14:paraId="3EBD9DD3" w14:textId="5704980E" w:rsidR="009A3564" w:rsidRPr="00465AC9" w:rsidRDefault="009A3564" w:rsidP="009A3564">
            <w:pPr>
              <w:pStyle w:val="TableText"/>
            </w:pPr>
            <w:r w:rsidRPr="00465AC9">
              <w:t>Pakistan</w:t>
            </w:r>
          </w:p>
        </w:tc>
        <w:tc>
          <w:tcPr>
            <w:tcW w:w="549" w:type="pct"/>
          </w:tcPr>
          <w:p w14:paraId="0B5C7BE0" w14:textId="3E02E67E" w:rsidR="009A3564" w:rsidRPr="00E70B5F" w:rsidRDefault="009A3564" w:rsidP="009A3564">
            <w:pPr>
              <w:pStyle w:val="TableText"/>
              <w:jc w:val="right"/>
            </w:pPr>
            <w:r w:rsidRPr="00E70B5F">
              <w:t>0</w:t>
            </w:r>
            <w:r w:rsidR="00EB244F" w:rsidRPr="00E70B5F">
              <w:t>.0</w:t>
            </w:r>
          </w:p>
        </w:tc>
        <w:tc>
          <w:tcPr>
            <w:tcW w:w="637" w:type="pct"/>
          </w:tcPr>
          <w:p w14:paraId="7608FA24" w14:textId="11077DD0" w:rsidR="009A3564" w:rsidRPr="00E70B5F" w:rsidRDefault="008253E9" w:rsidP="009A3564">
            <w:pPr>
              <w:pStyle w:val="TableText"/>
              <w:jc w:val="right"/>
            </w:pPr>
            <w:r w:rsidRPr="00E70B5F">
              <w:t>42.6</w:t>
            </w:r>
          </w:p>
        </w:tc>
        <w:tc>
          <w:tcPr>
            <w:tcW w:w="637" w:type="pct"/>
          </w:tcPr>
          <w:p w14:paraId="51713901" w14:textId="4958853C" w:rsidR="009A3564" w:rsidRPr="00E70B5F" w:rsidRDefault="008253E9" w:rsidP="009A3564">
            <w:pPr>
              <w:pStyle w:val="TableText"/>
              <w:jc w:val="right"/>
            </w:pPr>
            <w:r w:rsidRPr="00E70B5F">
              <w:t>5</w:t>
            </w:r>
            <w:r w:rsidR="00EB244F" w:rsidRPr="00E70B5F">
              <w:t>.0</w:t>
            </w:r>
          </w:p>
        </w:tc>
        <w:tc>
          <w:tcPr>
            <w:tcW w:w="545" w:type="pct"/>
          </w:tcPr>
          <w:p w14:paraId="7FA4B400" w14:textId="7256257F" w:rsidR="009A3564" w:rsidRPr="00E70B5F" w:rsidRDefault="009A3564" w:rsidP="009A3564">
            <w:pPr>
              <w:pStyle w:val="TableText"/>
              <w:jc w:val="right"/>
            </w:pPr>
            <w:r w:rsidRPr="00E70B5F">
              <w:t>0</w:t>
            </w:r>
            <w:r w:rsidR="00EB244F" w:rsidRPr="00E70B5F">
              <w:t>.0</w:t>
            </w:r>
          </w:p>
        </w:tc>
        <w:tc>
          <w:tcPr>
            <w:tcW w:w="545" w:type="pct"/>
          </w:tcPr>
          <w:p w14:paraId="6C9A5FA1" w14:textId="6FBC938B" w:rsidR="009A3564" w:rsidRPr="00E70B5F" w:rsidRDefault="009A3564" w:rsidP="009A3564">
            <w:pPr>
              <w:pStyle w:val="TableText"/>
              <w:jc w:val="right"/>
            </w:pPr>
            <w:r w:rsidRPr="00E70B5F">
              <w:t>0</w:t>
            </w:r>
            <w:r w:rsidR="00EB244F" w:rsidRPr="00E70B5F">
              <w:t>.0</w:t>
            </w:r>
          </w:p>
        </w:tc>
        <w:tc>
          <w:tcPr>
            <w:tcW w:w="724" w:type="pct"/>
          </w:tcPr>
          <w:p w14:paraId="79539899" w14:textId="2370B854" w:rsidR="009A3564" w:rsidRPr="00E70B5F" w:rsidRDefault="008253E9" w:rsidP="009A3564">
            <w:pPr>
              <w:pStyle w:val="TableText"/>
              <w:jc w:val="right"/>
            </w:pPr>
            <w:r w:rsidRPr="00E70B5F">
              <w:t>47.6</w:t>
            </w:r>
          </w:p>
        </w:tc>
      </w:tr>
      <w:tr w:rsidR="009A3564" w:rsidRPr="00456498" w14:paraId="6C357830" w14:textId="77777777" w:rsidTr="009A3564">
        <w:tc>
          <w:tcPr>
            <w:tcW w:w="1364" w:type="pct"/>
          </w:tcPr>
          <w:p w14:paraId="072B4B0D" w14:textId="37DD2B3B" w:rsidR="009A3564" w:rsidRPr="00465AC9" w:rsidRDefault="009A3564" w:rsidP="009A3564">
            <w:pPr>
              <w:pStyle w:val="TableText"/>
            </w:pPr>
            <w:r w:rsidRPr="00465AC9">
              <w:t>South Korea*</w:t>
            </w:r>
          </w:p>
        </w:tc>
        <w:tc>
          <w:tcPr>
            <w:tcW w:w="549" w:type="pct"/>
          </w:tcPr>
          <w:p w14:paraId="22EAF3BD" w14:textId="16294440" w:rsidR="009A3564" w:rsidRPr="00E70B5F" w:rsidRDefault="009A3564" w:rsidP="009A3564">
            <w:pPr>
              <w:pStyle w:val="TableText"/>
              <w:jc w:val="right"/>
            </w:pPr>
            <w:r w:rsidRPr="00E70B5F">
              <w:t>0</w:t>
            </w:r>
            <w:r w:rsidR="00EB244F" w:rsidRPr="00E70B5F">
              <w:t>.0</w:t>
            </w:r>
          </w:p>
        </w:tc>
        <w:tc>
          <w:tcPr>
            <w:tcW w:w="637" w:type="pct"/>
          </w:tcPr>
          <w:p w14:paraId="2A954E1D" w14:textId="0C9B7765" w:rsidR="009A3564" w:rsidRPr="00E70B5F" w:rsidRDefault="008253E9" w:rsidP="009A3564">
            <w:pPr>
              <w:pStyle w:val="TableText"/>
              <w:jc w:val="right"/>
            </w:pPr>
            <w:r w:rsidRPr="00E70B5F">
              <w:t>28.9</w:t>
            </w:r>
          </w:p>
        </w:tc>
        <w:tc>
          <w:tcPr>
            <w:tcW w:w="637" w:type="pct"/>
          </w:tcPr>
          <w:p w14:paraId="3CE267B5" w14:textId="60F441BC" w:rsidR="009A3564" w:rsidRPr="00E70B5F" w:rsidRDefault="008253E9" w:rsidP="009A3564">
            <w:pPr>
              <w:pStyle w:val="TableText"/>
              <w:jc w:val="right"/>
            </w:pPr>
            <w:r w:rsidRPr="00E70B5F">
              <w:t>6.5</w:t>
            </w:r>
          </w:p>
        </w:tc>
        <w:tc>
          <w:tcPr>
            <w:tcW w:w="545" w:type="pct"/>
          </w:tcPr>
          <w:p w14:paraId="54B154EF" w14:textId="2B7B1036" w:rsidR="009A3564" w:rsidRPr="00E70B5F" w:rsidRDefault="008253E9" w:rsidP="009A3564">
            <w:pPr>
              <w:pStyle w:val="TableText"/>
              <w:jc w:val="right"/>
            </w:pPr>
            <w:r w:rsidRPr="00E70B5F">
              <w:t>0.1</w:t>
            </w:r>
          </w:p>
        </w:tc>
        <w:tc>
          <w:tcPr>
            <w:tcW w:w="545" w:type="pct"/>
          </w:tcPr>
          <w:p w14:paraId="321427EC" w14:textId="417392ED" w:rsidR="009A3564" w:rsidRPr="00E70B5F" w:rsidRDefault="008253E9" w:rsidP="009A3564">
            <w:pPr>
              <w:pStyle w:val="TableText"/>
              <w:jc w:val="right"/>
            </w:pPr>
            <w:r w:rsidRPr="00E70B5F">
              <w:t>2.4</w:t>
            </w:r>
          </w:p>
        </w:tc>
        <w:tc>
          <w:tcPr>
            <w:tcW w:w="724" w:type="pct"/>
          </w:tcPr>
          <w:p w14:paraId="4A4C4D12" w14:textId="7B9ED416" w:rsidR="009A3564" w:rsidRPr="00E70B5F" w:rsidRDefault="008253E9" w:rsidP="009A3564">
            <w:pPr>
              <w:pStyle w:val="TableText"/>
              <w:jc w:val="right"/>
            </w:pPr>
            <w:r w:rsidRPr="00E70B5F">
              <w:t>37.9</w:t>
            </w:r>
          </w:p>
        </w:tc>
      </w:tr>
      <w:tr w:rsidR="009A3564" w:rsidRPr="00456498" w14:paraId="6222205A" w14:textId="77777777" w:rsidTr="009A3564">
        <w:tc>
          <w:tcPr>
            <w:tcW w:w="1364" w:type="pct"/>
          </w:tcPr>
          <w:p w14:paraId="2DB667FA" w14:textId="1E894DCB" w:rsidR="009A3564" w:rsidRPr="00465AC9" w:rsidRDefault="009A3564" w:rsidP="009A3564">
            <w:pPr>
              <w:pStyle w:val="TableText"/>
            </w:pPr>
            <w:r w:rsidRPr="00465AC9">
              <w:t>Vietnam*</w:t>
            </w:r>
          </w:p>
        </w:tc>
        <w:tc>
          <w:tcPr>
            <w:tcW w:w="549" w:type="pct"/>
          </w:tcPr>
          <w:p w14:paraId="49BFA1CF" w14:textId="5AD7F73E" w:rsidR="009A3564" w:rsidRPr="00E70B5F" w:rsidRDefault="009A3564" w:rsidP="009A3564">
            <w:pPr>
              <w:pStyle w:val="TableText"/>
              <w:jc w:val="right"/>
            </w:pPr>
            <w:r w:rsidRPr="00E70B5F">
              <w:t>0</w:t>
            </w:r>
            <w:r w:rsidR="00EB244F" w:rsidRPr="00E70B5F">
              <w:t>.0</w:t>
            </w:r>
          </w:p>
        </w:tc>
        <w:tc>
          <w:tcPr>
            <w:tcW w:w="637" w:type="pct"/>
          </w:tcPr>
          <w:p w14:paraId="57AF60AF" w14:textId="429AC330" w:rsidR="009A3564" w:rsidRPr="00E70B5F" w:rsidRDefault="008253E9" w:rsidP="009A3564">
            <w:pPr>
              <w:pStyle w:val="TableText"/>
              <w:jc w:val="right"/>
            </w:pPr>
            <w:r w:rsidRPr="00E70B5F">
              <w:t>5.6</w:t>
            </w:r>
          </w:p>
        </w:tc>
        <w:tc>
          <w:tcPr>
            <w:tcW w:w="637" w:type="pct"/>
          </w:tcPr>
          <w:p w14:paraId="7E1CF548" w14:textId="47FD0CF6" w:rsidR="009A3564" w:rsidRPr="00E70B5F" w:rsidRDefault="008253E9" w:rsidP="009A3564">
            <w:pPr>
              <w:pStyle w:val="TableText"/>
              <w:jc w:val="right"/>
            </w:pPr>
            <w:r w:rsidRPr="00E70B5F">
              <w:t>20.</w:t>
            </w:r>
            <w:r w:rsidR="00A40666" w:rsidRPr="00E70B5F">
              <w:t>2</w:t>
            </w:r>
          </w:p>
        </w:tc>
        <w:tc>
          <w:tcPr>
            <w:tcW w:w="545" w:type="pct"/>
          </w:tcPr>
          <w:p w14:paraId="37FAD7F3" w14:textId="2EB524E8" w:rsidR="009A3564" w:rsidRPr="00E70B5F" w:rsidRDefault="008253E9" w:rsidP="009A3564">
            <w:pPr>
              <w:pStyle w:val="TableText"/>
              <w:jc w:val="right"/>
            </w:pPr>
            <w:r w:rsidRPr="00E70B5F">
              <w:t>1.1</w:t>
            </w:r>
          </w:p>
        </w:tc>
        <w:tc>
          <w:tcPr>
            <w:tcW w:w="545" w:type="pct"/>
          </w:tcPr>
          <w:p w14:paraId="2D3B4472" w14:textId="1C2417EA" w:rsidR="009A3564" w:rsidRPr="00E70B5F" w:rsidRDefault="009A3564" w:rsidP="009A3564">
            <w:pPr>
              <w:pStyle w:val="TableText"/>
              <w:jc w:val="right"/>
            </w:pPr>
            <w:r w:rsidRPr="00E70B5F">
              <w:t>0</w:t>
            </w:r>
            <w:r w:rsidR="00EB244F" w:rsidRPr="00E70B5F">
              <w:t>.0</w:t>
            </w:r>
          </w:p>
        </w:tc>
        <w:tc>
          <w:tcPr>
            <w:tcW w:w="724" w:type="pct"/>
          </w:tcPr>
          <w:p w14:paraId="55BD819C" w14:textId="13C63E3D" w:rsidR="009A3564" w:rsidRPr="00E70B5F" w:rsidRDefault="008253E9" w:rsidP="009A3564">
            <w:pPr>
              <w:pStyle w:val="TableText"/>
              <w:jc w:val="right"/>
            </w:pPr>
            <w:r w:rsidRPr="00E70B5F">
              <w:t>26.9</w:t>
            </w:r>
          </w:p>
        </w:tc>
      </w:tr>
      <w:tr w:rsidR="009A3564" w:rsidRPr="00456498" w14:paraId="17437E45" w14:textId="77777777" w:rsidTr="009A3564">
        <w:tc>
          <w:tcPr>
            <w:tcW w:w="1364" w:type="pct"/>
            <w:shd w:val="clear" w:color="auto" w:fill="E5F3D9" w:themeFill="background1" w:themeFillTint="33"/>
            <w:vAlign w:val="bottom"/>
          </w:tcPr>
          <w:p w14:paraId="4958A316" w14:textId="16FFD931" w:rsidR="009A3564" w:rsidRPr="00EE0571" w:rsidRDefault="009A3564" w:rsidP="009A3564">
            <w:pPr>
              <w:pStyle w:val="TableText"/>
            </w:pPr>
            <w:r>
              <w:t>Top 10 destinations total</w:t>
            </w:r>
          </w:p>
        </w:tc>
        <w:tc>
          <w:tcPr>
            <w:tcW w:w="549" w:type="pct"/>
            <w:shd w:val="clear" w:color="auto" w:fill="E5F3D9" w:themeFill="background1" w:themeFillTint="33"/>
          </w:tcPr>
          <w:p w14:paraId="68755F3A" w14:textId="6CBC1FA7" w:rsidR="009A3564" w:rsidRPr="00E70B5F" w:rsidRDefault="008253E9" w:rsidP="009A3564">
            <w:pPr>
              <w:pStyle w:val="TableText"/>
              <w:jc w:val="right"/>
            </w:pPr>
            <w:r w:rsidRPr="00E70B5F">
              <w:t>3.9</w:t>
            </w:r>
          </w:p>
        </w:tc>
        <w:tc>
          <w:tcPr>
            <w:tcW w:w="637" w:type="pct"/>
            <w:shd w:val="clear" w:color="auto" w:fill="E5F3D9" w:themeFill="background1" w:themeFillTint="33"/>
          </w:tcPr>
          <w:p w14:paraId="79D324E9" w14:textId="739C9C78" w:rsidR="009A3564" w:rsidRPr="00E70B5F" w:rsidRDefault="008253E9" w:rsidP="009A3564">
            <w:pPr>
              <w:pStyle w:val="TableText"/>
              <w:jc w:val="right"/>
            </w:pPr>
            <w:r w:rsidRPr="00E70B5F">
              <w:t>505.2</w:t>
            </w:r>
          </w:p>
        </w:tc>
        <w:tc>
          <w:tcPr>
            <w:tcW w:w="637" w:type="pct"/>
            <w:shd w:val="clear" w:color="auto" w:fill="E5F3D9" w:themeFill="background1" w:themeFillTint="33"/>
          </w:tcPr>
          <w:p w14:paraId="343BED9D" w14:textId="00060E29" w:rsidR="009A3564" w:rsidRPr="00E70B5F" w:rsidRDefault="008253E9" w:rsidP="009A3564">
            <w:pPr>
              <w:pStyle w:val="TableText"/>
              <w:jc w:val="right"/>
            </w:pPr>
            <w:r w:rsidRPr="00E70B5F">
              <w:t>405.9</w:t>
            </w:r>
          </w:p>
        </w:tc>
        <w:tc>
          <w:tcPr>
            <w:tcW w:w="545" w:type="pct"/>
            <w:shd w:val="clear" w:color="auto" w:fill="E5F3D9" w:themeFill="background1" w:themeFillTint="33"/>
          </w:tcPr>
          <w:p w14:paraId="7A177A52" w14:textId="16CE217E" w:rsidR="009A3564" w:rsidRPr="00E70B5F" w:rsidRDefault="008253E9" w:rsidP="009A3564">
            <w:pPr>
              <w:pStyle w:val="TableText"/>
              <w:jc w:val="right"/>
            </w:pPr>
            <w:r w:rsidRPr="00E70B5F">
              <w:t>48.3</w:t>
            </w:r>
          </w:p>
        </w:tc>
        <w:tc>
          <w:tcPr>
            <w:tcW w:w="545" w:type="pct"/>
            <w:shd w:val="clear" w:color="auto" w:fill="E5F3D9" w:themeFill="background1" w:themeFillTint="33"/>
          </w:tcPr>
          <w:p w14:paraId="71BC9745" w14:textId="2292819D" w:rsidR="009A3564" w:rsidRPr="00E70B5F" w:rsidRDefault="008253E9" w:rsidP="009A3564">
            <w:pPr>
              <w:pStyle w:val="TableText"/>
              <w:jc w:val="right"/>
            </w:pPr>
            <w:r w:rsidRPr="00E70B5F">
              <w:t>23.8</w:t>
            </w:r>
          </w:p>
        </w:tc>
        <w:tc>
          <w:tcPr>
            <w:tcW w:w="724" w:type="pct"/>
            <w:shd w:val="clear" w:color="auto" w:fill="E5F3D9" w:themeFill="background1" w:themeFillTint="33"/>
          </w:tcPr>
          <w:p w14:paraId="6B041917" w14:textId="6709B327" w:rsidR="009A3564" w:rsidRPr="00E70B5F" w:rsidRDefault="008253E9" w:rsidP="009A3564">
            <w:pPr>
              <w:pStyle w:val="TableText"/>
              <w:jc w:val="right"/>
            </w:pPr>
            <w:r w:rsidRPr="00E70B5F">
              <w:t>987.2</w:t>
            </w:r>
          </w:p>
        </w:tc>
      </w:tr>
      <w:tr w:rsidR="009A3564" w:rsidRPr="00456498" w14:paraId="004BE2B9" w14:textId="77777777" w:rsidTr="009A3564">
        <w:tc>
          <w:tcPr>
            <w:tcW w:w="1364" w:type="pct"/>
            <w:shd w:val="clear" w:color="auto" w:fill="E5F3D9" w:themeFill="background1" w:themeFillTint="33"/>
            <w:vAlign w:val="bottom"/>
          </w:tcPr>
          <w:p w14:paraId="134FDABC" w14:textId="60A9EF42" w:rsidR="009A3564" w:rsidRPr="00EE0571" w:rsidRDefault="009A3564" w:rsidP="009A3564">
            <w:pPr>
              <w:pStyle w:val="TableText"/>
            </w:pPr>
            <w:r>
              <w:t>All destinations total</w:t>
            </w:r>
          </w:p>
        </w:tc>
        <w:tc>
          <w:tcPr>
            <w:tcW w:w="549" w:type="pct"/>
            <w:shd w:val="clear" w:color="auto" w:fill="E5F3D9" w:themeFill="background1" w:themeFillTint="33"/>
          </w:tcPr>
          <w:p w14:paraId="79872494" w14:textId="1269FE48" w:rsidR="009A3564" w:rsidRPr="00EE0571" w:rsidRDefault="008253E9" w:rsidP="009A3564">
            <w:pPr>
              <w:pStyle w:val="TableText"/>
              <w:jc w:val="right"/>
            </w:pPr>
            <w:r>
              <w:t>3.9</w:t>
            </w:r>
          </w:p>
        </w:tc>
        <w:tc>
          <w:tcPr>
            <w:tcW w:w="637" w:type="pct"/>
            <w:shd w:val="clear" w:color="auto" w:fill="E5F3D9" w:themeFill="background1" w:themeFillTint="33"/>
          </w:tcPr>
          <w:p w14:paraId="50932A24" w14:textId="1043863B" w:rsidR="009A3564" w:rsidRPr="00EE0571" w:rsidRDefault="008253E9" w:rsidP="009A3564">
            <w:pPr>
              <w:pStyle w:val="TableText"/>
              <w:jc w:val="right"/>
            </w:pPr>
            <w:r>
              <w:t>528.6</w:t>
            </w:r>
          </w:p>
        </w:tc>
        <w:tc>
          <w:tcPr>
            <w:tcW w:w="637" w:type="pct"/>
            <w:shd w:val="clear" w:color="auto" w:fill="E5F3D9" w:themeFill="background1" w:themeFillTint="33"/>
          </w:tcPr>
          <w:p w14:paraId="38C481F8" w14:textId="6D5E9146" w:rsidR="009A3564" w:rsidRPr="00EE0571" w:rsidRDefault="008253E9" w:rsidP="009A3564">
            <w:pPr>
              <w:pStyle w:val="TableText"/>
              <w:jc w:val="right"/>
            </w:pPr>
            <w:r>
              <w:t>415.7</w:t>
            </w:r>
          </w:p>
        </w:tc>
        <w:tc>
          <w:tcPr>
            <w:tcW w:w="545" w:type="pct"/>
            <w:shd w:val="clear" w:color="auto" w:fill="E5F3D9" w:themeFill="background1" w:themeFillTint="33"/>
          </w:tcPr>
          <w:p w14:paraId="65BAC73B" w14:textId="48F39E68" w:rsidR="009A3564" w:rsidRPr="00EE0571" w:rsidRDefault="008253E9" w:rsidP="009A3564">
            <w:pPr>
              <w:pStyle w:val="TableText"/>
              <w:jc w:val="right"/>
            </w:pPr>
            <w:r>
              <w:t>52.5</w:t>
            </w:r>
          </w:p>
        </w:tc>
        <w:tc>
          <w:tcPr>
            <w:tcW w:w="545" w:type="pct"/>
            <w:shd w:val="clear" w:color="auto" w:fill="E5F3D9" w:themeFill="background1" w:themeFillTint="33"/>
          </w:tcPr>
          <w:p w14:paraId="497A0EDB" w14:textId="39D818B1" w:rsidR="009A3564" w:rsidRPr="00EE0571" w:rsidRDefault="008253E9" w:rsidP="009A3564">
            <w:pPr>
              <w:pStyle w:val="TableText"/>
              <w:jc w:val="right"/>
            </w:pPr>
            <w:r>
              <w:t>43.4</w:t>
            </w:r>
          </w:p>
        </w:tc>
        <w:tc>
          <w:tcPr>
            <w:tcW w:w="724" w:type="pct"/>
            <w:shd w:val="clear" w:color="auto" w:fill="E5F3D9" w:themeFill="background1" w:themeFillTint="33"/>
          </w:tcPr>
          <w:p w14:paraId="6A98BB07" w14:textId="666E79D5" w:rsidR="009A3564" w:rsidRPr="00EE0571" w:rsidRDefault="008253E9" w:rsidP="009A3564">
            <w:pPr>
              <w:pStyle w:val="TableText"/>
              <w:jc w:val="right"/>
            </w:pPr>
            <w:r>
              <w:t>1,044</w:t>
            </w:r>
            <w:r w:rsidR="002D4613">
              <w:t>.0</w:t>
            </w:r>
          </w:p>
        </w:tc>
      </w:tr>
      <w:tr w:rsidR="009A3564" w:rsidRPr="00456498" w14:paraId="2C88E004" w14:textId="77777777" w:rsidTr="009A3564">
        <w:trPr>
          <w:cnfStyle w:val="010000000000" w:firstRow="0" w:lastRow="1" w:firstColumn="0" w:lastColumn="0" w:oddVBand="0" w:evenVBand="0" w:oddHBand="0" w:evenHBand="0" w:firstRowFirstColumn="0" w:firstRowLastColumn="0" w:lastRowFirstColumn="0" w:lastRowLastColumn="0"/>
        </w:trPr>
        <w:tc>
          <w:tcPr>
            <w:tcW w:w="1364" w:type="pct"/>
            <w:shd w:val="clear" w:color="auto" w:fill="E5F3D9" w:themeFill="background1" w:themeFillTint="33"/>
            <w:vAlign w:val="bottom"/>
          </w:tcPr>
          <w:p w14:paraId="7A458B40" w14:textId="1ECA1969" w:rsidR="009A3564" w:rsidRPr="00FF4610" w:rsidRDefault="009A3564" w:rsidP="009A3564">
            <w:pPr>
              <w:pStyle w:val="TableText"/>
              <w:rPr>
                <w:b w:val="0"/>
              </w:rPr>
            </w:pPr>
            <w:r>
              <w:rPr>
                <w:b w:val="0"/>
              </w:rPr>
              <w:t>Top 10 proportion of total</w:t>
            </w:r>
          </w:p>
        </w:tc>
        <w:tc>
          <w:tcPr>
            <w:tcW w:w="549" w:type="pct"/>
            <w:shd w:val="clear" w:color="auto" w:fill="E5F3D9" w:themeFill="background1" w:themeFillTint="33"/>
          </w:tcPr>
          <w:p w14:paraId="58FC115C" w14:textId="21DE275D" w:rsidR="009A3564" w:rsidRPr="00FF4610" w:rsidRDefault="009A3564" w:rsidP="009A3564">
            <w:pPr>
              <w:pStyle w:val="TableText"/>
              <w:jc w:val="right"/>
              <w:rPr>
                <w:b w:val="0"/>
              </w:rPr>
            </w:pPr>
            <w:r>
              <w:rPr>
                <w:b w:val="0"/>
              </w:rPr>
              <w:t>100%</w:t>
            </w:r>
          </w:p>
        </w:tc>
        <w:tc>
          <w:tcPr>
            <w:tcW w:w="637" w:type="pct"/>
            <w:shd w:val="clear" w:color="auto" w:fill="E5F3D9" w:themeFill="background1" w:themeFillTint="33"/>
          </w:tcPr>
          <w:p w14:paraId="5932C911" w14:textId="4E167BBF" w:rsidR="009A3564" w:rsidRPr="00FF4610" w:rsidRDefault="009A3564" w:rsidP="009A3564">
            <w:pPr>
              <w:pStyle w:val="TableText"/>
              <w:jc w:val="right"/>
              <w:rPr>
                <w:b w:val="0"/>
              </w:rPr>
            </w:pPr>
            <w:r>
              <w:rPr>
                <w:b w:val="0"/>
              </w:rPr>
              <w:t>96%</w:t>
            </w:r>
          </w:p>
        </w:tc>
        <w:tc>
          <w:tcPr>
            <w:tcW w:w="637" w:type="pct"/>
            <w:shd w:val="clear" w:color="auto" w:fill="E5F3D9" w:themeFill="background1" w:themeFillTint="33"/>
          </w:tcPr>
          <w:p w14:paraId="0C58786E" w14:textId="13CC53FB" w:rsidR="009A3564" w:rsidRPr="00FF4610" w:rsidRDefault="009A3564" w:rsidP="009A3564">
            <w:pPr>
              <w:pStyle w:val="TableText"/>
              <w:jc w:val="right"/>
              <w:rPr>
                <w:b w:val="0"/>
              </w:rPr>
            </w:pPr>
            <w:r>
              <w:rPr>
                <w:b w:val="0"/>
              </w:rPr>
              <w:t>98%</w:t>
            </w:r>
          </w:p>
        </w:tc>
        <w:tc>
          <w:tcPr>
            <w:tcW w:w="545" w:type="pct"/>
            <w:shd w:val="clear" w:color="auto" w:fill="E5F3D9" w:themeFill="background1" w:themeFillTint="33"/>
          </w:tcPr>
          <w:p w14:paraId="3910D2FA" w14:textId="6FEFC33E" w:rsidR="009A3564" w:rsidRPr="00FF4610" w:rsidRDefault="009A3564" w:rsidP="009A3564">
            <w:pPr>
              <w:pStyle w:val="TableText"/>
              <w:jc w:val="right"/>
              <w:rPr>
                <w:b w:val="0"/>
              </w:rPr>
            </w:pPr>
            <w:r>
              <w:rPr>
                <w:b w:val="0"/>
              </w:rPr>
              <w:t>92%</w:t>
            </w:r>
          </w:p>
        </w:tc>
        <w:tc>
          <w:tcPr>
            <w:tcW w:w="545" w:type="pct"/>
            <w:shd w:val="clear" w:color="auto" w:fill="E5F3D9" w:themeFill="background1" w:themeFillTint="33"/>
          </w:tcPr>
          <w:p w14:paraId="557A9171" w14:textId="581B0E6F" w:rsidR="009A3564" w:rsidRPr="00FF4610" w:rsidRDefault="009A3564" w:rsidP="009A3564">
            <w:pPr>
              <w:pStyle w:val="TableText"/>
              <w:jc w:val="right"/>
              <w:rPr>
                <w:b w:val="0"/>
              </w:rPr>
            </w:pPr>
            <w:r>
              <w:rPr>
                <w:b w:val="0"/>
              </w:rPr>
              <w:t>55%</w:t>
            </w:r>
          </w:p>
        </w:tc>
        <w:tc>
          <w:tcPr>
            <w:tcW w:w="724" w:type="pct"/>
            <w:shd w:val="clear" w:color="auto" w:fill="E5F3D9" w:themeFill="background1" w:themeFillTint="33"/>
          </w:tcPr>
          <w:p w14:paraId="5A2A86F9" w14:textId="283DDC15" w:rsidR="009A3564" w:rsidRPr="00FF4610" w:rsidRDefault="009A3564" w:rsidP="009A3564">
            <w:pPr>
              <w:pStyle w:val="TableText"/>
              <w:jc w:val="right"/>
              <w:rPr>
                <w:b w:val="0"/>
              </w:rPr>
            </w:pPr>
            <w:r>
              <w:rPr>
                <w:b w:val="0"/>
              </w:rPr>
              <w:t>95%</w:t>
            </w:r>
          </w:p>
        </w:tc>
      </w:tr>
    </w:tbl>
    <w:p w14:paraId="24F9D872" w14:textId="0E62A240" w:rsidR="00AF1D8E" w:rsidRPr="00EE571F" w:rsidRDefault="00CA6235" w:rsidP="00EE571F">
      <w:pPr>
        <w:pStyle w:val="Caption"/>
      </w:pPr>
      <w:r w:rsidRPr="00EE571F">
        <w:t xml:space="preserve">* Indicates that country had some form of restrictions on the importation of waste. </w:t>
      </w:r>
      <w:r w:rsidRPr="00EE571F">
        <w:br/>
      </w:r>
      <w:r w:rsidRPr="00EE571F">
        <w:rPr>
          <w:vertAlign w:val="superscript"/>
        </w:rPr>
        <w:t>†</w:t>
      </w:r>
      <w:r w:rsidRPr="00EE571F">
        <w:t xml:space="preserve"> ‘Other’ includes rubber, </w:t>
      </w:r>
      <w:proofErr w:type="gramStart"/>
      <w:r w:rsidRPr="00EE571F">
        <w:t>textiles</w:t>
      </w:r>
      <w:proofErr w:type="gramEnd"/>
      <w:r w:rsidRPr="00EE571F">
        <w:t xml:space="preserve"> and organics.</w:t>
      </w:r>
      <w:r w:rsidR="007021F6" w:rsidRPr="00EE571F">
        <w:br/>
      </w:r>
      <w:r w:rsidR="00AF1D8E" w:rsidRPr="00EE571F">
        <w:t>Figures in</w:t>
      </w:r>
      <w:r w:rsidR="00550CDE" w:rsidRPr="00EE571F">
        <w:t xml:space="preserve"> </w:t>
      </w:r>
      <w:r w:rsidR="00550CDE" w:rsidRPr="00EE571F">
        <w:rPr>
          <w:rStyle w:val="CaptionChar"/>
          <w:i/>
          <w:iCs/>
        </w:rPr>
        <w:fldChar w:fldCharType="begin"/>
      </w:r>
      <w:r w:rsidR="00550CDE" w:rsidRPr="00EE571F">
        <w:rPr>
          <w:rStyle w:val="CaptionChar"/>
          <w:i/>
          <w:iCs/>
        </w:rPr>
        <w:instrText xml:space="preserve"> REF _Ref72497488 \h  \* MERGEFORMAT </w:instrText>
      </w:r>
      <w:r w:rsidR="00550CDE" w:rsidRPr="00EE571F">
        <w:rPr>
          <w:rStyle w:val="CaptionChar"/>
          <w:i/>
          <w:iCs/>
        </w:rPr>
      </w:r>
      <w:r w:rsidR="00550CDE" w:rsidRPr="00EE571F">
        <w:rPr>
          <w:rStyle w:val="CaptionChar"/>
          <w:i/>
          <w:iCs/>
        </w:rPr>
        <w:fldChar w:fldCharType="separate"/>
      </w:r>
      <w:r w:rsidR="00176C53">
        <w:t>Table 1</w:t>
      </w:r>
      <w:r w:rsidR="00550CDE" w:rsidRPr="00EE571F">
        <w:rPr>
          <w:rStyle w:val="CaptionChar"/>
          <w:i/>
          <w:iCs/>
        </w:rPr>
        <w:fldChar w:fldCharType="end"/>
      </w:r>
      <w:r w:rsidR="00550CDE" w:rsidRPr="00EE571F">
        <w:t xml:space="preserve"> </w:t>
      </w:r>
      <w:r w:rsidR="00AF1D8E" w:rsidRPr="00EE571F">
        <w:t>have been rounded to the nearest hundred and may not match totals reported in other parts of this report.</w:t>
      </w:r>
    </w:p>
    <w:p w14:paraId="3DFF8BF4" w14:textId="05EF203F" w:rsidR="00AF1D8E" w:rsidRDefault="00AF1D8E" w:rsidP="00AF1D8E">
      <w:r>
        <w:t>Notably, in 2019</w:t>
      </w:r>
      <w:r w:rsidR="00F07D91">
        <w:t>–</w:t>
      </w:r>
      <w:r>
        <w:t>20 each material had a dominant country that received more exports from Victoria than other</w:t>
      </w:r>
      <w:r w:rsidR="008C4509">
        <w:t xml:space="preserve"> countries</w:t>
      </w:r>
      <w:r>
        <w:t>, such a</w:t>
      </w:r>
      <w:r w:rsidR="00A407CE">
        <w:t>s</w:t>
      </w:r>
      <w:r>
        <w:t>:</w:t>
      </w:r>
    </w:p>
    <w:p w14:paraId="53B1B88A" w14:textId="5F6E8310" w:rsidR="00DF3ED0" w:rsidRDefault="00DF3ED0" w:rsidP="00DF3ED0">
      <w:pPr>
        <w:pStyle w:val="ListBullet"/>
      </w:pPr>
      <w:r>
        <w:t>plastics</w:t>
      </w:r>
      <w:r w:rsidR="00A407CE">
        <w:t>,</w:t>
      </w:r>
      <w:r>
        <w:t xml:space="preserve"> </w:t>
      </w:r>
      <w:r w:rsidR="00A407CE">
        <w:t xml:space="preserve">to </w:t>
      </w:r>
      <w:r>
        <w:t xml:space="preserve">Malaysia – </w:t>
      </w:r>
      <w:r w:rsidR="00E13456">
        <w:t>51</w:t>
      </w:r>
      <w:r w:rsidR="007C00BC">
        <w:t>.5</w:t>
      </w:r>
      <w:r>
        <w:t> per cent</w:t>
      </w:r>
      <w:r w:rsidR="0047692A">
        <w:t xml:space="preserve"> (2</w:t>
      </w:r>
      <w:r w:rsidR="00995DE4">
        <w:t>7</w:t>
      </w:r>
      <w:r w:rsidR="00EB244F">
        <w:t>.0</w:t>
      </w:r>
      <w:r w:rsidR="00995DE4">
        <w:t> </w:t>
      </w:r>
      <w:r w:rsidR="00570CCD">
        <w:t>kt</w:t>
      </w:r>
      <w:r w:rsidR="0047692A">
        <w:t>)</w:t>
      </w:r>
      <w:r>
        <w:t xml:space="preserve"> of total plastics exported</w:t>
      </w:r>
    </w:p>
    <w:p w14:paraId="0FA8DC38" w14:textId="0E622210" w:rsidR="00AF1D8E" w:rsidRDefault="00AF1D8E" w:rsidP="00AF1D8E">
      <w:pPr>
        <w:pStyle w:val="ListBullet"/>
      </w:pPr>
      <w:r>
        <w:t>glass</w:t>
      </w:r>
      <w:r w:rsidR="00A407CE">
        <w:t>,</w:t>
      </w:r>
      <w:r>
        <w:t xml:space="preserve"> </w:t>
      </w:r>
      <w:r w:rsidR="00A407CE">
        <w:t xml:space="preserve">to </w:t>
      </w:r>
      <w:r>
        <w:t xml:space="preserve">Malaysia – </w:t>
      </w:r>
      <w:r w:rsidR="008C4509">
        <w:t>6</w:t>
      </w:r>
      <w:r w:rsidR="007C00BC">
        <w:t>1.7</w:t>
      </w:r>
      <w:r>
        <w:t xml:space="preserve"> per cent </w:t>
      </w:r>
      <w:r w:rsidR="0047692A">
        <w:t>(2.</w:t>
      </w:r>
      <w:r w:rsidR="00995DE4">
        <w:t>4 </w:t>
      </w:r>
      <w:r w:rsidR="00570CCD">
        <w:t>kt</w:t>
      </w:r>
      <w:r w:rsidR="0047692A">
        <w:t xml:space="preserve">) </w:t>
      </w:r>
      <w:r>
        <w:t>of total glass</w:t>
      </w:r>
      <w:r w:rsidRPr="00471B97">
        <w:t xml:space="preserve"> </w:t>
      </w:r>
      <w:r>
        <w:t>exported</w:t>
      </w:r>
    </w:p>
    <w:p w14:paraId="5C151C3F" w14:textId="483FFD43" w:rsidR="00AF1D8E" w:rsidRDefault="00AF1D8E" w:rsidP="00AF1D8E">
      <w:pPr>
        <w:pStyle w:val="ListBullet"/>
      </w:pPr>
      <w:r>
        <w:t>metals</w:t>
      </w:r>
      <w:r w:rsidR="00A407CE">
        <w:t xml:space="preserve">, to </w:t>
      </w:r>
      <w:r>
        <w:t xml:space="preserve">Bangladesh – </w:t>
      </w:r>
      <w:r w:rsidR="00E13456">
        <w:t>33</w:t>
      </w:r>
      <w:r w:rsidR="007C00BC">
        <w:t>.1</w:t>
      </w:r>
      <w:r>
        <w:t xml:space="preserve"> per cent </w:t>
      </w:r>
      <w:r w:rsidR="0047692A">
        <w:t>(175.</w:t>
      </w:r>
      <w:r w:rsidR="00995DE4">
        <w:t>1 </w:t>
      </w:r>
      <w:r w:rsidR="00570CCD">
        <w:t>kt</w:t>
      </w:r>
      <w:r w:rsidR="0047692A">
        <w:t xml:space="preserve">) </w:t>
      </w:r>
      <w:r>
        <w:t>of total metals</w:t>
      </w:r>
      <w:r w:rsidRPr="00471B97">
        <w:t xml:space="preserve"> </w:t>
      </w:r>
      <w:r>
        <w:t>exported</w:t>
      </w:r>
    </w:p>
    <w:p w14:paraId="30E976CD" w14:textId="4E12546E" w:rsidR="00AF1D8E" w:rsidRDefault="00AF1D8E" w:rsidP="00AF1D8E">
      <w:pPr>
        <w:pStyle w:val="ListBullet"/>
      </w:pPr>
      <w:r>
        <w:t>paper and cardboard</w:t>
      </w:r>
      <w:r w:rsidR="00A407CE">
        <w:t xml:space="preserve">, to </w:t>
      </w:r>
      <w:r w:rsidR="008C4509">
        <w:t xml:space="preserve">Indonesia </w:t>
      </w:r>
      <w:r>
        <w:t xml:space="preserve">– </w:t>
      </w:r>
      <w:r w:rsidR="00E13456">
        <w:t>2</w:t>
      </w:r>
      <w:r w:rsidR="007C00BC">
        <w:t>5.9</w:t>
      </w:r>
      <w:r>
        <w:t xml:space="preserve"> per cent </w:t>
      </w:r>
      <w:r w:rsidR="0047692A">
        <w:t>(107.</w:t>
      </w:r>
      <w:r w:rsidR="00995DE4">
        <w:t>6 </w:t>
      </w:r>
      <w:r w:rsidR="00570CCD">
        <w:t>kt</w:t>
      </w:r>
      <w:r w:rsidR="0047692A">
        <w:t xml:space="preserve">) </w:t>
      </w:r>
      <w:r>
        <w:t>of total paper and cardboard exported</w:t>
      </w:r>
    </w:p>
    <w:p w14:paraId="24E34E88" w14:textId="46B2E56A" w:rsidR="00FA3167" w:rsidRPr="00FA3167" w:rsidRDefault="00AF1D8E" w:rsidP="00FA3167">
      <w:pPr>
        <w:pStyle w:val="ListBullet"/>
      </w:pPr>
      <w:r>
        <w:t xml:space="preserve">the other grouping (rubber, </w:t>
      </w:r>
      <w:proofErr w:type="gramStart"/>
      <w:r>
        <w:t>textiles</w:t>
      </w:r>
      <w:proofErr w:type="gramEnd"/>
      <w:r>
        <w:t xml:space="preserve"> and organics)</w:t>
      </w:r>
      <w:r w:rsidR="00A407CE">
        <w:t xml:space="preserve">, to </w:t>
      </w:r>
      <w:r>
        <w:t xml:space="preserve">India – </w:t>
      </w:r>
      <w:r w:rsidR="00E13456">
        <w:t>2</w:t>
      </w:r>
      <w:r w:rsidR="007C00BC">
        <w:t>8.9</w:t>
      </w:r>
      <w:r>
        <w:t xml:space="preserve"> per cent </w:t>
      </w:r>
      <w:r w:rsidR="0047692A">
        <w:t>(12.</w:t>
      </w:r>
      <w:r w:rsidR="00995DE4">
        <w:t>5 </w:t>
      </w:r>
      <w:r w:rsidR="00570CCD">
        <w:t>kt</w:t>
      </w:r>
      <w:r w:rsidR="0047692A">
        <w:t xml:space="preserve">) </w:t>
      </w:r>
      <w:r>
        <w:t>of the total other grouping</w:t>
      </w:r>
      <w:r w:rsidR="00A407CE">
        <w:t>,</w:t>
      </w:r>
      <w:r w:rsidR="00DF3ED0">
        <w:t xml:space="preserve"> </w:t>
      </w:r>
      <w:r>
        <w:t xml:space="preserve">which </w:t>
      </w:r>
      <w:r w:rsidR="00DF3ED0">
        <w:t xml:space="preserve">is </w:t>
      </w:r>
      <w:r>
        <w:t>predominantly rubber.</w:t>
      </w:r>
    </w:p>
    <w:p w14:paraId="436F6700" w14:textId="2733E8DD" w:rsidR="00CE4255" w:rsidRDefault="00CE4255" w:rsidP="001F3331">
      <w:pPr>
        <w:pStyle w:val="Heading1Numbered"/>
      </w:pPr>
      <w:bookmarkStart w:id="96" w:name="_Toc78881416"/>
      <w:bookmarkStart w:id="97" w:name="_Toc83108376"/>
      <w:r>
        <w:t>Monthly trends in kerbside recycling material exports</w:t>
      </w:r>
      <w:bookmarkEnd w:id="96"/>
      <w:bookmarkEnd w:id="97"/>
    </w:p>
    <w:p w14:paraId="27139F09" w14:textId="0C0125F0" w:rsidR="000508F7" w:rsidRDefault="008C4509" w:rsidP="008C4509">
      <w:pPr>
        <w:rPr>
          <w:noProof/>
        </w:rPr>
      </w:pPr>
      <w:r>
        <w:t>In 2019</w:t>
      </w:r>
      <w:r w:rsidR="00F07D91">
        <w:t>–</w:t>
      </w:r>
      <w:r>
        <w:t>20</w:t>
      </w:r>
      <w:r w:rsidR="00993CA7">
        <w:t>,</w:t>
      </w:r>
      <w:r>
        <w:rPr>
          <w:noProof/>
        </w:rPr>
        <w:t xml:space="preserve"> monthly exports of kerbside recyclable bin materials varied. </w:t>
      </w:r>
      <w:r w:rsidR="00812F21">
        <w:rPr>
          <w:noProof/>
        </w:rPr>
        <w:fldChar w:fldCharType="begin"/>
      </w:r>
      <w:r w:rsidR="00812F21">
        <w:rPr>
          <w:noProof/>
        </w:rPr>
        <w:instrText xml:space="preserve"> REF _Ref72497570 \h </w:instrText>
      </w:r>
      <w:r w:rsidR="00812F21">
        <w:rPr>
          <w:noProof/>
        </w:rPr>
      </w:r>
      <w:r w:rsidR="00812F21">
        <w:rPr>
          <w:noProof/>
        </w:rPr>
        <w:fldChar w:fldCharType="separate"/>
      </w:r>
      <w:r w:rsidR="00176C53">
        <w:t xml:space="preserve">Figure </w:t>
      </w:r>
      <w:r w:rsidR="00176C53">
        <w:rPr>
          <w:noProof/>
        </w:rPr>
        <w:t>25</w:t>
      </w:r>
      <w:r w:rsidR="00812F21">
        <w:rPr>
          <w:noProof/>
        </w:rPr>
        <w:fldChar w:fldCharType="end"/>
      </w:r>
      <w:r w:rsidR="00812F21">
        <w:rPr>
          <w:noProof/>
        </w:rPr>
        <w:t xml:space="preserve"> </w:t>
      </w:r>
      <w:r>
        <w:rPr>
          <w:noProof/>
        </w:rPr>
        <w:t>presents the exports of paper and cardboard, metals, glass and plastics that are estimated to come from household kerbside recyclables bin</w:t>
      </w:r>
      <w:r w:rsidR="0028230B">
        <w:rPr>
          <w:noProof/>
        </w:rPr>
        <w:t>s</w:t>
      </w:r>
      <w:r>
        <w:rPr>
          <w:noProof/>
        </w:rPr>
        <w:t xml:space="preserve">. These figures are based on export quantities as reported by the ABS with estimates of the proportion that comes from kerbside recycling bins applied. These </w:t>
      </w:r>
      <w:r w:rsidR="00BF3C97">
        <w:rPr>
          <w:noProof/>
        </w:rPr>
        <w:t xml:space="preserve">applied </w:t>
      </w:r>
      <w:r>
        <w:rPr>
          <w:noProof/>
        </w:rPr>
        <w:t xml:space="preserve">estimates are based on industry knowledge and were developed for the </w:t>
      </w:r>
      <w:hyperlink r:id="rId53" w:tooltip="Hyperlink to: Recovered Resources Market Bulletin" w:history="1">
        <w:r w:rsidRPr="00BF4638">
          <w:rPr>
            <w:rStyle w:val="Hyperlink"/>
            <w:i/>
            <w:noProof/>
          </w:rPr>
          <w:t>Recovered Resources Market Bulletin</w:t>
        </w:r>
      </w:hyperlink>
      <w:r>
        <w:rPr>
          <w:noProof/>
        </w:rPr>
        <w:t>.</w:t>
      </w:r>
    </w:p>
    <w:p w14:paraId="4F493889" w14:textId="6E1C6B89" w:rsidR="000508F7" w:rsidRDefault="008C4509" w:rsidP="008C4509">
      <w:r>
        <w:t>Paper and cardboard exports made up the largest component of kerbside recyclables that were exported for reprocessing at 7</w:t>
      </w:r>
      <w:r w:rsidR="0099663C">
        <w:t>6</w:t>
      </w:r>
      <w:r w:rsidR="007C00BC">
        <w:t>.1</w:t>
      </w:r>
      <w:r>
        <w:t xml:space="preserve"> per cent </w:t>
      </w:r>
      <w:r w:rsidR="00BF3C97">
        <w:t>(136.</w:t>
      </w:r>
      <w:r w:rsidR="00995DE4">
        <w:t>6 </w:t>
      </w:r>
      <w:r w:rsidR="00570CCD">
        <w:t>kt</w:t>
      </w:r>
      <w:r w:rsidR="00BF3C97">
        <w:t xml:space="preserve">) </w:t>
      </w:r>
      <w:r>
        <w:t>of the total</w:t>
      </w:r>
      <w:r w:rsidR="00BF3C97">
        <w:t xml:space="preserve"> materials exported</w:t>
      </w:r>
      <w:r w:rsidR="00D0004A">
        <w:t>. The remaining 2</w:t>
      </w:r>
      <w:r w:rsidR="007C00BC">
        <w:t>3.9</w:t>
      </w:r>
      <w:r w:rsidR="00546662">
        <w:t> </w:t>
      </w:r>
      <w:r w:rsidR="00D0004A">
        <w:t>per cent</w:t>
      </w:r>
      <w:r w:rsidR="00BF3C97">
        <w:t xml:space="preserve"> (43</w:t>
      </w:r>
      <w:r w:rsidR="009B1678">
        <w:t>.</w:t>
      </w:r>
      <w:r w:rsidR="00995DE4">
        <w:t>0 </w:t>
      </w:r>
      <w:r w:rsidR="00570CCD">
        <w:t>kt</w:t>
      </w:r>
      <w:r w:rsidR="00BF3C97">
        <w:t>)</w:t>
      </w:r>
      <w:r w:rsidR="00D0004A">
        <w:t xml:space="preserve"> comprised 12</w:t>
      </w:r>
      <w:r w:rsidR="00DE564E">
        <w:t>.4</w:t>
      </w:r>
      <w:r w:rsidR="00546662">
        <w:t> </w:t>
      </w:r>
      <w:r w:rsidR="00D0004A">
        <w:t>per cent</w:t>
      </w:r>
      <w:r w:rsidR="00BF3C97">
        <w:t xml:space="preserve"> (22.</w:t>
      </w:r>
      <w:r w:rsidR="00995DE4">
        <w:t>2 </w:t>
      </w:r>
      <w:r w:rsidR="00570CCD">
        <w:t>kt</w:t>
      </w:r>
      <w:r w:rsidR="00BF3C97">
        <w:t>)</w:t>
      </w:r>
      <w:r w:rsidR="00D0004A">
        <w:t xml:space="preserve"> plastics, </w:t>
      </w:r>
      <w:r w:rsidR="00DE564E">
        <w:t>9.5</w:t>
      </w:r>
      <w:r w:rsidR="00546662">
        <w:t> </w:t>
      </w:r>
      <w:r w:rsidR="00D0004A">
        <w:t xml:space="preserve">per cent </w:t>
      </w:r>
      <w:r w:rsidR="00BF3C97">
        <w:t>(17.</w:t>
      </w:r>
      <w:r w:rsidR="00995DE4">
        <w:t>1 </w:t>
      </w:r>
      <w:r w:rsidR="00570CCD">
        <w:t>kt</w:t>
      </w:r>
      <w:r w:rsidR="00BF3C97">
        <w:t xml:space="preserve">) </w:t>
      </w:r>
      <w:r w:rsidR="00D0004A">
        <w:t xml:space="preserve">metals and only </w:t>
      </w:r>
      <w:r w:rsidR="00995DE4">
        <w:t>2</w:t>
      </w:r>
      <w:r w:rsidR="00502E84">
        <w:t>.0</w:t>
      </w:r>
      <w:r w:rsidR="00995DE4">
        <w:t> p</w:t>
      </w:r>
      <w:r w:rsidR="00D0004A">
        <w:t xml:space="preserve">er cent </w:t>
      </w:r>
      <w:r w:rsidR="00BF3C97">
        <w:t>(3.</w:t>
      </w:r>
      <w:r w:rsidR="00995DE4">
        <w:t>6 </w:t>
      </w:r>
      <w:r w:rsidR="00570CCD">
        <w:t>kt</w:t>
      </w:r>
      <w:r w:rsidR="00BF3C97">
        <w:t xml:space="preserve">) </w:t>
      </w:r>
      <w:r w:rsidR="00D0004A">
        <w:t>glass.</w:t>
      </w:r>
      <w:r>
        <w:t xml:space="preserve"> </w:t>
      </w:r>
      <w:r w:rsidR="000508F7">
        <w:fldChar w:fldCharType="begin"/>
      </w:r>
      <w:r w:rsidR="000508F7">
        <w:instrText xml:space="preserve"> REF _Ref72497570 \h </w:instrText>
      </w:r>
      <w:r w:rsidR="000508F7">
        <w:fldChar w:fldCharType="separate"/>
      </w:r>
      <w:r w:rsidR="00176C53">
        <w:t xml:space="preserve">Figure </w:t>
      </w:r>
      <w:r w:rsidR="00176C53">
        <w:rPr>
          <w:noProof/>
        </w:rPr>
        <w:t>25</w:t>
      </w:r>
      <w:r w:rsidR="000508F7">
        <w:fldChar w:fldCharType="end"/>
      </w:r>
      <w:r w:rsidR="00D0004A">
        <w:t xml:space="preserve"> illustrates the monthly trends for exports</w:t>
      </w:r>
      <w:r w:rsidR="00672044">
        <w:t xml:space="preserve"> and</w:t>
      </w:r>
      <w:r w:rsidR="00D0004A">
        <w:t xml:space="preserve"> shows that the monthly exports of:</w:t>
      </w:r>
    </w:p>
    <w:p w14:paraId="0FBF25B0" w14:textId="64620494" w:rsidR="000508F7" w:rsidRDefault="008C4509" w:rsidP="00D0004A">
      <w:pPr>
        <w:pStyle w:val="ListBullet"/>
      </w:pPr>
      <w:r>
        <w:t>paper and cardboard varied between 1</w:t>
      </w:r>
      <w:r w:rsidR="0099663C">
        <w:t>5</w:t>
      </w:r>
      <w:r w:rsidR="00433304">
        <w:t>.</w:t>
      </w:r>
      <w:r w:rsidR="00995DE4">
        <w:t>4 </w:t>
      </w:r>
      <w:r w:rsidR="00570CCD">
        <w:t>kt</w:t>
      </w:r>
      <w:r>
        <w:t xml:space="preserve"> (</w:t>
      </w:r>
      <w:r w:rsidR="0099663C">
        <w:t>February</w:t>
      </w:r>
      <w:r>
        <w:t xml:space="preserve"> 20</w:t>
      </w:r>
      <w:r w:rsidR="0099663C">
        <w:t>20</w:t>
      </w:r>
      <w:r>
        <w:t xml:space="preserve">) and </w:t>
      </w:r>
      <w:r w:rsidR="0099663C">
        <w:t>7</w:t>
      </w:r>
      <w:r w:rsidR="00433304">
        <w:t>.</w:t>
      </w:r>
      <w:r w:rsidR="00995DE4">
        <w:t>7 </w:t>
      </w:r>
      <w:r w:rsidR="00570CCD">
        <w:t>kt</w:t>
      </w:r>
      <w:r>
        <w:t xml:space="preserve"> (</w:t>
      </w:r>
      <w:r w:rsidR="0099663C">
        <w:t>May</w:t>
      </w:r>
      <w:r>
        <w:t xml:space="preserve"> 20</w:t>
      </w:r>
      <w:r w:rsidR="0099663C">
        <w:t>20</w:t>
      </w:r>
      <w:r>
        <w:t>)</w:t>
      </w:r>
    </w:p>
    <w:p w14:paraId="11F9D041" w14:textId="335A519A" w:rsidR="000508F7" w:rsidRDefault="000508F7" w:rsidP="00D0004A">
      <w:pPr>
        <w:pStyle w:val="ListBullet"/>
      </w:pPr>
      <w:r>
        <w:t xml:space="preserve">plastics </w:t>
      </w:r>
      <w:r w:rsidR="00D0004A">
        <w:t>varied</w:t>
      </w:r>
      <w:r>
        <w:t xml:space="preserve"> between approximately 2</w:t>
      </w:r>
      <w:r w:rsidR="00433304">
        <w:t>.</w:t>
      </w:r>
      <w:r w:rsidR="00995DE4">
        <w:t>6 </w:t>
      </w:r>
      <w:r w:rsidR="00570CCD">
        <w:t>kt</w:t>
      </w:r>
      <w:r w:rsidR="00433304">
        <w:t xml:space="preserve"> </w:t>
      </w:r>
      <w:r>
        <w:t>(July 2019) and 1</w:t>
      </w:r>
      <w:r w:rsidR="00433304">
        <w:t>.</w:t>
      </w:r>
      <w:r w:rsidR="00995DE4">
        <w:t>1 </w:t>
      </w:r>
      <w:r w:rsidR="00570CCD">
        <w:t>kt</w:t>
      </w:r>
      <w:r>
        <w:t xml:space="preserve"> (May 2020)</w:t>
      </w:r>
    </w:p>
    <w:p w14:paraId="374714AF" w14:textId="27DBAE26" w:rsidR="000508F7" w:rsidRDefault="00D0004A" w:rsidP="00D0004A">
      <w:pPr>
        <w:pStyle w:val="ListBullet"/>
      </w:pPr>
      <w:r>
        <w:lastRenderedPageBreak/>
        <w:t>metals</w:t>
      </w:r>
      <w:r w:rsidR="0099663C">
        <w:t xml:space="preserve"> </w:t>
      </w:r>
      <w:r>
        <w:t xml:space="preserve">varied </w:t>
      </w:r>
      <w:r w:rsidR="008C4509">
        <w:t>between approximately 2</w:t>
      </w:r>
      <w:r w:rsidR="00433304">
        <w:t>.</w:t>
      </w:r>
      <w:r w:rsidR="00995DE4">
        <w:t>3 </w:t>
      </w:r>
      <w:r w:rsidR="00570CCD">
        <w:t>kt</w:t>
      </w:r>
      <w:r w:rsidR="00433304">
        <w:t xml:space="preserve"> </w:t>
      </w:r>
      <w:r w:rsidR="0099663C">
        <w:t>(June 2020)</w:t>
      </w:r>
      <w:r w:rsidR="008C4509">
        <w:t xml:space="preserve"> and </w:t>
      </w:r>
      <w:r w:rsidR="00995DE4">
        <w:t>1</w:t>
      </w:r>
      <w:r w:rsidR="001C4019">
        <w:t>.0</w:t>
      </w:r>
      <w:r w:rsidR="00995DE4">
        <w:t> </w:t>
      </w:r>
      <w:r w:rsidR="00570CCD">
        <w:t>kt</w:t>
      </w:r>
      <w:r w:rsidR="0099663C">
        <w:t xml:space="preserve"> (August 2019</w:t>
      </w:r>
      <w:r w:rsidR="00C86E32">
        <w:t xml:space="preserve"> and April 2020</w:t>
      </w:r>
      <w:r w:rsidR="0099663C">
        <w:t>)</w:t>
      </w:r>
    </w:p>
    <w:p w14:paraId="2C415709" w14:textId="6C148F00" w:rsidR="0099663C" w:rsidRDefault="00D0004A" w:rsidP="00D0004A">
      <w:pPr>
        <w:pStyle w:val="ListBullet"/>
      </w:pPr>
      <w:r>
        <w:t>glass</w:t>
      </w:r>
      <w:r w:rsidR="0099663C">
        <w:t xml:space="preserve"> </w:t>
      </w:r>
      <w:r w:rsidR="008C4509">
        <w:t xml:space="preserve">varied from a high of </w:t>
      </w:r>
      <w:r w:rsidR="00C86E32">
        <w:t>1</w:t>
      </w:r>
      <w:r w:rsidR="00433304">
        <w:t>.</w:t>
      </w:r>
      <w:r w:rsidR="00995DE4">
        <w:t>3 </w:t>
      </w:r>
      <w:r w:rsidR="00570CCD">
        <w:t>kt</w:t>
      </w:r>
      <w:r w:rsidR="00433304">
        <w:t xml:space="preserve"> </w:t>
      </w:r>
      <w:r w:rsidR="0099663C">
        <w:t>(July</w:t>
      </w:r>
      <w:r w:rsidR="008C4509">
        <w:t xml:space="preserve"> 2019</w:t>
      </w:r>
      <w:r w:rsidR="0099663C">
        <w:t>)</w:t>
      </w:r>
      <w:r w:rsidR="008C4509">
        <w:t xml:space="preserve"> to 0 tonnes </w:t>
      </w:r>
      <w:r w:rsidR="0099663C">
        <w:t>(</w:t>
      </w:r>
      <w:r>
        <w:t xml:space="preserve">from </w:t>
      </w:r>
      <w:r w:rsidR="0099663C">
        <w:t>November 2019 to February 2020</w:t>
      </w:r>
      <w:r>
        <w:t xml:space="preserve"> and June 2020</w:t>
      </w:r>
      <w:r w:rsidR="0099663C">
        <w:t>).</w:t>
      </w:r>
    </w:p>
    <w:p w14:paraId="18EFF43D" w14:textId="113473A1" w:rsidR="008C4509" w:rsidRDefault="008C4509" w:rsidP="008C4509">
      <w:r>
        <w:t>Monthly variations in export quantities reflect the nature of supply and demand for material across global manufacturing.</w:t>
      </w:r>
    </w:p>
    <w:p w14:paraId="2ADD78B5" w14:textId="7A685E41" w:rsidR="00433304" w:rsidRDefault="00812F21" w:rsidP="00BF4638">
      <w:pPr>
        <w:pStyle w:val="FigureCaption"/>
      </w:pPr>
      <w:bookmarkStart w:id="98" w:name="_Ref72497570"/>
      <w:bookmarkStart w:id="99" w:name="_Toc77087525"/>
      <w:r>
        <w:t xml:space="preserve">Figure </w:t>
      </w:r>
      <w:r w:rsidR="0085736C">
        <w:fldChar w:fldCharType="begin"/>
      </w:r>
      <w:r w:rsidR="0085736C">
        <w:instrText xml:space="preserve"> SEQ Figure \* ARABIC </w:instrText>
      </w:r>
      <w:r w:rsidR="0085736C">
        <w:fldChar w:fldCharType="separate"/>
      </w:r>
      <w:r w:rsidR="00176C53">
        <w:rPr>
          <w:noProof/>
        </w:rPr>
        <w:t>25</w:t>
      </w:r>
      <w:r w:rsidR="0085736C">
        <w:rPr>
          <w:noProof/>
        </w:rPr>
        <w:fldChar w:fldCharType="end"/>
      </w:r>
      <w:bookmarkEnd w:id="98"/>
      <w:r>
        <w:t xml:space="preserve">: </w:t>
      </w:r>
      <w:r w:rsidR="00317ED1">
        <w:t>Monthly trend in kerbside recyclable material exports</w:t>
      </w:r>
      <w:r w:rsidR="006507F1">
        <w:t xml:space="preserve"> from</w:t>
      </w:r>
      <w:r w:rsidR="00317ED1">
        <w:t xml:space="preserve"> Victoria, 2019</w:t>
      </w:r>
      <w:r w:rsidR="00F07D91">
        <w:t>–</w:t>
      </w:r>
      <w:r w:rsidR="00317ED1">
        <w:t>20</w:t>
      </w:r>
      <w:bookmarkEnd w:id="99"/>
    </w:p>
    <w:p w14:paraId="55BA6427" w14:textId="7BF51256" w:rsidR="00410240" w:rsidRPr="00410240" w:rsidRDefault="00410240" w:rsidP="00410240">
      <w:r>
        <w:rPr>
          <w:noProof/>
        </w:rPr>
        <w:drawing>
          <wp:inline distT="0" distB="0" distL="0" distR="0" wp14:anchorId="3F678147" wp14:editId="78A14A05">
            <wp:extent cx="4907280" cy="2392680"/>
            <wp:effectExtent l="0" t="0" r="7620" b="7620"/>
            <wp:docPr id="47"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a:extLst>
                        <a:ext uri="{C183D7F6-B498-43B3-948B-1728B52AA6E4}">
                          <adec:decorative xmlns:adec="http://schemas.microsoft.com/office/drawing/2017/decorative" val="1"/>
                        </a:ext>
                      </a:extLs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907280" cy="2392680"/>
                    </a:xfrm>
                    <a:prstGeom prst="rect">
                      <a:avLst/>
                    </a:prstGeom>
                    <a:noFill/>
                  </pic:spPr>
                </pic:pic>
              </a:graphicData>
            </a:graphic>
          </wp:inline>
        </w:drawing>
      </w:r>
    </w:p>
    <w:p w14:paraId="4AF49538" w14:textId="03CD5758" w:rsidR="00045044" w:rsidRPr="00045044" w:rsidRDefault="00045044" w:rsidP="00045044"/>
    <w:p w14:paraId="7449FC9D" w14:textId="45383C35" w:rsidR="008863E5" w:rsidRPr="008863E5" w:rsidRDefault="008863E5" w:rsidP="008863E5"/>
    <w:p w14:paraId="249DAC8B" w14:textId="0D203033" w:rsidR="00D91D14" w:rsidRDefault="00D91D14" w:rsidP="008C4509"/>
    <w:p w14:paraId="585F3012" w14:textId="6BF39489" w:rsidR="00C60B6B" w:rsidRDefault="00D91D14">
      <w:pPr>
        <w:spacing w:after="0" w:line="240" w:lineRule="auto"/>
      </w:pPr>
      <w:r>
        <w:br w:type="page"/>
      </w:r>
    </w:p>
    <w:p w14:paraId="440AC5F7" w14:textId="19AB649B" w:rsidR="00C60B6B" w:rsidRPr="0028024F" w:rsidRDefault="00C60B6B" w:rsidP="00C60B6B">
      <w:pPr>
        <w:pStyle w:val="SectionDividerTitle"/>
        <w:framePr w:wrap="around"/>
      </w:pPr>
      <w:bookmarkStart w:id="100" w:name="_Ref72505384"/>
      <w:bookmarkStart w:id="101" w:name="_Toc83108377"/>
      <w:r>
        <w:lastRenderedPageBreak/>
        <w:t>Waste managed in</w:t>
      </w:r>
      <w:bookmarkEnd w:id="100"/>
      <w:r>
        <w:t xml:space="preserve"> </w:t>
      </w:r>
      <w:r w:rsidR="00071CA7">
        <w:t>Victoria</w:t>
      </w:r>
      <w:bookmarkEnd w:id="101"/>
    </w:p>
    <w:p w14:paraId="0B978EF0" w14:textId="77777777" w:rsidR="00744B3D" w:rsidRDefault="00744B3D" w:rsidP="00C60B6B"/>
    <w:p w14:paraId="6C596799" w14:textId="78846EB2" w:rsidR="00C60B6B" w:rsidRDefault="00744B3D" w:rsidP="00C60B6B">
      <w:r>
        <w:rPr>
          <w:noProof/>
          <w:lang w:eastAsia="en-AU"/>
        </w:rPr>
        <w:drawing>
          <wp:anchor distT="0" distB="0" distL="114300" distR="114300" simplePos="0" relativeHeight="251658245" behindDoc="1" locked="1" layoutInCell="1" allowOverlap="1" wp14:anchorId="1325337D" wp14:editId="47969FFC">
            <wp:simplePos x="0" y="0"/>
            <wp:positionH relativeFrom="page">
              <wp:align>right</wp:align>
            </wp:positionH>
            <wp:positionV relativeFrom="page">
              <wp:posOffset>5080</wp:posOffset>
            </wp:positionV>
            <wp:extent cx="7559675" cy="3095625"/>
            <wp:effectExtent l="0" t="0" r="3175" b="9525"/>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24">
                      <a:clrChange>
                        <a:clrFrom>
                          <a:srgbClr val="FFFFFF"/>
                        </a:clrFrom>
                        <a:clrTo>
                          <a:srgbClr val="FFFFFF">
                            <a:alpha val="0"/>
                          </a:srgbClr>
                        </a:clrTo>
                      </a:clrChange>
                    </a:blip>
                    <a:stretch>
                      <a:fillRect/>
                    </a:stretch>
                  </pic:blipFill>
                  <pic:spPr>
                    <a:xfrm>
                      <a:off x="0" y="0"/>
                      <a:ext cx="7559675" cy="3095625"/>
                    </a:xfrm>
                    <a:prstGeom prst="rect">
                      <a:avLst/>
                    </a:prstGeom>
                  </pic:spPr>
                </pic:pic>
              </a:graphicData>
            </a:graphic>
            <wp14:sizeRelH relativeFrom="margin">
              <wp14:pctWidth>0</wp14:pctWidth>
            </wp14:sizeRelH>
            <wp14:sizeRelV relativeFrom="margin">
              <wp14:pctHeight>0</wp14:pctHeight>
            </wp14:sizeRelV>
          </wp:anchor>
        </w:drawing>
      </w:r>
    </w:p>
    <w:p w14:paraId="2C2A2066" w14:textId="27A8E142" w:rsidR="00A403DC" w:rsidRDefault="00C60B6B" w:rsidP="00A403DC">
      <w:pPr>
        <w:pStyle w:val="Heading1Numbered"/>
      </w:pPr>
      <w:bookmarkStart w:id="102" w:name="_Toc78881401"/>
      <w:bookmarkStart w:id="103" w:name="_Toc83108378"/>
      <w:r>
        <w:t xml:space="preserve">Overall waste </w:t>
      </w:r>
      <w:r w:rsidRPr="008E1188">
        <w:t>disposal and recovery</w:t>
      </w:r>
      <w:bookmarkEnd w:id="102"/>
      <w:bookmarkEnd w:id="103"/>
    </w:p>
    <w:p w14:paraId="0B27A74F" w14:textId="43633C85" w:rsidR="00A403DC" w:rsidRDefault="007D11FD" w:rsidP="00A73696">
      <w:pPr>
        <w:pStyle w:val="casestudybox"/>
      </w:pPr>
      <w:r w:rsidRPr="00A73696">
        <w:t>»</w:t>
      </w:r>
      <w:r>
        <w:t xml:space="preserve"> </w:t>
      </w:r>
      <w:r w:rsidR="00A403DC">
        <w:t>More waste was managed than ever before, increasing by 3</w:t>
      </w:r>
      <w:r w:rsidR="00051A32">
        <w:t>.4</w:t>
      </w:r>
      <w:r w:rsidR="00A403DC">
        <w:t> per cent from 2018–19 to 15.86 Mt, the slowest rate since 2016–17.</w:t>
      </w:r>
    </w:p>
    <w:p w14:paraId="0B4A3AB9" w14:textId="7987B9D6" w:rsidR="00A403DC" w:rsidRDefault="007D11FD" w:rsidP="00A73696">
      <w:pPr>
        <w:pStyle w:val="casestudybox"/>
      </w:pPr>
      <w:r w:rsidRPr="00A73696">
        <w:t>»</w:t>
      </w:r>
      <w:r>
        <w:t xml:space="preserve"> </w:t>
      </w:r>
      <w:r w:rsidR="00A403DC">
        <w:t>T</w:t>
      </w:r>
      <w:r w:rsidR="00A403DC" w:rsidRPr="00F7243E">
        <w:t xml:space="preserve">otal waste </w:t>
      </w:r>
      <w:r w:rsidR="00A403DC">
        <w:t xml:space="preserve">managed </w:t>
      </w:r>
      <w:r w:rsidR="00A403DC" w:rsidRPr="00F7243E">
        <w:t xml:space="preserve">per </w:t>
      </w:r>
      <w:r w:rsidR="00A403DC">
        <w:t>person</w:t>
      </w:r>
      <w:r w:rsidR="00A403DC" w:rsidRPr="00F7243E">
        <w:t xml:space="preserve"> increased </w:t>
      </w:r>
      <w:r w:rsidR="00A403DC">
        <w:t xml:space="preserve">by 1.9 per cent to </w:t>
      </w:r>
      <w:r w:rsidR="00A403DC" w:rsidRPr="00F7243E">
        <w:t>2.</w:t>
      </w:r>
      <w:r w:rsidR="00A403DC">
        <w:t>37 tonnes, the slowest rate since 2016–17.</w:t>
      </w:r>
    </w:p>
    <w:p w14:paraId="39BB8773" w14:textId="66F131D0" w:rsidR="00A403DC" w:rsidRDefault="007D11FD" w:rsidP="00A73696">
      <w:pPr>
        <w:pStyle w:val="casestudybox"/>
      </w:pPr>
      <w:r w:rsidRPr="00A73696">
        <w:t>»</w:t>
      </w:r>
      <w:r>
        <w:t xml:space="preserve"> </w:t>
      </w:r>
      <w:r w:rsidR="00A403DC">
        <w:t>Total waste recovered per person increased by 1.2 per cent to</w:t>
      </w:r>
      <w:r w:rsidR="00A403DC" w:rsidRPr="00F7243E">
        <w:t xml:space="preserve"> 1.</w:t>
      </w:r>
      <w:r w:rsidR="00A403DC">
        <w:t>65 tonnes.</w:t>
      </w:r>
    </w:p>
    <w:p w14:paraId="6A48221D" w14:textId="4E10E821" w:rsidR="00A403DC" w:rsidRDefault="007D11FD" w:rsidP="00A73696">
      <w:pPr>
        <w:pStyle w:val="casestudybox"/>
      </w:pPr>
      <w:r w:rsidRPr="00A73696">
        <w:t>»</w:t>
      </w:r>
      <w:r>
        <w:t xml:space="preserve"> </w:t>
      </w:r>
      <w:r w:rsidR="00A403DC">
        <w:t xml:space="preserve">Total </w:t>
      </w:r>
      <w:r w:rsidR="00A403DC" w:rsidRPr="00F7243E">
        <w:t xml:space="preserve">waste managed </w:t>
      </w:r>
      <w:r w:rsidR="00A403DC">
        <w:t>per million</w:t>
      </w:r>
      <w:r w:rsidR="00A403DC" w:rsidRPr="00F7243E">
        <w:t xml:space="preserve"> dollars of </w:t>
      </w:r>
      <w:r w:rsidR="00A403DC">
        <w:t>gross state product (</w:t>
      </w:r>
      <w:r w:rsidR="00A403DC" w:rsidRPr="00F7243E">
        <w:t>GSP</w:t>
      </w:r>
      <w:r w:rsidR="00A403DC">
        <w:t>) increased by 2 per cent to 33.9 tonnes.</w:t>
      </w:r>
    </w:p>
    <w:p w14:paraId="3A9898B8" w14:textId="0507A32D" w:rsidR="00A403DC" w:rsidRDefault="007D11FD" w:rsidP="00A73696">
      <w:pPr>
        <w:pStyle w:val="casestudybox"/>
      </w:pPr>
      <w:r w:rsidRPr="00A73696">
        <w:t>»</w:t>
      </w:r>
      <w:r>
        <w:t xml:space="preserve"> </w:t>
      </w:r>
      <w:r w:rsidR="00A403DC">
        <w:t xml:space="preserve">The diversion rate is estimated to be </w:t>
      </w:r>
      <w:r w:rsidR="00051A32">
        <w:t>69.7</w:t>
      </w:r>
      <w:r w:rsidR="00A403DC">
        <w:t xml:space="preserve"> per cent, </w:t>
      </w:r>
      <w:r w:rsidR="001559C1">
        <w:t xml:space="preserve">a </w:t>
      </w:r>
      <w:r w:rsidR="00051A32">
        <w:t>slight</w:t>
      </w:r>
      <w:r w:rsidR="001559C1">
        <w:t xml:space="preserve"> decrease</w:t>
      </w:r>
      <w:r w:rsidR="00A403DC">
        <w:t xml:space="preserve"> from 2018–19.</w:t>
      </w:r>
    </w:p>
    <w:p w14:paraId="40850C24" w14:textId="218120C8" w:rsidR="00506B49" w:rsidRDefault="00C60B6B" w:rsidP="006F164D">
      <w:pPr>
        <w:spacing w:before="120"/>
      </w:pPr>
      <w:r w:rsidRPr="004B3C61">
        <w:t xml:space="preserve">In </w:t>
      </w:r>
      <w:r>
        <w:t>2019–20</w:t>
      </w:r>
      <w:r w:rsidRPr="004B3C61">
        <w:t>, a total of 15.</w:t>
      </w:r>
      <w:r>
        <w:t>86 Mt</w:t>
      </w:r>
      <w:r w:rsidRPr="004B3C61">
        <w:t xml:space="preserve"> of waste was managed in Victoria, an increase of </w:t>
      </w:r>
      <w:r w:rsidR="00506B49">
        <w:t>0.5</w:t>
      </w:r>
      <w:r w:rsidR="00995DE4">
        <w:t>3 M</w:t>
      </w:r>
      <w:r w:rsidR="00506B49">
        <w:t xml:space="preserve">t or </w:t>
      </w:r>
      <w:r>
        <w:t>3</w:t>
      </w:r>
      <w:r w:rsidR="00051A32">
        <w:t>.4</w:t>
      </w:r>
      <w:r>
        <w:t> per cent</w:t>
      </w:r>
      <w:r w:rsidRPr="004B3C61">
        <w:t xml:space="preserve"> from the previous year</w:t>
      </w:r>
      <w:r>
        <w:t xml:space="preserve"> (15.3</w:t>
      </w:r>
      <w:r w:rsidR="00995DE4">
        <w:t>3 M</w:t>
      </w:r>
      <w:r>
        <w:t>t)</w:t>
      </w:r>
      <w:r w:rsidRPr="004B3C61">
        <w:t xml:space="preserve">. </w:t>
      </w:r>
      <w:bookmarkStart w:id="104" w:name="_Hlk80174282"/>
      <w:r w:rsidRPr="004B3C61">
        <w:t>Of this, the amount of waste diverted from landfill for recovery was 1</w:t>
      </w:r>
      <w:r>
        <w:t>1</w:t>
      </w:r>
      <w:r w:rsidRPr="004B3C61">
        <w:t>.</w:t>
      </w:r>
      <w:r>
        <w:t>05 Mt</w:t>
      </w:r>
      <w:r w:rsidR="00C01E9A">
        <w:t xml:space="preserve"> </w:t>
      </w:r>
      <w:r w:rsidRPr="004B3C61">
        <w:t>and the amount sent to landfill was 4.</w:t>
      </w:r>
      <w:r>
        <w:t>81 Mt</w:t>
      </w:r>
      <w:r w:rsidR="00C01E9A">
        <w:t>.</w:t>
      </w:r>
    </w:p>
    <w:bookmarkEnd w:id="104"/>
    <w:p w14:paraId="0E355565" w14:textId="634448CD" w:rsidR="00C60B6B" w:rsidRDefault="00506B49" w:rsidP="00C60B6B">
      <w:r>
        <w:t>Given this, t</w:t>
      </w:r>
      <w:r w:rsidR="00C60B6B" w:rsidRPr="004B3C61">
        <w:t>he overall</w:t>
      </w:r>
      <w:r w:rsidR="00C60B6B">
        <w:t xml:space="preserve"> diversion</w:t>
      </w:r>
      <w:r w:rsidR="00C60B6B" w:rsidRPr="004B3C61">
        <w:t xml:space="preserve"> rate </w:t>
      </w:r>
      <w:r w:rsidR="00C60B6B">
        <w:t>remained at</w:t>
      </w:r>
      <w:r>
        <w:t xml:space="preserve"> </w:t>
      </w:r>
      <w:r w:rsidR="00051A32">
        <w:t>69.7</w:t>
      </w:r>
      <w:r w:rsidR="00C60B6B">
        <w:t> per cent</w:t>
      </w:r>
      <w:r w:rsidR="00051A32">
        <w:t xml:space="preserve"> compare with 70.2 per cent in </w:t>
      </w:r>
      <w:r w:rsidR="00C60B6B" w:rsidRPr="004B3C61">
        <w:t>201</w:t>
      </w:r>
      <w:r w:rsidR="00C60B6B">
        <w:t xml:space="preserve">8–19, </w:t>
      </w:r>
      <w:r w:rsidR="001559C1">
        <w:t xml:space="preserve">meaning of the total waste generated in Victoria a larger proportion was sent to landfill </w:t>
      </w:r>
      <w:r w:rsidR="00B40288">
        <w:t xml:space="preserve">than in the previous year. This was led by </w:t>
      </w:r>
      <w:r w:rsidR="00C60B6B">
        <w:t>changes in per sector diversion rates</w:t>
      </w:r>
      <w:r>
        <w:t xml:space="preserve"> discussed in the next section.</w:t>
      </w:r>
    </w:p>
    <w:p w14:paraId="08F39A07" w14:textId="1EA2E8E7" w:rsidR="00427264" w:rsidRDefault="00C60B6B" w:rsidP="00C60B6B">
      <w:r w:rsidRPr="00066831">
        <w:t>Over the last 10</w:t>
      </w:r>
      <w:r>
        <w:t> </w:t>
      </w:r>
      <w:r w:rsidRPr="00066831">
        <w:t>years there has been a</w:t>
      </w:r>
      <w:r w:rsidR="00506B49">
        <w:t xml:space="preserve"> </w:t>
      </w:r>
      <w:r w:rsidR="00051A32">
        <w:t>24.8</w:t>
      </w:r>
      <w:r w:rsidR="00506B49">
        <w:t> per cent</w:t>
      </w:r>
      <w:r w:rsidRPr="00066831">
        <w:t xml:space="preserve"> increase in total </w:t>
      </w:r>
      <w:r>
        <w:t>waste</w:t>
      </w:r>
      <w:r w:rsidRPr="00066831">
        <w:t xml:space="preserve"> managed, </w:t>
      </w:r>
      <w:r w:rsidR="00506B49">
        <w:t xml:space="preserve">a </w:t>
      </w:r>
      <w:r w:rsidR="00051A32">
        <w:t>3.6</w:t>
      </w:r>
      <w:r w:rsidR="00995DE4">
        <w:t> p</w:t>
      </w:r>
      <w:r w:rsidR="00506B49">
        <w:t xml:space="preserve">er cent increase in </w:t>
      </w:r>
      <w:r>
        <w:t xml:space="preserve">total </w:t>
      </w:r>
      <w:r w:rsidRPr="00066831">
        <w:t>waste landfill</w:t>
      </w:r>
      <w:r>
        <w:t>ed</w:t>
      </w:r>
      <w:r w:rsidRPr="00066831">
        <w:t xml:space="preserve"> </w:t>
      </w:r>
      <w:r w:rsidR="00506B49">
        <w:t>and a 3</w:t>
      </w:r>
      <w:r w:rsidR="00995DE4">
        <w:t>7</w:t>
      </w:r>
      <w:r w:rsidR="00502E84">
        <w:t>.0</w:t>
      </w:r>
      <w:r w:rsidR="00995DE4">
        <w:t> p</w:t>
      </w:r>
      <w:r w:rsidR="00506B49">
        <w:t>er cent increase in t</w:t>
      </w:r>
      <w:r>
        <w:t xml:space="preserve">otal </w:t>
      </w:r>
      <w:r w:rsidRPr="00066831">
        <w:t>waste recovered</w:t>
      </w:r>
      <w:r w:rsidR="00EC1553">
        <w:t xml:space="preserve"> for reprocessing</w:t>
      </w:r>
      <w:r w:rsidRPr="00066831">
        <w:t>.</w:t>
      </w:r>
      <w:r w:rsidRPr="00D61B72">
        <w:t xml:space="preserve"> </w:t>
      </w:r>
      <w:r>
        <w:t xml:space="preserve">On average, total waste managed has increased at a rate of 2.5 per cent year-on-year, the waste landfilled </w:t>
      </w:r>
      <w:r w:rsidR="005A0CF1">
        <w:t>at a rate of</w:t>
      </w:r>
      <w:r>
        <w:t xml:space="preserve"> 0.4 per cent and the waste sent to recovery </w:t>
      </w:r>
      <w:r w:rsidR="005A0CF1">
        <w:t>at a rate of</w:t>
      </w:r>
      <w:r>
        <w:t xml:space="preserve"> 3.7 per cent.</w:t>
      </w:r>
      <w:r w:rsidR="00B40288">
        <w:t xml:space="preserve"> </w:t>
      </w:r>
      <w:r>
        <w:t xml:space="preserve">This </w:t>
      </w:r>
      <w:r w:rsidRPr="00066831">
        <w:t xml:space="preserve">illustrates </w:t>
      </w:r>
      <w:r>
        <w:t xml:space="preserve">a </w:t>
      </w:r>
      <w:r w:rsidRPr="00066831">
        <w:t>strong</w:t>
      </w:r>
      <w:r>
        <w:t xml:space="preserve"> growth </w:t>
      </w:r>
      <w:r w:rsidRPr="00066831">
        <w:t>of the resource recovery industry</w:t>
      </w:r>
      <w:r>
        <w:t xml:space="preserve"> </w:t>
      </w:r>
      <w:r w:rsidR="0036244F">
        <w:t xml:space="preserve">as well as consumer behaviour </w:t>
      </w:r>
      <w:r>
        <w:t>during this time.</w:t>
      </w:r>
      <w:r w:rsidR="00C01E9A">
        <w:t xml:space="preserve"> </w:t>
      </w:r>
      <w:r>
        <w:fldChar w:fldCharType="begin"/>
      </w:r>
      <w:r>
        <w:instrText xml:space="preserve"> REF _Ref72495464 \h </w:instrText>
      </w:r>
      <w:r>
        <w:fldChar w:fldCharType="separate"/>
      </w:r>
      <w:r w:rsidR="00176C53">
        <w:t xml:space="preserve">Figure </w:t>
      </w:r>
      <w:r w:rsidR="00176C53">
        <w:rPr>
          <w:noProof/>
        </w:rPr>
        <w:t>26</w:t>
      </w:r>
      <w:r>
        <w:fldChar w:fldCharType="end"/>
      </w:r>
      <w:r>
        <w:t xml:space="preserve"> </w:t>
      </w:r>
      <w:r w:rsidRPr="00DB3D15">
        <w:t>presents the</w:t>
      </w:r>
      <w:r>
        <w:t xml:space="preserve"> trend in waste managed in Victoria since 2010–11.</w:t>
      </w:r>
    </w:p>
    <w:p w14:paraId="6656170E" w14:textId="77777777" w:rsidR="00427264" w:rsidRDefault="00427264">
      <w:pPr>
        <w:spacing w:after="0" w:line="240" w:lineRule="auto"/>
      </w:pPr>
      <w:r>
        <w:br w:type="page"/>
      </w:r>
    </w:p>
    <w:p w14:paraId="0468C308" w14:textId="52A4C21C" w:rsidR="00C60B6B" w:rsidRDefault="00C60B6B" w:rsidP="00C60B6B">
      <w:pPr>
        <w:pStyle w:val="FigureCaption"/>
      </w:pPr>
      <w:bookmarkStart w:id="105" w:name="_Ref72495464"/>
      <w:bookmarkStart w:id="106" w:name="_Toc77087497"/>
      <w:r>
        <w:lastRenderedPageBreak/>
        <w:t xml:space="preserve">Figure </w:t>
      </w:r>
      <w:r w:rsidR="0085736C">
        <w:fldChar w:fldCharType="begin"/>
      </w:r>
      <w:r w:rsidR="0085736C">
        <w:instrText xml:space="preserve"> SEQ Figure \* ARABIC </w:instrText>
      </w:r>
      <w:r w:rsidR="0085736C">
        <w:fldChar w:fldCharType="separate"/>
      </w:r>
      <w:r w:rsidR="00176C53">
        <w:rPr>
          <w:noProof/>
        </w:rPr>
        <w:t>26</w:t>
      </w:r>
      <w:r w:rsidR="0085736C">
        <w:rPr>
          <w:noProof/>
        </w:rPr>
        <w:fldChar w:fldCharType="end"/>
      </w:r>
      <w:bookmarkEnd w:id="105"/>
      <w:r>
        <w:t>: Waste managed (</w:t>
      </w:r>
      <w:r w:rsidR="00A40CA0">
        <w:t>kt</w:t>
      </w:r>
      <w:r>
        <w:t>) in Victoria, 2010–11 to 2019–20</w:t>
      </w:r>
      <w:bookmarkEnd w:id="106"/>
    </w:p>
    <w:p w14:paraId="420EBE22" w14:textId="2511398E" w:rsidR="00C60B6B" w:rsidRDefault="00410240" w:rsidP="00C60B6B">
      <w:r>
        <w:rPr>
          <w:noProof/>
        </w:rPr>
        <w:drawing>
          <wp:inline distT="0" distB="0" distL="0" distR="0" wp14:anchorId="560118A8" wp14:editId="5EA18C23">
            <wp:extent cx="4876800" cy="2720340"/>
            <wp:effectExtent l="0" t="0" r="0" b="3810"/>
            <wp:docPr id="4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a:extLst>
                        <a:ext uri="{C183D7F6-B498-43B3-948B-1728B52AA6E4}">
                          <adec:decorative xmlns:adec="http://schemas.microsoft.com/office/drawing/2017/decorative" val="1"/>
                        </a:ext>
                      </a:extLs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76800" cy="2720340"/>
                    </a:xfrm>
                    <a:prstGeom prst="rect">
                      <a:avLst/>
                    </a:prstGeom>
                    <a:noFill/>
                  </pic:spPr>
                </pic:pic>
              </a:graphicData>
            </a:graphic>
          </wp:inline>
        </w:drawing>
      </w:r>
    </w:p>
    <w:p w14:paraId="4AA0E8FB" w14:textId="4675E586" w:rsidR="00C60B6B" w:rsidRDefault="00C60B6B" w:rsidP="00C60B6B">
      <w:r>
        <w:fldChar w:fldCharType="begin"/>
      </w:r>
      <w:r>
        <w:instrText xml:space="preserve"> REF _Ref72495628 \h </w:instrText>
      </w:r>
      <w:r>
        <w:fldChar w:fldCharType="separate"/>
      </w:r>
      <w:r w:rsidR="00176C53">
        <w:t xml:space="preserve">Table </w:t>
      </w:r>
      <w:r w:rsidR="00176C53">
        <w:rPr>
          <w:noProof/>
        </w:rPr>
        <w:t>2</w:t>
      </w:r>
      <w:r>
        <w:fldChar w:fldCharType="end"/>
      </w:r>
      <w:r>
        <w:t xml:space="preserve"> </w:t>
      </w:r>
      <w:r w:rsidRPr="00F7243E">
        <w:t xml:space="preserve">shows </w:t>
      </w:r>
      <w:r>
        <w:t xml:space="preserve">the </w:t>
      </w:r>
      <w:r w:rsidRPr="00F7243E">
        <w:t xml:space="preserve">diversion rate of waste </w:t>
      </w:r>
      <w:r>
        <w:t>managed relative to gross state product (GSP) and population s</w:t>
      </w:r>
      <w:r w:rsidRPr="00F7243E">
        <w:t>ince 20</w:t>
      </w:r>
      <w:r>
        <w:t>10–11</w:t>
      </w:r>
      <w:r w:rsidRPr="00F7243E">
        <w:t xml:space="preserve">. </w:t>
      </w:r>
      <w:r>
        <w:t xml:space="preserve">Over this period the diversion rate </w:t>
      </w:r>
      <w:r w:rsidR="00E05C97">
        <w:t>has increased from 6</w:t>
      </w:r>
      <w:r w:rsidR="00995DE4">
        <w:t>3</w:t>
      </w:r>
      <w:r w:rsidR="00051A32">
        <w:t>.5</w:t>
      </w:r>
      <w:r w:rsidR="00995DE4">
        <w:t> p</w:t>
      </w:r>
      <w:r w:rsidR="00E05C97">
        <w:t xml:space="preserve">er cent in 2010–11 to </w:t>
      </w:r>
      <w:r w:rsidR="00051A32">
        <w:t>69.7</w:t>
      </w:r>
      <w:r w:rsidR="00995DE4">
        <w:t> p</w:t>
      </w:r>
      <w:r w:rsidR="00E05C97">
        <w:t>er cent in 2019–20</w:t>
      </w:r>
      <w:r w:rsidR="00BB4533">
        <w:t xml:space="preserve"> and the </w:t>
      </w:r>
      <w:r w:rsidR="00E05C97">
        <w:t>total</w:t>
      </w:r>
      <w:r>
        <w:t xml:space="preserve"> waste generated per capita has increased </w:t>
      </w:r>
      <w:r w:rsidR="00E05C97">
        <w:t>from</w:t>
      </w:r>
      <w:r w:rsidR="00BB4533">
        <w:t xml:space="preserve"> 2.2</w:t>
      </w:r>
      <w:r w:rsidR="00995DE4">
        <w:t>9 t</w:t>
      </w:r>
      <w:r w:rsidR="00BB4533">
        <w:t>onnes per person to 2.3</w:t>
      </w:r>
      <w:r w:rsidR="00995DE4">
        <w:t>7 t</w:t>
      </w:r>
      <w:r w:rsidR="00BB4533">
        <w:t>onnes per person</w:t>
      </w:r>
      <w:r w:rsidR="00C01E9A">
        <w:t xml:space="preserve"> (3.2 per cent)</w:t>
      </w:r>
      <w:r w:rsidR="00BB4533">
        <w:t>.</w:t>
      </w:r>
      <w:r w:rsidR="008965FF">
        <w:t xml:space="preserve"> This </w:t>
      </w:r>
      <w:r w:rsidR="0036244F">
        <w:t>shows</w:t>
      </w:r>
      <w:r w:rsidR="008965FF">
        <w:t xml:space="preserve"> that while we are generating more waste per person than 1</w:t>
      </w:r>
      <w:r w:rsidR="00995DE4">
        <w:t>0 y</w:t>
      </w:r>
      <w:r w:rsidR="008965FF">
        <w:t xml:space="preserve">ears ago, we are </w:t>
      </w:r>
      <w:r w:rsidR="000A40F9">
        <w:t>also</w:t>
      </w:r>
      <w:r w:rsidR="008965FF">
        <w:t xml:space="preserve"> recovering more.</w:t>
      </w:r>
    </w:p>
    <w:p w14:paraId="1A16BBBA" w14:textId="3EE06665" w:rsidR="00C60B6B" w:rsidRDefault="00C60B6B" w:rsidP="00C60B6B">
      <w:r>
        <w:t>The total tonnes of waste managed per GSP has fluctuated over the years, averaging at about 3</w:t>
      </w:r>
      <w:r w:rsidR="00BB4533">
        <w:t>3</w:t>
      </w:r>
      <w:r>
        <w:t>.7 tonnes during this time but decreasing overall. Since 2010–11, waste generated per million dollars of GSP has decreased by 1</w:t>
      </w:r>
      <w:r w:rsidR="00BB4533">
        <w:t>2.2</w:t>
      </w:r>
      <w:r>
        <w:t> per cent</w:t>
      </w:r>
      <w:r w:rsidR="00BB4533">
        <w:t xml:space="preserve">, meaning the state has </w:t>
      </w:r>
      <w:r w:rsidR="008965FF">
        <w:t>demonstrated higher</w:t>
      </w:r>
      <w:r w:rsidR="00BB4533">
        <w:t xml:space="preserve"> economic activity relative to the tonnes of waste managed.</w:t>
      </w:r>
    </w:p>
    <w:p w14:paraId="4C17C365" w14:textId="52BCD107" w:rsidR="00C60B6B" w:rsidRDefault="00C60B6B" w:rsidP="00C60B6B">
      <w:pPr>
        <w:pStyle w:val="FigureCaption"/>
      </w:pPr>
      <w:bookmarkStart w:id="107" w:name="_Ref72495628"/>
      <w:bookmarkStart w:id="108" w:name="_Ref72765780"/>
      <w:bookmarkStart w:id="109" w:name="_Toc77087526"/>
      <w:r>
        <w:t xml:space="preserve">Table </w:t>
      </w:r>
      <w:r w:rsidR="0085736C">
        <w:fldChar w:fldCharType="begin"/>
      </w:r>
      <w:r w:rsidR="0085736C">
        <w:instrText xml:space="preserve"> SEQ Table \* ARABIC </w:instrText>
      </w:r>
      <w:r w:rsidR="0085736C">
        <w:fldChar w:fldCharType="separate"/>
      </w:r>
      <w:r w:rsidR="00176C53">
        <w:rPr>
          <w:noProof/>
        </w:rPr>
        <w:t>2</w:t>
      </w:r>
      <w:r w:rsidR="0085736C">
        <w:rPr>
          <w:noProof/>
        </w:rPr>
        <w:fldChar w:fldCharType="end"/>
      </w:r>
      <w:bookmarkEnd w:id="107"/>
      <w:r>
        <w:t xml:space="preserve">: Diversion rates and </w:t>
      </w:r>
      <w:r w:rsidRPr="00745BEB">
        <w:t xml:space="preserve">waste managed relative to </w:t>
      </w:r>
      <w:r w:rsidRPr="00230DC2">
        <w:t>economic</w:t>
      </w:r>
      <w:r w:rsidRPr="00745BEB">
        <w:t xml:space="preserve"> and population trends in Victoria, 20</w:t>
      </w:r>
      <w:r>
        <w:t>10–11</w:t>
      </w:r>
      <w:r w:rsidRPr="00745BEB">
        <w:t xml:space="preserve"> to 201</w:t>
      </w:r>
      <w:r>
        <w:t>9–20</w:t>
      </w:r>
      <w:bookmarkEnd w:id="108"/>
      <w:bookmarkEnd w:id="109"/>
    </w:p>
    <w:tbl>
      <w:tblPr>
        <w:tblStyle w:val="SVTable"/>
        <w:tblW w:w="5221" w:type="pct"/>
        <w:tblLayout w:type="fixed"/>
        <w:tblLook w:val="04E0" w:firstRow="1" w:lastRow="1" w:firstColumn="1" w:lastColumn="0" w:noHBand="0" w:noVBand="1"/>
      </w:tblPr>
      <w:tblGrid>
        <w:gridCol w:w="1359"/>
        <w:gridCol w:w="677"/>
        <w:gridCol w:w="676"/>
        <w:gridCol w:w="676"/>
        <w:gridCol w:w="676"/>
        <w:gridCol w:w="672"/>
        <w:gridCol w:w="676"/>
        <w:gridCol w:w="676"/>
        <w:gridCol w:w="676"/>
        <w:gridCol w:w="676"/>
        <w:gridCol w:w="670"/>
      </w:tblGrid>
      <w:tr w:rsidR="00570775" w:rsidRPr="00A43E18" w14:paraId="08A5BDAF" w14:textId="77777777" w:rsidTr="00570775">
        <w:trPr>
          <w:cnfStyle w:val="100000000000" w:firstRow="1" w:lastRow="0" w:firstColumn="0" w:lastColumn="0" w:oddVBand="0" w:evenVBand="0" w:oddHBand="0" w:evenHBand="0" w:firstRowFirstColumn="0" w:firstRowLastColumn="0" w:lastRowFirstColumn="0" w:lastRowLastColumn="0"/>
          <w:trHeight w:val="427"/>
        </w:trPr>
        <w:tc>
          <w:tcPr>
            <w:tcW w:w="837" w:type="pct"/>
            <w:tcBorders>
              <w:bottom w:val="single" w:sz="4" w:space="0" w:color="82C341" w:themeColor="background1"/>
            </w:tcBorders>
          </w:tcPr>
          <w:p w14:paraId="46AFDDDF" w14:textId="77777777" w:rsidR="00C60B6B" w:rsidRPr="00A43E18" w:rsidRDefault="00C60B6B" w:rsidP="00582215">
            <w:pPr>
              <w:spacing w:before="80" w:after="80" w:line="220" w:lineRule="atLeast"/>
              <w:rPr>
                <w:rFonts w:ascii="Arial" w:hAnsi="Arial"/>
                <w:b/>
                <w:bCs/>
                <w:sz w:val="17"/>
              </w:rPr>
            </w:pPr>
          </w:p>
        </w:tc>
        <w:tc>
          <w:tcPr>
            <w:tcW w:w="417" w:type="pct"/>
            <w:tcBorders>
              <w:bottom w:val="single" w:sz="4" w:space="0" w:color="82C341" w:themeColor="background1"/>
            </w:tcBorders>
          </w:tcPr>
          <w:p w14:paraId="63DF883B" w14:textId="77777777" w:rsidR="00C60B6B" w:rsidRPr="00B57871" w:rsidRDefault="00C60B6B" w:rsidP="00582215">
            <w:pPr>
              <w:spacing w:before="80" w:after="80" w:line="220" w:lineRule="atLeast"/>
              <w:jc w:val="right"/>
              <w:rPr>
                <w:rFonts w:ascii="Arial" w:hAnsi="Arial"/>
                <w:color w:val="auto"/>
                <w:sz w:val="17"/>
              </w:rPr>
            </w:pPr>
            <w:r w:rsidRPr="00B57871">
              <w:rPr>
                <w:rFonts w:ascii="Arial" w:hAnsi="Arial"/>
                <w:color w:val="auto"/>
                <w:sz w:val="17"/>
              </w:rPr>
              <w:t>10–11</w:t>
            </w:r>
          </w:p>
        </w:tc>
        <w:tc>
          <w:tcPr>
            <w:tcW w:w="417" w:type="pct"/>
            <w:tcBorders>
              <w:bottom w:val="single" w:sz="4" w:space="0" w:color="82C341" w:themeColor="background1"/>
            </w:tcBorders>
          </w:tcPr>
          <w:p w14:paraId="117A1F92" w14:textId="77777777" w:rsidR="00C60B6B" w:rsidRPr="00B57871" w:rsidRDefault="00C60B6B" w:rsidP="00582215">
            <w:pPr>
              <w:spacing w:before="80" w:after="80" w:line="220" w:lineRule="atLeast"/>
              <w:jc w:val="right"/>
              <w:rPr>
                <w:rFonts w:ascii="Arial" w:hAnsi="Arial"/>
                <w:color w:val="auto"/>
                <w:sz w:val="17"/>
              </w:rPr>
            </w:pPr>
            <w:r w:rsidRPr="00B57871">
              <w:rPr>
                <w:rFonts w:ascii="Arial" w:hAnsi="Arial"/>
                <w:color w:val="auto"/>
                <w:sz w:val="17"/>
              </w:rPr>
              <w:t>11–12</w:t>
            </w:r>
          </w:p>
        </w:tc>
        <w:tc>
          <w:tcPr>
            <w:tcW w:w="417" w:type="pct"/>
            <w:tcBorders>
              <w:bottom w:val="single" w:sz="4" w:space="0" w:color="82C341" w:themeColor="background1"/>
            </w:tcBorders>
          </w:tcPr>
          <w:p w14:paraId="1519D93E" w14:textId="77777777" w:rsidR="00C60B6B" w:rsidRPr="00B57871" w:rsidRDefault="00C60B6B" w:rsidP="00582215">
            <w:pPr>
              <w:spacing w:before="80" w:after="80" w:line="220" w:lineRule="atLeast"/>
              <w:jc w:val="right"/>
              <w:rPr>
                <w:rFonts w:ascii="Arial" w:hAnsi="Arial"/>
                <w:color w:val="auto"/>
                <w:sz w:val="17"/>
              </w:rPr>
            </w:pPr>
            <w:r w:rsidRPr="00B57871">
              <w:rPr>
                <w:rFonts w:ascii="Arial" w:hAnsi="Arial"/>
                <w:color w:val="auto"/>
                <w:sz w:val="17"/>
              </w:rPr>
              <w:t>12–13</w:t>
            </w:r>
          </w:p>
        </w:tc>
        <w:tc>
          <w:tcPr>
            <w:tcW w:w="417" w:type="pct"/>
            <w:tcBorders>
              <w:bottom w:val="single" w:sz="4" w:space="0" w:color="82C341" w:themeColor="background1"/>
            </w:tcBorders>
          </w:tcPr>
          <w:p w14:paraId="1BAFD1A7" w14:textId="77777777" w:rsidR="00C60B6B" w:rsidRPr="00B57871" w:rsidRDefault="00C60B6B" w:rsidP="00582215">
            <w:pPr>
              <w:spacing w:before="80" w:after="80" w:line="220" w:lineRule="atLeast"/>
              <w:jc w:val="right"/>
              <w:rPr>
                <w:rFonts w:ascii="Arial" w:hAnsi="Arial"/>
                <w:color w:val="auto"/>
                <w:sz w:val="17"/>
              </w:rPr>
            </w:pPr>
            <w:r w:rsidRPr="00B57871">
              <w:rPr>
                <w:rFonts w:ascii="Arial" w:hAnsi="Arial"/>
                <w:color w:val="auto"/>
                <w:sz w:val="17"/>
              </w:rPr>
              <w:t>13–14</w:t>
            </w:r>
          </w:p>
        </w:tc>
        <w:tc>
          <w:tcPr>
            <w:tcW w:w="414" w:type="pct"/>
            <w:tcBorders>
              <w:bottom w:val="single" w:sz="4" w:space="0" w:color="82C341" w:themeColor="background1"/>
            </w:tcBorders>
          </w:tcPr>
          <w:p w14:paraId="430ABB00" w14:textId="77777777" w:rsidR="00C60B6B" w:rsidRPr="00B57871" w:rsidRDefault="00C60B6B" w:rsidP="00582215">
            <w:pPr>
              <w:spacing w:before="80" w:after="80" w:line="220" w:lineRule="atLeast"/>
              <w:jc w:val="right"/>
              <w:rPr>
                <w:rFonts w:ascii="Arial" w:hAnsi="Arial"/>
                <w:color w:val="auto"/>
                <w:sz w:val="17"/>
              </w:rPr>
            </w:pPr>
            <w:r w:rsidRPr="00B57871">
              <w:rPr>
                <w:rFonts w:ascii="Arial" w:hAnsi="Arial"/>
                <w:color w:val="auto"/>
                <w:sz w:val="17"/>
              </w:rPr>
              <w:t>14–15</w:t>
            </w:r>
          </w:p>
        </w:tc>
        <w:tc>
          <w:tcPr>
            <w:tcW w:w="417" w:type="pct"/>
            <w:tcBorders>
              <w:bottom w:val="single" w:sz="4" w:space="0" w:color="82C341" w:themeColor="background1"/>
            </w:tcBorders>
          </w:tcPr>
          <w:p w14:paraId="0DB4C5D8" w14:textId="77777777" w:rsidR="00C60B6B" w:rsidRPr="00B57871" w:rsidRDefault="00C60B6B" w:rsidP="00582215">
            <w:pPr>
              <w:spacing w:before="80" w:after="80" w:line="220" w:lineRule="atLeast"/>
              <w:jc w:val="right"/>
              <w:rPr>
                <w:rFonts w:ascii="Arial" w:hAnsi="Arial"/>
                <w:color w:val="auto"/>
                <w:sz w:val="17"/>
              </w:rPr>
            </w:pPr>
            <w:r w:rsidRPr="00B57871">
              <w:rPr>
                <w:rFonts w:ascii="Arial" w:hAnsi="Arial"/>
                <w:color w:val="auto"/>
                <w:sz w:val="17"/>
              </w:rPr>
              <w:t>15–16</w:t>
            </w:r>
          </w:p>
        </w:tc>
        <w:tc>
          <w:tcPr>
            <w:tcW w:w="417" w:type="pct"/>
            <w:tcBorders>
              <w:bottom w:val="single" w:sz="4" w:space="0" w:color="82C341" w:themeColor="background1"/>
            </w:tcBorders>
          </w:tcPr>
          <w:p w14:paraId="6B16B6F3" w14:textId="77777777" w:rsidR="00C60B6B" w:rsidRPr="00B57871" w:rsidRDefault="00C60B6B" w:rsidP="00582215">
            <w:pPr>
              <w:spacing w:before="80" w:after="80" w:line="220" w:lineRule="atLeast"/>
              <w:jc w:val="right"/>
              <w:rPr>
                <w:rFonts w:ascii="Arial" w:hAnsi="Arial"/>
                <w:color w:val="auto"/>
                <w:sz w:val="17"/>
              </w:rPr>
            </w:pPr>
            <w:r w:rsidRPr="00B57871">
              <w:rPr>
                <w:rFonts w:ascii="Arial" w:hAnsi="Arial"/>
                <w:color w:val="auto"/>
                <w:sz w:val="17"/>
              </w:rPr>
              <w:t>16–17</w:t>
            </w:r>
          </w:p>
        </w:tc>
        <w:tc>
          <w:tcPr>
            <w:tcW w:w="417" w:type="pct"/>
            <w:tcBorders>
              <w:bottom w:val="single" w:sz="4" w:space="0" w:color="82C341" w:themeColor="background1"/>
            </w:tcBorders>
          </w:tcPr>
          <w:p w14:paraId="61756D0E" w14:textId="77777777" w:rsidR="00C60B6B" w:rsidRPr="00B57871" w:rsidRDefault="00C60B6B" w:rsidP="00582215">
            <w:pPr>
              <w:spacing w:before="80" w:after="80" w:line="220" w:lineRule="atLeast"/>
              <w:jc w:val="right"/>
              <w:rPr>
                <w:rFonts w:ascii="Arial" w:hAnsi="Arial"/>
                <w:color w:val="auto"/>
                <w:sz w:val="17"/>
              </w:rPr>
            </w:pPr>
            <w:r w:rsidRPr="00B57871">
              <w:rPr>
                <w:rFonts w:ascii="Arial" w:hAnsi="Arial"/>
                <w:color w:val="auto"/>
                <w:sz w:val="17"/>
              </w:rPr>
              <w:t>17–18</w:t>
            </w:r>
          </w:p>
        </w:tc>
        <w:tc>
          <w:tcPr>
            <w:tcW w:w="417" w:type="pct"/>
            <w:tcBorders>
              <w:bottom w:val="single" w:sz="4" w:space="0" w:color="82C341" w:themeColor="background1"/>
            </w:tcBorders>
          </w:tcPr>
          <w:p w14:paraId="70E597C3" w14:textId="77777777" w:rsidR="00C60B6B" w:rsidRPr="00B57871" w:rsidRDefault="00C60B6B" w:rsidP="00582215">
            <w:pPr>
              <w:spacing w:before="80" w:after="80" w:line="220" w:lineRule="atLeast"/>
              <w:jc w:val="right"/>
              <w:rPr>
                <w:rFonts w:ascii="Arial" w:hAnsi="Arial"/>
                <w:color w:val="auto"/>
                <w:sz w:val="17"/>
              </w:rPr>
            </w:pPr>
            <w:r w:rsidRPr="00B57871">
              <w:rPr>
                <w:rFonts w:ascii="Arial" w:hAnsi="Arial"/>
                <w:color w:val="auto"/>
                <w:sz w:val="17"/>
              </w:rPr>
              <w:t>18–19</w:t>
            </w:r>
          </w:p>
        </w:tc>
        <w:tc>
          <w:tcPr>
            <w:tcW w:w="413" w:type="pct"/>
            <w:tcBorders>
              <w:bottom w:val="single" w:sz="4" w:space="0" w:color="82C341" w:themeColor="background1"/>
            </w:tcBorders>
          </w:tcPr>
          <w:p w14:paraId="32FC0056" w14:textId="4CDDCE6E" w:rsidR="00C60B6B" w:rsidRPr="00B57871" w:rsidRDefault="00C60B6B" w:rsidP="00582215">
            <w:pPr>
              <w:spacing w:before="80" w:after="80" w:line="220" w:lineRule="atLeast"/>
              <w:jc w:val="right"/>
              <w:rPr>
                <w:rFonts w:ascii="Arial" w:hAnsi="Arial"/>
                <w:color w:val="auto"/>
                <w:sz w:val="17"/>
              </w:rPr>
            </w:pPr>
            <w:r w:rsidRPr="00B57871">
              <w:rPr>
                <w:rFonts w:ascii="Arial" w:hAnsi="Arial"/>
                <w:color w:val="auto"/>
                <w:sz w:val="17"/>
              </w:rPr>
              <w:t>19–20</w:t>
            </w:r>
          </w:p>
        </w:tc>
      </w:tr>
      <w:tr w:rsidR="00570775" w:rsidRPr="00A43E18" w14:paraId="1ED400B3" w14:textId="77777777" w:rsidTr="00570775">
        <w:trPr>
          <w:trHeight w:val="656"/>
        </w:trPr>
        <w:tc>
          <w:tcPr>
            <w:tcW w:w="837" w:type="pct"/>
            <w:tcBorders>
              <w:top w:val="single" w:sz="4" w:space="0" w:color="82C341" w:themeColor="background1"/>
              <w:bottom w:val="single" w:sz="4" w:space="0" w:color="82C341" w:themeColor="background1"/>
            </w:tcBorders>
          </w:tcPr>
          <w:p w14:paraId="596A9F44" w14:textId="77777777" w:rsidR="00C60B6B" w:rsidRPr="00A43E18" w:rsidRDefault="00C60B6B" w:rsidP="00582215">
            <w:pPr>
              <w:spacing w:before="70" w:after="70" w:line="220" w:lineRule="atLeast"/>
              <w:ind w:left="227" w:hanging="227"/>
              <w:rPr>
                <w:bCs/>
                <w:sz w:val="17"/>
              </w:rPr>
            </w:pPr>
            <w:r w:rsidRPr="00A43E18">
              <w:rPr>
                <w:bCs/>
                <w:sz w:val="17"/>
              </w:rPr>
              <w:t>Diversion rate (</w:t>
            </w:r>
            <w:proofErr w:type="gramStart"/>
            <w:r w:rsidRPr="00A43E18">
              <w:rPr>
                <w:bCs/>
                <w:sz w:val="17"/>
              </w:rPr>
              <w:t>%)</w:t>
            </w:r>
            <w:r w:rsidRPr="00F43DB4">
              <w:rPr>
                <w:rFonts w:cstheme="minorHAnsi"/>
                <w:bCs/>
                <w:sz w:val="17"/>
                <w:vertAlign w:val="superscript"/>
              </w:rPr>
              <w:t>†</w:t>
            </w:r>
            <w:proofErr w:type="gramEnd"/>
          </w:p>
        </w:tc>
        <w:tc>
          <w:tcPr>
            <w:tcW w:w="417" w:type="pct"/>
            <w:tcBorders>
              <w:top w:val="single" w:sz="4" w:space="0" w:color="82C341" w:themeColor="background1"/>
              <w:bottom w:val="single" w:sz="4" w:space="0" w:color="82C341" w:themeColor="background1"/>
            </w:tcBorders>
          </w:tcPr>
          <w:p w14:paraId="6A6CD27C" w14:textId="2721BDA0" w:rsidR="00C60B6B" w:rsidRPr="00A43E18" w:rsidRDefault="00C60B6B" w:rsidP="00582215">
            <w:pPr>
              <w:spacing w:before="70" w:after="70" w:line="220" w:lineRule="atLeast"/>
              <w:jc w:val="right"/>
              <w:rPr>
                <w:bCs/>
                <w:sz w:val="17"/>
              </w:rPr>
            </w:pPr>
            <w:r w:rsidRPr="00A43E18">
              <w:rPr>
                <w:bCs/>
                <w:sz w:val="17"/>
              </w:rPr>
              <w:t>63</w:t>
            </w:r>
            <w:r w:rsidR="00051A32">
              <w:rPr>
                <w:bCs/>
                <w:sz w:val="17"/>
              </w:rPr>
              <w:t>.5</w:t>
            </w:r>
          </w:p>
        </w:tc>
        <w:tc>
          <w:tcPr>
            <w:tcW w:w="417" w:type="pct"/>
            <w:tcBorders>
              <w:top w:val="single" w:sz="4" w:space="0" w:color="82C341" w:themeColor="background1"/>
              <w:bottom w:val="single" w:sz="4" w:space="0" w:color="82C341" w:themeColor="background1"/>
            </w:tcBorders>
          </w:tcPr>
          <w:p w14:paraId="6BD3D6A1" w14:textId="0D38014E" w:rsidR="00C60B6B" w:rsidRPr="00A43E18" w:rsidRDefault="00C60B6B" w:rsidP="00582215">
            <w:pPr>
              <w:spacing w:before="70" w:after="70" w:line="220" w:lineRule="atLeast"/>
              <w:jc w:val="right"/>
              <w:rPr>
                <w:bCs/>
                <w:sz w:val="17"/>
              </w:rPr>
            </w:pPr>
            <w:r w:rsidRPr="00A43E18">
              <w:rPr>
                <w:bCs/>
                <w:sz w:val="17"/>
              </w:rPr>
              <w:t>65</w:t>
            </w:r>
            <w:r w:rsidR="00904140">
              <w:rPr>
                <w:bCs/>
                <w:sz w:val="17"/>
              </w:rPr>
              <w:t>.0</w:t>
            </w:r>
          </w:p>
        </w:tc>
        <w:tc>
          <w:tcPr>
            <w:tcW w:w="417" w:type="pct"/>
            <w:tcBorders>
              <w:top w:val="single" w:sz="4" w:space="0" w:color="82C341" w:themeColor="background1"/>
              <w:bottom w:val="single" w:sz="4" w:space="0" w:color="82C341" w:themeColor="background1"/>
            </w:tcBorders>
          </w:tcPr>
          <w:p w14:paraId="38DDDACC" w14:textId="783DCC09" w:rsidR="00C60B6B" w:rsidRPr="00A43E18" w:rsidRDefault="00C60B6B" w:rsidP="00582215">
            <w:pPr>
              <w:spacing w:before="70" w:after="70" w:line="220" w:lineRule="atLeast"/>
              <w:jc w:val="right"/>
              <w:rPr>
                <w:bCs/>
                <w:sz w:val="17"/>
              </w:rPr>
            </w:pPr>
            <w:r w:rsidRPr="00A43E18">
              <w:rPr>
                <w:bCs/>
                <w:sz w:val="17"/>
              </w:rPr>
              <w:t>6</w:t>
            </w:r>
            <w:r w:rsidR="00051A32">
              <w:rPr>
                <w:bCs/>
                <w:sz w:val="17"/>
              </w:rPr>
              <w:t>6.6</w:t>
            </w:r>
          </w:p>
        </w:tc>
        <w:tc>
          <w:tcPr>
            <w:tcW w:w="417" w:type="pct"/>
            <w:tcBorders>
              <w:top w:val="single" w:sz="4" w:space="0" w:color="82C341" w:themeColor="background1"/>
              <w:bottom w:val="single" w:sz="4" w:space="0" w:color="82C341" w:themeColor="background1"/>
            </w:tcBorders>
          </w:tcPr>
          <w:p w14:paraId="321F84C6" w14:textId="09481B16" w:rsidR="00C60B6B" w:rsidRPr="00A43E18" w:rsidRDefault="00C60B6B" w:rsidP="00582215">
            <w:pPr>
              <w:spacing w:before="70" w:after="70" w:line="220" w:lineRule="atLeast"/>
              <w:jc w:val="right"/>
              <w:rPr>
                <w:bCs/>
                <w:sz w:val="17"/>
              </w:rPr>
            </w:pPr>
            <w:r w:rsidRPr="00A43E18">
              <w:rPr>
                <w:bCs/>
                <w:sz w:val="17"/>
              </w:rPr>
              <w:t>6</w:t>
            </w:r>
            <w:r w:rsidR="00051A32">
              <w:rPr>
                <w:bCs/>
                <w:sz w:val="17"/>
              </w:rPr>
              <w:t>5.8</w:t>
            </w:r>
          </w:p>
        </w:tc>
        <w:tc>
          <w:tcPr>
            <w:tcW w:w="414" w:type="pct"/>
            <w:tcBorders>
              <w:top w:val="single" w:sz="4" w:space="0" w:color="82C341" w:themeColor="background1"/>
              <w:bottom w:val="single" w:sz="4" w:space="0" w:color="82C341" w:themeColor="background1"/>
            </w:tcBorders>
          </w:tcPr>
          <w:p w14:paraId="7E357066" w14:textId="60F326AE" w:rsidR="00C60B6B" w:rsidRPr="00A43E18" w:rsidRDefault="00C60B6B" w:rsidP="00582215">
            <w:pPr>
              <w:spacing w:before="70" w:after="70" w:line="220" w:lineRule="atLeast"/>
              <w:jc w:val="right"/>
              <w:rPr>
                <w:bCs/>
                <w:sz w:val="17"/>
              </w:rPr>
            </w:pPr>
            <w:r w:rsidRPr="00A43E18">
              <w:rPr>
                <w:bCs/>
                <w:sz w:val="17"/>
              </w:rPr>
              <w:t>6</w:t>
            </w:r>
            <w:r w:rsidR="00E24672">
              <w:rPr>
                <w:bCs/>
                <w:sz w:val="17"/>
              </w:rPr>
              <w:t>6.</w:t>
            </w:r>
            <w:r w:rsidRPr="00A43E18">
              <w:rPr>
                <w:bCs/>
                <w:sz w:val="17"/>
              </w:rPr>
              <w:t>7</w:t>
            </w:r>
          </w:p>
        </w:tc>
        <w:tc>
          <w:tcPr>
            <w:tcW w:w="417" w:type="pct"/>
            <w:tcBorders>
              <w:top w:val="single" w:sz="4" w:space="0" w:color="82C341" w:themeColor="background1"/>
              <w:bottom w:val="single" w:sz="4" w:space="0" w:color="82C341" w:themeColor="background1"/>
            </w:tcBorders>
          </w:tcPr>
          <w:p w14:paraId="6325FC67" w14:textId="0B5F6B75" w:rsidR="00C60B6B" w:rsidRPr="00A43E18" w:rsidRDefault="00051A32" w:rsidP="00582215">
            <w:pPr>
              <w:spacing w:before="70" w:after="70" w:line="220" w:lineRule="atLeast"/>
              <w:jc w:val="right"/>
              <w:rPr>
                <w:bCs/>
                <w:sz w:val="17"/>
              </w:rPr>
            </w:pPr>
            <w:r>
              <w:rPr>
                <w:bCs/>
                <w:sz w:val="17"/>
              </w:rPr>
              <w:t>67.2</w:t>
            </w:r>
          </w:p>
        </w:tc>
        <w:tc>
          <w:tcPr>
            <w:tcW w:w="417" w:type="pct"/>
            <w:tcBorders>
              <w:top w:val="single" w:sz="4" w:space="0" w:color="82C341" w:themeColor="background1"/>
              <w:bottom w:val="single" w:sz="4" w:space="0" w:color="82C341" w:themeColor="background1"/>
            </w:tcBorders>
          </w:tcPr>
          <w:p w14:paraId="4350E54B" w14:textId="3C8E256E" w:rsidR="00C60B6B" w:rsidRPr="00A43E18" w:rsidRDefault="00051A32" w:rsidP="00582215">
            <w:pPr>
              <w:spacing w:before="70" w:after="70" w:line="220" w:lineRule="atLeast"/>
              <w:jc w:val="right"/>
              <w:rPr>
                <w:bCs/>
                <w:sz w:val="17"/>
              </w:rPr>
            </w:pPr>
            <w:r>
              <w:rPr>
                <w:bCs/>
                <w:sz w:val="17"/>
              </w:rPr>
              <w:t>67</w:t>
            </w:r>
            <w:r w:rsidR="00E24672">
              <w:rPr>
                <w:bCs/>
                <w:sz w:val="17"/>
              </w:rPr>
              <w:t>.0</w:t>
            </w:r>
          </w:p>
        </w:tc>
        <w:tc>
          <w:tcPr>
            <w:tcW w:w="417" w:type="pct"/>
            <w:tcBorders>
              <w:top w:val="single" w:sz="4" w:space="0" w:color="82C341" w:themeColor="background1"/>
              <w:bottom w:val="single" w:sz="4" w:space="0" w:color="82C341" w:themeColor="background1"/>
            </w:tcBorders>
          </w:tcPr>
          <w:p w14:paraId="11793AFA" w14:textId="454D35F2" w:rsidR="00C60B6B" w:rsidRPr="00A43E18" w:rsidRDefault="00051A32" w:rsidP="00582215">
            <w:pPr>
              <w:spacing w:before="70" w:after="70" w:line="220" w:lineRule="atLeast"/>
              <w:jc w:val="right"/>
              <w:rPr>
                <w:bCs/>
                <w:sz w:val="17"/>
              </w:rPr>
            </w:pPr>
            <w:r>
              <w:rPr>
                <w:bCs/>
                <w:sz w:val="17"/>
              </w:rPr>
              <w:t>69.2</w:t>
            </w:r>
          </w:p>
        </w:tc>
        <w:tc>
          <w:tcPr>
            <w:tcW w:w="417" w:type="pct"/>
            <w:tcBorders>
              <w:top w:val="single" w:sz="4" w:space="0" w:color="82C341" w:themeColor="background1"/>
              <w:bottom w:val="single" w:sz="4" w:space="0" w:color="82C341" w:themeColor="background1"/>
            </w:tcBorders>
          </w:tcPr>
          <w:p w14:paraId="72D83C4B" w14:textId="134682F1" w:rsidR="00C60B6B" w:rsidRPr="00A43E18" w:rsidRDefault="00051A32" w:rsidP="00582215">
            <w:pPr>
              <w:spacing w:before="70" w:after="70" w:line="220" w:lineRule="atLeast"/>
              <w:jc w:val="right"/>
              <w:rPr>
                <w:bCs/>
                <w:sz w:val="17"/>
              </w:rPr>
            </w:pPr>
            <w:r>
              <w:rPr>
                <w:bCs/>
                <w:sz w:val="17"/>
              </w:rPr>
              <w:t>70.2</w:t>
            </w:r>
          </w:p>
        </w:tc>
        <w:tc>
          <w:tcPr>
            <w:tcW w:w="413" w:type="pct"/>
            <w:tcBorders>
              <w:top w:val="single" w:sz="4" w:space="0" w:color="82C341" w:themeColor="background1"/>
              <w:bottom w:val="single" w:sz="4" w:space="0" w:color="82C341" w:themeColor="background1"/>
            </w:tcBorders>
          </w:tcPr>
          <w:p w14:paraId="6C8E0147" w14:textId="1D2490F8" w:rsidR="00C60B6B" w:rsidRPr="00A43E18" w:rsidRDefault="00051A32" w:rsidP="00582215">
            <w:pPr>
              <w:spacing w:before="70" w:after="70" w:line="220" w:lineRule="atLeast"/>
              <w:jc w:val="right"/>
              <w:rPr>
                <w:bCs/>
                <w:sz w:val="17"/>
              </w:rPr>
            </w:pPr>
            <w:r>
              <w:rPr>
                <w:bCs/>
                <w:sz w:val="17"/>
              </w:rPr>
              <w:t>69.7</w:t>
            </w:r>
          </w:p>
        </w:tc>
      </w:tr>
      <w:tr w:rsidR="00570775" w:rsidRPr="00A43E18" w14:paraId="2DBCF126" w14:textId="77777777" w:rsidTr="00570775">
        <w:trPr>
          <w:trHeight w:val="885"/>
        </w:trPr>
        <w:tc>
          <w:tcPr>
            <w:tcW w:w="837" w:type="pct"/>
            <w:tcBorders>
              <w:top w:val="single" w:sz="4" w:space="0" w:color="82C341" w:themeColor="background1"/>
              <w:bottom w:val="single" w:sz="4" w:space="0" w:color="82C341" w:themeColor="background1"/>
            </w:tcBorders>
          </w:tcPr>
          <w:p w14:paraId="462B88E7" w14:textId="4F117644" w:rsidR="00C60B6B" w:rsidRPr="00A43E18" w:rsidRDefault="00C60B6B" w:rsidP="00582215">
            <w:pPr>
              <w:spacing w:before="70" w:after="70" w:line="220" w:lineRule="atLeast"/>
              <w:rPr>
                <w:bCs/>
                <w:sz w:val="17"/>
              </w:rPr>
            </w:pPr>
            <w:proofErr w:type="gramStart"/>
            <w:r w:rsidRPr="00A43E18">
              <w:rPr>
                <w:bCs/>
                <w:sz w:val="17"/>
              </w:rPr>
              <w:t>Tonnes</w:t>
            </w:r>
            <w:proofErr w:type="gramEnd"/>
            <w:r w:rsidRPr="00A43E18">
              <w:rPr>
                <w:bCs/>
                <w:sz w:val="17"/>
              </w:rPr>
              <w:t xml:space="preserve"> waste managed per capita</w:t>
            </w:r>
            <w:r w:rsidR="004F55A5">
              <w:rPr>
                <w:rFonts w:cstheme="minorHAnsi"/>
                <w:bCs/>
                <w:sz w:val="17"/>
              </w:rPr>
              <w:t>Ꞌ</w:t>
            </w:r>
          </w:p>
        </w:tc>
        <w:tc>
          <w:tcPr>
            <w:tcW w:w="417" w:type="pct"/>
            <w:tcBorders>
              <w:top w:val="single" w:sz="4" w:space="0" w:color="82C341" w:themeColor="background1"/>
              <w:left w:val="nil"/>
              <w:bottom w:val="single" w:sz="4" w:space="0" w:color="82C341" w:themeColor="background1"/>
              <w:right w:val="nil"/>
            </w:tcBorders>
            <w:shd w:val="clear" w:color="auto" w:fill="auto"/>
          </w:tcPr>
          <w:p w14:paraId="0F2FD066" w14:textId="77777777" w:rsidR="00C60B6B" w:rsidRPr="00A43E18" w:rsidRDefault="00C60B6B" w:rsidP="00582215">
            <w:pPr>
              <w:spacing w:before="70" w:after="70" w:line="220" w:lineRule="atLeast"/>
              <w:jc w:val="right"/>
              <w:rPr>
                <w:bCs/>
                <w:sz w:val="17"/>
              </w:rPr>
            </w:pPr>
            <w:r w:rsidRPr="00A43E18">
              <w:rPr>
                <w:bCs/>
                <w:sz w:val="17"/>
              </w:rPr>
              <w:t>2.29</w:t>
            </w:r>
          </w:p>
        </w:tc>
        <w:tc>
          <w:tcPr>
            <w:tcW w:w="417" w:type="pct"/>
            <w:tcBorders>
              <w:top w:val="single" w:sz="4" w:space="0" w:color="82C341" w:themeColor="background1"/>
              <w:left w:val="nil"/>
              <w:bottom w:val="single" w:sz="4" w:space="0" w:color="82C341" w:themeColor="background1"/>
              <w:right w:val="nil"/>
            </w:tcBorders>
            <w:shd w:val="clear" w:color="auto" w:fill="auto"/>
          </w:tcPr>
          <w:p w14:paraId="385AA1A9" w14:textId="77777777" w:rsidR="00C60B6B" w:rsidRPr="00A43E18" w:rsidRDefault="00C60B6B" w:rsidP="00582215">
            <w:pPr>
              <w:spacing w:before="70" w:after="70" w:line="220" w:lineRule="atLeast"/>
              <w:jc w:val="right"/>
              <w:rPr>
                <w:bCs/>
                <w:sz w:val="17"/>
              </w:rPr>
            </w:pPr>
            <w:r w:rsidRPr="00A43E18">
              <w:rPr>
                <w:bCs/>
                <w:sz w:val="17"/>
              </w:rPr>
              <w:t>2.18</w:t>
            </w:r>
          </w:p>
        </w:tc>
        <w:tc>
          <w:tcPr>
            <w:tcW w:w="417" w:type="pct"/>
            <w:tcBorders>
              <w:top w:val="single" w:sz="4" w:space="0" w:color="82C341" w:themeColor="background1"/>
              <w:left w:val="nil"/>
              <w:bottom w:val="single" w:sz="4" w:space="0" w:color="82C341" w:themeColor="background1"/>
              <w:right w:val="nil"/>
            </w:tcBorders>
            <w:shd w:val="clear" w:color="auto" w:fill="auto"/>
          </w:tcPr>
          <w:p w14:paraId="07F8AA9D" w14:textId="77777777" w:rsidR="00C60B6B" w:rsidRPr="00A43E18" w:rsidRDefault="00C60B6B" w:rsidP="00582215">
            <w:pPr>
              <w:spacing w:before="70" w:after="70" w:line="220" w:lineRule="atLeast"/>
              <w:jc w:val="right"/>
              <w:rPr>
                <w:bCs/>
                <w:sz w:val="17"/>
              </w:rPr>
            </w:pPr>
            <w:r w:rsidRPr="00A43E18">
              <w:rPr>
                <w:bCs/>
                <w:sz w:val="17"/>
              </w:rPr>
              <w:t>2.09</w:t>
            </w:r>
          </w:p>
        </w:tc>
        <w:tc>
          <w:tcPr>
            <w:tcW w:w="417" w:type="pct"/>
            <w:tcBorders>
              <w:top w:val="single" w:sz="4" w:space="0" w:color="82C341" w:themeColor="background1"/>
              <w:left w:val="nil"/>
              <w:bottom w:val="single" w:sz="4" w:space="0" w:color="82C341" w:themeColor="background1"/>
              <w:right w:val="nil"/>
            </w:tcBorders>
            <w:shd w:val="clear" w:color="auto" w:fill="auto"/>
          </w:tcPr>
          <w:p w14:paraId="69B5F0D2" w14:textId="77777777" w:rsidR="00C60B6B" w:rsidRPr="00A43E18" w:rsidRDefault="00C60B6B" w:rsidP="00582215">
            <w:pPr>
              <w:spacing w:before="70" w:after="70" w:line="220" w:lineRule="atLeast"/>
              <w:jc w:val="right"/>
              <w:rPr>
                <w:bCs/>
                <w:sz w:val="17"/>
              </w:rPr>
            </w:pPr>
            <w:r w:rsidRPr="00A43E18">
              <w:rPr>
                <w:bCs/>
                <w:sz w:val="17"/>
              </w:rPr>
              <w:t>1.99</w:t>
            </w:r>
          </w:p>
        </w:tc>
        <w:tc>
          <w:tcPr>
            <w:tcW w:w="414" w:type="pct"/>
            <w:tcBorders>
              <w:top w:val="single" w:sz="4" w:space="0" w:color="82C341" w:themeColor="background1"/>
              <w:left w:val="nil"/>
              <w:bottom w:val="single" w:sz="4" w:space="0" w:color="82C341" w:themeColor="background1"/>
              <w:right w:val="nil"/>
            </w:tcBorders>
            <w:shd w:val="clear" w:color="auto" w:fill="auto"/>
          </w:tcPr>
          <w:p w14:paraId="03E49371" w14:textId="77777777" w:rsidR="00C60B6B" w:rsidRPr="00A43E18" w:rsidRDefault="00C60B6B" w:rsidP="00582215">
            <w:pPr>
              <w:spacing w:before="70" w:after="70" w:line="220" w:lineRule="atLeast"/>
              <w:jc w:val="right"/>
              <w:rPr>
                <w:bCs/>
                <w:sz w:val="17"/>
              </w:rPr>
            </w:pPr>
            <w:r w:rsidRPr="00A43E18">
              <w:rPr>
                <w:bCs/>
                <w:sz w:val="17"/>
              </w:rPr>
              <w:t>2.06</w:t>
            </w:r>
          </w:p>
        </w:tc>
        <w:tc>
          <w:tcPr>
            <w:tcW w:w="417" w:type="pct"/>
            <w:tcBorders>
              <w:top w:val="single" w:sz="4" w:space="0" w:color="82C341" w:themeColor="background1"/>
              <w:left w:val="nil"/>
              <w:bottom w:val="single" w:sz="4" w:space="0" w:color="82C341" w:themeColor="background1"/>
              <w:right w:val="nil"/>
            </w:tcBorders>
            <w:shd w:val="clear" w:color="auto" w:fill="auto"/>
          </w:tcPr>
          <w:p w14:paraId="72F8FFC8" w14:textId="77777777" w:rsidR="00C60B6B" w:rsidRPr="00A43E18" w:rsidRDefault="00C60B6B" w:rsidP="00582215">
            <w:pPr>
              <w:spacing w:before="70" w:after="70" w:line="220" w:lineRule="atLeast"/>
              <w:jc w:val="right"/>
              <w:rPr>
                <w:bCs/>
                <w:sz w:val="17"/>
              </w:rPr>
            </w:pPr>
            <w:r w:rsidRPr="00A43E18">
              <w:rPr>
                <w:bCs/>
                <w:sz w:val="17"/>
              </w:rPr>
              <w:t>2.07</w:t>
            </w:r>
          </w:p>
        </w:tc>
        <w:tc>
          <w:tcPr>
            <w:tcW w:w="417" w:type="pct"/>
            <w:tcBorders>
              <w:top w:val="single" w:sz="4" w:space="0" w:color="82C341" w:themeColor="background1"/>
              <w:left w:val="nil"/>
              <w:bottom w:val="single" w:sz="4" w:space="0" w:color="82C341" w:themeColor="background1"/>
              <w:right w:val="nil"/>
            </w:tcBorders>
            <w:shd w:val="clear" w:color="auto" w:fill="auto"/>
          </w:tcPr>
          <w:p w14:paraId="5579A287" w14:textId="77777777" w:rsidR="00C60B6B" w:rsidRPr="00A43E18" w:rsidRDefault="00C60B6B" w:rsidP="00582215">
            <w:pPr>
              <w:spacing w:before="70" w:after="70" w:line="220" w:lineRule="atLeast"/>
              <w:jc w:val="right"/>
              <w:rPr>
                <w:bCs/>
                <w:sz w:val="17"/>
              </w:rPr>
            </w:pPr>
            <w:r w:rsidRPr="00A43E18">
              <w:rPr>
                <w:bCs/>
                <w:sz w:val="17"/>
              </w:rPr>
              <w:t>2.04</w:t>
            </w:r>
          </w:p>
        </w:tc>
        <w:tc>
          <w:tcPr>
            <w:tcW w:w="417" w:type="pct"/>
            <w:tcBorders>
              <w:top w:val="single" w:sz="4" w:space="0" w:color="82C341" w:themeColor="background1"/>
              <w:left w:val="nil"/>
              <w:bottom w:val="single" w:sz="4" w:space="0" w:color="82C341" w:themeColor="background1"/>
              <w:right w:val="nil"/>
            </w:tcBorders>
            <w:shd w:val="clear" w:color="auto" w:fill="auto"/>
          </w:tcPr>
          <w:p w14:paraId="365CED16" w14:textId="77777777" w:rsidR="00C60B6B" w:rsidRPr="00A43E18" w:rsidRDefault="00C60B6B" w:rsidP="00582215">
            <w:pPr>
              <w:spacing w:before="70" w:after="70" w:line="220" w:lineRule="atLeast"/>
              <w:jc w:val="right"/>
              <w:rPr>
                <w:bCs/>
                <w:sz w:val="17"/>
              </w:rPr>
            </w:pPr>
            <w:r w:rsidRPr="00A43E18">
              <w:rPr>
                <w:bCs/>
                <w:sz w:val="17"/>
              </w:rPr>
              <w:t>2.23</w:t>
            </w:r>
          </w:p>
        </w:tc>
        <w:tc>
          <w:tcPr>
            <w:tcW w:w="417" w:type="pct"/>
            <w:tcBorders>
              <w:top w:val="single" w:sz="4" w:space="0" w:color="82C341" w:themeColor="background1"/>
              <w:left w:val="nil"/>
              <w:bottom w:val="single" w:sz="4" w:space="0" w:color="82C341" w:themeColor="background1"/>
              <w:right w:val="nil"/>
            </w:tcBorders>
            <w:shd w:val="clear" w:color="auto" w:fill="auto"/>
          </w:tcPr>
          <w:p w14:paraId="260028E1" w14:textId="77777777" w:rsidR="00C60B6B" w:rsidRPr="00A43E18" w:rsidRDefault="00C60B6B" w:rsidP="00582215">
            <w:pPr>
              <w:spacing w:before="70" w:after="70" w:line="220" w:lineRule="atLeast"/>
              <w:jc w:val="right"/>
              <w:rPr>
                <w:bCs/>
                <w:sz w:val="17"/>
              </w:rPr>
            </w:pPr>
            <w:r w:rsidRPr="00A43E18">
              <w:rPr>
                <w:bCs/>
                <w:sz w:val="17"/>
              </w:rPr>
              <w:t>2.32</w:t>
            </w:r>
          </w:p>
        </w:tc>
        <w:tc>
          <w:tcPr>
            <w:tcW w:w="413" w:type="pct"/>
            <w:tcBorders>
              <w:top w:val="single" w:sz="4" w:space="0" w:color="82C341" w:themeColor="background1"/>
              <w:left w:val="nil"/>
              <w:bottom w:val="single" w:sz="4" w:space="0" w:color="82C341" w:themeColor="background1"/>
              <w:right w:val="nil"/>
            </w:tcBorders>
            <w:shd w:val="clear" w:color="auto" w:fill="auto"/>
          </w:tcPr>
          <w:p w14:paraId="6F2D08F1" w14:textId="30764A3E" w:rsidR="00C60B6B" w:rsidRPr="00A43E18" w:rsidRDefault="00C60B6B" w:rsidP="00582215">
            <w:pPr>
              <w:spacing w:before="70" w:after="70" w:line="220" w:lineRule="atLeast"/>
              <w:jc w:val="right"/>
              <w:rPr>
                <w:bCs/>
                <w:sz w:val="17"/>
              </w:rPr>
            </w:pPr>
            <w:r w:rsidRPr="00A43E18">
              <w:rPr>
                <w:bCs/>
                <w:sz w:val="17"/>
              </w:rPr>
              <w:t>2.</w:t>
            </w:r>
            <w:r>
              <w:rPr>
                <w:bCs/>
                <w:sz w:val="17"/>
              </w:rPr>
              <w:t>3</w:t>
            </w:r>
            <w:r w:rsidR="00BE67C0">
              <w:rPr>
                <w:bCs/>
                <w:sz w:val="17"/>
              </w:rPr>
              <w:t>7</w:t>
            </w:r>
          </w:p>
        </w:tc>
      </w:tr>
      <w:tr w:rsidR="00570775" w:rsidRPr="00A43E18" w14:paraId="41BAA38C" w14:textId="77777777" w:rsidTr="00570775">
        <w:trPr>
          <w:trHeight w:val="79"/>
        </w:trPr>
        <w:tc>
          <w:tcPr>
            <w:tcW w:w="837" w:type="pct"/>
            <w:tcBorders>
              <w:top w:val="single" w:sz="4" w:space="0" w:color="82C341" w:themeColor="background1"/>
              <w:bottom w:val="single" w:sz="4" w:space="0" w:color="82C341" w:themeColor="background1"/>
            </w:tcBorders>
          </w:tcPr>
          <w:p w14:paraId="447C125A" w14:textId="77777777" w:rsidR="00C60B6B" w:rsidRPr="00A43E18" w:rsidRDefault="00C60B6B" w:rsidP="00582215">
            <w:pPr>
              <w:spacing w:before="70" w:after="70" w:line="220" w:lineRule="atLeast"/>
              <w:rPr>
                <w:bCs/>
                <w:sz w:val="17"/>
              </w:rPr>
            </w:pPr>
            <w:proofErr w:type="gramStart"/>
            <w:r w:rsidRPr="00A43E18">
              <w:rPr>
                <w:bCs/>
                <w:sz w:val="17"/>
              </w:rPr>
              <w:t>Tonnes</w:t>
            </w:r>
            <w:proofErr w:type="gramEnd"/>
            <w:r w:rsidRPr="00A43E18">
              <w:rPr>
                <w:bCs/>
                <w:sz w:val="17"/>
              </w:rPr>
              <w:t xml:space="preserve"> waste managed per $ million GSP</w:t>
            </w:r>
            <w:r>
              <w:rPr>
                <w:bCs/>
                <w:sz w:val="17"/>
              </w:rPr>
              <w:t>*</w:t>
            </w:r>
          </w:p>
        </w:tc>
        <w:tc>
          <w:tcPr>
            <w:tcW w:w="417" w:type="pct"/>
            <w:tcBorders>
              <w:top w:val="single" w:sz="4" w:space="0" w:color="82C341" w:themeColor="background1"/>
              <w:left w:val="nil"/>
              <w:bottom w:val="single" w:sz="4" w:space="0" w:color="82C341" w:themeColor="background1"/>
              <w:right w:val="nil"/>
            </w:tcBorders>
            <w:shd w:val="clear" w:color="auto" w:fill="auto"/>
          </w:tcPr>
          <w:p w14:paraId="66D8CE79" w14:textId="53562B94" w:rsidR="00C60B6B" w:rsidRPr="00A43E18" w:rsidRDefault="00C60B6B" w:rsidP="00582215">
            <w:pPr>
              <w:spacing w:before="70" w:after="70" w:line="220" w:lineRule="atLeast"/>
              <w:jc w:val="right"/>
              <w:rPr>
                <w:bCs/>
                <w:sz w:val="17"/>
              </w:rPr>
            </w:pPr>
            <w:r w:rsidRPr="00A43E18">
              <w:rPr>
                <w:bCs/>
                <w:sz w:val="17"/>
              </w:rPr>
              <w:t>38.</w:t>
            </w:r>
            <w:r w:rsidR="00BE67C0">
              <w:rPr>
                <w:bCs/>
                <w:sz w:val="17"/>
              </w:rPr>
              <w:t>6</w:t>
            </w:r>
          </w:p>
        </w:tc>
        <w:tc>
          <w:tcPr>
            <w:tcW w:w="417" w:type="pct"/>
            <w:tcBorders>
              <w:top w:val="single" w:sz="4" w:space="0" w:color="82C341" w:themeColor="background1"/>
              <w:left w:val="nil"/>
              <w:bottom w:val="single" w:sz="4" w:space="0" w:color="82C341" w:themeColor="background1"/>
              <w:right w:val="nil"/>
            </w:tcBorders>
            <w:shd w:val="clear" w:color="auto" w:fill="auto"/>
          </w:tcPr>
          <w:p w14:paraId="2675F89C" w14:textId="49F56980" w:rsidR="00C60B6B" w:rsidRPr="00A43E18" w:rsidRDefault="00C60B6B" w:rsidP="00582215">
            <w:pPr>
              <w:spacing w:before="70" w:after="70" w:line="220" w:lineRule="atLeast"/>
              <w:jc w:val="right"/>
              <w:rPr>
                <w:bCs/>
                <w:sz w:val="17"/>
              </w:rPr>
            </w:pPr>
            <w:r w:rsidRPr="00A43E18">
              <w:rPr>
                <w:bCs/>
                <w:sz w:val="17"/>
              </w:rPr>
              <w:t>35.</w:t>
            </w:r>
            <w:r w:rsidR="00BE67C0">
              <w:rPr>
                <w:bCs/>
                <w:sz w:val="17"/>
              </w:rPr>
              <w:t>9</w:t>
            </w:r>
          </w:p>
        </w:tc>
        <w:tc>
          <w:tcPr>
            <w:tcW w:w="417" w:type="pct"/>
            <w:tcBorders>
              <w:top w:val="single" w:sz="4" w:space="0" w:color="82C341" w:themeColor="background1"/>
              <w:left w:val="nil"/>
              <w:bottom w:val="single" w:sz="4" w:space="0" w:color="82C341" w:themeColor="background1"/>
              <w:right w:val="nil"/>
            </w:tcBorders>
            <w:shd w:val="clear" w:color="auto" w:fill="auto"/>
          </w:tcPr>
          <w:p w14:paraId="16CF4DCB" w14:textId="64C89E59" w:rsidR="00C60B6B" w:rsidRPr="00A43E18" w:rsidRDefault="00C60B6B" w:rsidP="00582215">
            <w:pPr>
              <w:spacing w:before="70" w:after="70" w:line="220" w:lineRule="atLeast"/>
              <w:jc w:val="right"/>
              <w:rPr>
                <w:bCs/>
                <w:sz w:val="17"/>
              </w:rPr>
            </w:pPr>
            <w:r w:rsidRPr="00A43E18">
              <w:rPr>
                <w:bCs/>
                <w:sz w:val="17"/>
              </w:rPr>
              <w:t>3</w:t>
            </w:r>
            <w:r w:rsidR="00BE67C0">
              <w:rPr>
                <w:bCs/>
                <w:sz w:val="17"/>
              </w:rPr>
              <w:t>4</w:t>
            </w:r>
            <w:r w:rsidRPr="00A43E18">
              <w:rPr>
                <w:bCs/>
                <w:sz w:val="17"/>
              </w:rPr>
              <w:t>.</w:t>
            </w:r>
            <w:r w:rsidR="00BE67C0">
              <w:rPr>
                <w:bCs/>
                <w:sz w:val="17"/>
              </w:rPr>
              <w:t>3</w:t>
            </w:r>
          </w:p>
        </w:tc>
        <w:tc>
          <w:tcPr>
            <w:tcW w:w="417" w:type="pct"/>
            <w:tcBorders>
              <w:top w:val="single" w:sz="4" w:space="0" w:color="82C341" w:themeColor="background1"/>
              <w:left w:val="nil"/>
              <w:bottom w:val="single" w:sz="4" w:space="0" w:color="82C341" w:themeColor="background1"/>
              <w:right w:val="nil"/>
            </w:tcBorders>
            <w:shd w:val="clear" w:color="auto" w:fill="auto"/>
          </w:tcPr>
          <w:p w14:paraId="29E82569" w14:textId="5ED05A7F" w:rsidR="00C60B6B" w:rsidRPr="00A43E18" w:rsidRDefault="00C60B6B" w:rsidP="00582215">
            <w:pPr>
              <w:spacing w:before="70" w:after="70" w:line="220" w:lineRule="atLeast"/>
              <w:jc w:val="right"/>
              <w:rPr>
                <w:bCs/>
                <w:sz w:val="17"/>
              </w:rPr>
            </w:pPr>
            <w:r w:rsidRPr="00A43E18">
              <w:rPr>
                <w:bCs/>
                <w:sz w:val="17"/>
              </w:rPr>
              <w:t>3</w:t>
            </w:r>
            <w:r w:rsidR="00BE67C0">
              <w:rPr>
                <w:bCs/>
                <w:sz w:val="17"/>
              </w:rPr>
              <w:t>2</w:t>
            </w:r>
            <w:r w:rsidRPr="00A43E18">
              <w:rPr>
                <w:bCs/>
                <w:sz w:val="17"/>
              </w:rPr>
              <w:t>.</w:t>
            </w:r>
            <w:r w:rsidR="00BE67C0">
              <w:rPr>
                <w:bCs/>
                <w:sz w:val="17"/>
              </w:rPr>
              <w:t>4</w:t>
            </w:r>
          </w:p>
        </w:tc>
        <w:tc>
          <w:tcPr>
            <w:tcW w:w="414" w:type="pct"/>
            <w:tcBorders>
              <w:top w:val="single" w:sz="4" w:space="0" w:color="82C341" w:themeColor="background1"/>
              <w:left w:val="nil"/>
              <w:bottom w:val="single" w:sz="4" w:space="0" w:color="82C341" w:themeColor="background1"/>
              <w:right w:val="nil"/>
            </w:tcBorders>
            <w:shd w:val="clear" w:color="auto" w:fill="auto"/>
          </w:tcPr>
          <w:p w14:paraId="49EFFD9E" w14:textId="1CAE3E8E" w:rsidR="00C60B6B" w:rsidRPr="00A43E18" w:rsidRDefault="00C60B6B" w:rsidP="00582215">
            <w:pPr>
              <w:spacing w:before="70" w:after="70" w:line="220" w:lineRule="atLeast"/>
              <w:jc w:val="right"/>
              <w:rPr>
                <w:bCs/>
                <w:sz w:val="17"/>
              </w:rPr>
            </w:pPr>
            <w:r w:rsidRPr="00A43E18">
              <w:rPr>
                <w:bCs/>
                <w:sz w:val="17"/>
              </w:rPr>
              <w:t>32.</w:t>
            </w:r>
            <w:r w:rsidR="00BE67C0">
              <w:rPr>
                <w:bCs/>
                <w:sz w:val="17"/>
              </w:rPr>
              <w:t>8</w:t>
            </w:r>
          </w:p>
        </w:tc>
        <w:tc>
          <w:tcPr>
            <w:tcW w:w="417" w:type="pct"/>
            <w:tcBorders>
              <w:top w:val="single" w:sz="4" w:space="0" w:color="82C341" w:themeColor="background1"/>
              <w:left w:val="nil"/>
              <w:bottom w:val="single" w:sz="4" w:space="0" w:color="82C341" w:themeColor="background1"/>
              <w:right w:val="nil"/>
            </w:tcBorders>
            <w:shd w:val="clear" w:color="auto" w:fill="auto"/>
          </w:tcPr>
          <w:p w14:paraId="16E17363" w14:textId="52D91878" w:rsidR="00C60B6B" w:rsidRPr="00A43E18" w:rsidRDefault="00C60B6B" w:rsidP="00582215">
            <w:pPr>
              <w:spacing w:before="70" w:after="70" w:line="220" w:lineRule="atLeast"/>
              <w:jc w:val="right"/>
              <w:rPr>
                <w:bCs/>
                <w:sz w:val="17"/>
              </w:rPr>
            </w:pPr>
            <w:r w:rsidRPr="00A43E18">
              <w:rPr>
                <w:bCs/>
                <w:sz w:val="17"/>
              </w:rPr>
              <w:t>3</w:t>
            </w:r>
            <w:r w:rsidR="00BE67C0">
              <w:rPr>
                <w:bCs/>
                <w:sz w:val="17"/>
              </w:rPr>
              <w:t>2</w:t>
            </w:r>
            <w:r w:rsidRPr="00A43E18">
              <w:rPr>
                <w:bCs/>
                <w:sz w:val="17"/>
              </w:rPr>
              <w:t>.</w:t>
            </w:r>
            <w:r w:rsidR="00BE67C0">
              <w:rPr>
                <w:bCs/>
                <w:sz w:val="17"/>
              </w:rPr>
              <w:t>5</w:t>
            </w:r>
          </w:p>
        </w:tc>
        <w:tc>
          <w:tcPr>
            <w:tcW w:w="417" w:type="pct"/>
            <w:tcBorders>
              <w:top w:val="single" w:sz="4" w:space="0" w:color="82C341" w:themeColor="background1"/>
              <w:left w:val="nil"/>
              <w:bottom w:val="single" w:sz="4" w:space="0" w:color="82C341" w:themeColor="background1"/>
              <w:right w:val="nil"/>
            </w:tcBorders>
            <w:shd w:val="clear" w:color="auto" w:fill="auto"/>
          </w:tcPr>
          <w:p w14:paraId="62146066" w14:textId="551A5DF4" w:rsidR="00C60B6B" w:rsidRPr="00A43E18" w:rsidRDefault="00BE67C0" w:rsidP="00582215">
            <w:pPr>
              <w:spacing w:before="70" w:after="70" w:line="220" w:lineRule="atLeast"/>
              <w:jc w:val="right"/>
              <w:rPr>
                <w:bCs/>
                <w:sz w:val="17"/>
              </w:rPr>
            </w:pPr>
            <w:r>
              <w:rPr>
                <w:bCs/>
                <w:sz w:val="17"/>
              </w:rPr>
              <w:t>30</w:t>
            </w:r>
            <w:r w:rsidR="00C60B6B" w:rsidRPr="00A43E18">
              <w:rPr>
                <w:bCs/>
                <w:sz w:val="17"/>
              </w:rPr>
              <w:t>.</w:t>
            </w:r>
            <w:r>
              <w:rPr>
                <w:bCs/>
                <w:sz w:val="17"/>
              </w:rPr>
              <w:t>9</w:t>
            </w:r>
          </w:p>
        </w:tc>
        <w:tc>
          <w:tcPr>
            <w:tcW w:w="417" w:type="pct"/>
            <w:tcBorders>
              <w:top w:val="single" w:sz="4" w:space="0" w:color="82C341" w:themeColor="background1"/>
              <w:left w:val="nil"/>
              <w:bottom w:val="single" w:sz="4" w:space="0" w:color="82C341" w:themeColor="background1"/>
              <w:right w:val="nil"/>
            </w:tcBorders>
            <w:shd w:val="clear" w:color="auto" w:fill="auto"/>
          </w:tcPr>
          <w:p w14:paraId="42C3152D" w14:textId="5AF0A72D" w:rsidR="00C60B6B" w:rsidRPr="00A43E18" w:rsidRDefault="00C60B6B" w:rsidP="00582215">
            <w:pPr>
              <w:spacing w:before="70" w:after="70" w:line="220" w:lineRule="atLeast"/>
              <w:jc w:val="right"/>
              <w:rPr>
                <w:bCs/>
                <w:sz w:val="17"/>
              </w:rPr>
            </w:pPr>
            <w:r w:rsidRPr="00A43E18">
              <w:rPr>
                <w:bCs/>
                <w:sz w:val="17"/>
              </w:rPr>
              <w:t>3</w:t>
            </w:r>
            <w:r w:rsidR="00BE67C0">
              <w:rPr>
                <w:bCs/>
                <w:sz w:val="17"/>
              </w:rPr>
              <w:t>2</w:t>
            </w:r>
            <w:r w:rsidRPr="00A43E18">
              <w:rPr>
                <w:bCs/>
                <w:sz w:val="17"/>
              </w:rPr>
              <w:t>.</w:t>
            </w:r>
            <w:r w:rsidR="00BE67C0">
              <w:rPr>
                <w:bCs/>
                <w:sz w:val="17"/>
              </w:rPr>
              <w:t>8</w:t>
            </w:r>
          </w:p>
        </w:tc>
        <w:tc>
          <w:tcPr>
            <w:tcW w:w="417" w:type="pct"/>
            <w:tcBorders>
              <w:top w:val="single" w:sz="4" w:space="0" w:color="82C341" w:themeColor="background1"/>
              <w:left w:val="nil"/>
              <w:bottom w:val="single" w:sz="4" w:space="0" w:color="82C341" w:themeColor="background1"/>
              <w:right w:val="nil"/>
            </w:tcBorders>
            <w:shd w:val="clear" w:color="auto" w:fill="auto"/>
          </w:tcPr>
          <w:p w14:paraId="51103D4F" w14:textId="6749CF9D" w:rsidR="00C60B6B" w:rsidRPr="00A43E18" w:rsidRDefault="00C60B6B" w:rsidP="00582215">
            <w:pPr>
              <w:spacing w:before="70" w:after="70" w:line="220" w:lineRule="atLeast"/>
              <w:jc w:val="right"/>
              <w:rPr>
                <w:bCs/>
                <w:sz w:val="17"/>
              </w:rPr>
            </w:pPr>
            <w:r w:rsidRPr="00A43E18">
              <w:rPr>
                <w:bCs/>
                <w:sz w:val="17"/>
              </w:rPr>
              <w:t>3</w:t>
            </w:r>
            <w:r w:rsidR="00BE67C0">
              <w:rPr>
                <w:bCs/>
                <w:sz w:val="17"/>
              </w:rPr>
              <w:t>3.2</w:t>
            </w:r>
          </w:p>
        </w:tc>
        <w:tc>
          <w:tcPr>
            <w:tcW w:w="413" w:type="pct"/>
            <w:tcBorders>
              <w:top w:val="single" w:sz="4" w:space="0" w:color="82C341" w:themeColor="background1"/>
              <w:left w:val="nil"/>
              <w:bottom w:val="single" w:sz="4" w:space="0" w:color="82C341" w:themeColor="background1"/>
              <w:right w:val="nil"/>
            </w:tcBorders>
            <w:shd w:val="clear" w:color="auto" w:fill="auto"/>
          </w:tcPr>
          <w:p w14:paraId="770CD0FE" w14:textId="67ABFB6F" w:rsidR="00C60B6B" w:rsidRPr="00A43E18" w:rsidRDefault="00C60B6B" w:rsidP="00582215">
            <w:pPr>
              <w:spacing w:before="70" w:after="70" w:line="220" w:lineRule="atLeast"/>
              <w:jc w:val="right"/>
              <w:rPr>
                <w:bCs/>
                <w:sz w:val="17"/>
              </w:rPr>
            </w:pPr>
            <w:r w:rsidRPr="00A43E18">
              <w:rPr>
                <w:bCs/>
                <w:sz w:val="17"/>
              </w:rPr>
              <w:t>3</w:t>
            </w:r>
            <w:r w:rsidR="00BE67C0">
              <w:rPr>
                <w:bCs/>
                <w:sz w:val="17"/>
              </w:rPr>
              <w:t>3</w:t>
            </w:r>
            <w:r w:rsidRPr="00A43E18">
              <w:rPr>
                <w:bCs/>
                <w:sz w:val="17"/>
              </w:rPr>
              <w:t>.</w:t>
            </w:r>
            <w:r w:rsidR="00BE67C0">
              <w:rPr>
                <w:bCs/>
                <w:sz w:val="17"/>
              </w:rPr>
              <w:t>9</w:t>
            </w:r>
          </w:p>
        </w:tc>
      </w:tr>
      <w:tr w:rsidR="00570775" w:rsidRPr="00A43E18" w14:paraId="1F786C88" w14:textId="77777777" w:rsidTr="00570775">
        <w:trPr>
          <w:cnfStyle w:val="010000000000" w:firstRow="0" w:lastRow="1" w:firstColumn="0" w:lastColumn="0" w:oddVBand="0" w:evenVBand="0" w:oddHBand="0" w:evenHBand="0" w:firstRowFirstColumn="0" w:firstRowLastColumn="0" w:lastRowFirstColumn="0" w:lastRowLastColumn="0"/>
          <w:trHeight w:val="885"/>
        </w:trPr>
        <w:tc>
          <w:tcPr>
            <w:tcW w:w="837" w:type="pct"/>
            <w:tcBorders>
              <w:top w:val="single" w:sz="4" w:space="0" w:color="82C341" w:themeColor="background1"/>
              <w:bottom w:val="single" w:sz="4" w:space="0" w:color="82C341" w:themeColor="background1"/>
            </w:tcBorders>
            <w:shd w:val="clear" w:color="auto" w:fill="auto"/>
          </w:tcPr>
          <w:p w14:paraId="302114B1" w14:textId="5927DE5D" w:rsidR="00C60B6B" w:rsidRPr="00A43E18" w:rsidRDefault="00C60B6B" w:rsidP="00582215">
            <w:pPr>
              <w:spacing w:before="70" w:after="70" w:line="220" w:lineRule="atLeast"/>
              <w:rPr>
                <w:sz w:val="17"/>
              </w:rPr>
            </w:pPr>
            <w:r w:rsidRPr="00A43E18">
              <w:rPr>
                <w:b w:val="0"/>
                <w:sz w:val="17"/>
              </w:rPr>
              <w:t>Total tonnes waste managed (</w:t>
            </w:r>
            <w:r w:rsidR="00570775">
              <w:rPr>
                <w:b w:val="0"/>
                <w:sz w:val="17"/>
              </w:rPr>
              <w:t>Mt</w:t>
            </w:r>
            <w:r w:rsidRPr="00A43E18">
              <w:rPr>
                <w:b w:val="0"/>
                <w:sz w:val="17"/>
              </w:rPr>
              <w:t>)</w:t>
            </w:r>
          </w:p>
        </w:tc>
        <w:tc>
          <w:tcPr>
            <w:tcW w:w="417" w:type="pct"/>
            <w:tcBorders>
              <w:top w:val="single" w:sz="4" w:space="0" w:color="82C341" w:themeColor="background1"/>
              <w:bottom w:val="single" w:sz="4" w:space="0" w:color="82C341" w:themeColor="background1"/>
            </w:tcBorders>
            <w:shd w:val="clear" w:color="auto" w:fill="auto"/>
          </w:tcPr>
          <w:p w14:paraId="0023942F" w14:textId="26C9B348" w:rsidR="00C60B6B" w:rsidRPr="00A43E18" w:rsidRDefault="00C60B6B" w:rsidP="00582215">
            <w:pPr>
              <w:spacing w:before="70" w:after="70" w:line="220" w:lineRule="atLeast"/>
              <w:jc w:val="right"/>
              <w:rPr>
                <w:bCs/>
                <w:sz w:val="17"/>
              </w:rPr>
            </w:pPr>
            <w:r w:rsidRPr="00A43E18">
              <w:rPr>
                <w:b w:val="0"/>
                <w:bCs/>
                <w:sz w:val="17"/>
              </w:rPr>
              <w:t>12.7</w:t>
            </w:r>
            <w:r w:rsidR="00570775">
              <w:rPr>
                <w:b w:val="0"/>
                <w:bCs/>
                <w:sz w:val="17"/>
              </w:rPr>
              <w:t>1</w:t>
            </w:r>
          </w:p>
        </w:tc>
        <w:tc>
          <w:tcPr>
            <w:tcW w:w="417" w:type="pct"/>
            <w:tcBorders>
              <w:top w:val="single" w:sz="4" w:space="0" w:color="82C341" w:themeColor="background1"/>
              <w:bottom w:val="single" w:sz="4" w:space="0" w:color="82C341" w:themeColor="background1"/>
            </w:tcBorders>
            <w:shd w:val="clear" w:color="auto" w:fill="auto"/>
          </w:tcPr>
          <w:p w14:paraId="6FF8864B" w14:textId="22EF89F4" w:rsidR="00C60B6B" w:rsidRPr="00A43E18" w:rsidRDefault="00C60B6B" w:rsidP="00582215">
            <w:pPr>
              <w:spacing w:before="70" w:after="70" w:line="220" w:lineRule="atLeast"/>
              <w:jc w:val="right"/>
              <w:rPr>
                <w:bCs/>
                <w:sz w:val="17"/>
              </w:rPr>
            </w:pPr>
            <w:r w:rsidRPr="00A43E18">
              <w:rPr>
                <w:b w:val="0"/>
                <w:bCs/>
                <w:sz w:val="17"/>
              </w:rPr>
              <w:t>12.3</w:t>
            </w:r>
            <w:r w:rsidR="00570775">
              <w:rPr>
                <w:b w:val="0"/>
                <w:bCs/>
                <w:sz w:val="17"/>
              </w:rPr>
              <w:t>3</w:t>
            </w:r>
          </w:p>
        </w:tc>
        <w:tc>
          <w:tcPr>
            <w:tcW w:w="417" w:type="pct"/>
            <w:tcBorders>
              <w:top w:val="single" w:sz="4" w:space="0" w:color="82C341" w:themeColor="background1"/>
              <w:bottom w:val="single" w:sz="4" w:space="0" w:color="82C341" w:themeColor="background1"/>
            </w:tcBorders>
            <w:shd w:val="clear" w:color="auto" w:fill="auto"/>
          </w:tcPr>
          <w:p w14:paraId="2C44E66E" w14:textId="5A8C2357" w:rsidR="00C60B6B" w:rsidRPr="00A43E18" w:rsidRDefault="00C60B6B" w:rsidP="00582215">
            <w:pPr>
              <w:spacing w:before="70" w:after="70" w:line="220" w:lineRule="atLeast"/>
              <w:jc w:val="right"/>
              <w:rPr>
                <w:bCs/>
                <w:sz w:val="17"/>
              </w:rPr>
            </w:pPr>
            <w:r w:rsidRPr="00A43E18">
              <w:rPr>
                <w:b w:val="0"/>
                <w:bCs/>
                <w:sz w:val="17"/>
              </w:rPr>
              <w:t>12.0</w:t>
            </w:r>
            <w:r w:rsidR="00570775">
              <w:rPr>
                <w:b w:val="0"/>
                <w:bCs/>
                <w:sz w:val="17"/>
              </w:rPr>
              <w:t>4</w:t>
            </w:r>
          </w:p>
        </w:tc>
        <w:tc>
          <w:tcPr>
            <w:tcW w:w="417" w:type="pct"/>
            <w:tcBorders>
              <w:top w:val="single" w:sz="4" w:space="0" w:color="82C341" w:themeColor="background1"/>
              <w:bottom w:val="single" w:sz="4" w:space="0" w:color="82C341" w:themeColor="background1"/>
            </w:tcBorders>
            <w:shd w:val="clear" w:color="auto" w:fill="auto"/>
          </w:tcPr>
          <w:p w14:paraId="6A48E37F" w14:textId="70188027" w:rsidR="00C60B6B" w:rsidRPr="00A43E18" w:rsidRDefault="00C60B6B" w:rsidP="00582215">
            <w:pPr>
              <w:spacing w:before="70" w:after="70" w:line="220" w:lineRule="atLeast"/>
              <w:jc w:val="right"/>
              <w:rPr>
                <w:bCs/>
                <w:sz w:val="17"/>
              </w:rPr>
            </w:pPr>
            <w:r w:rsidRPr="00A43E18">
              <w:rPr>
                <w:b w:val="0"/>
                <w:bCs/>
                <w:sz w:val="17"/>
              </w:rPr>
              <w:t>11.</w:t>
            </w:r>
            <w:r w:rsidR="00570775">
              <w:rPr>
                <w:b w:val="0"/>
                <w:bCs/>
                <w:sz w:val="17"/>
              </w:rPr>
              <w:t>76</w:t>
            </w:r>
          </w:p>
        </w:tc>
        <w:tc>
          <w:tcPr>
            <w:tcW w:w="414" w:type="pct"/>
            <w:tcBorders>
              <w:top w:val="single" w:sz="4" w:space="0" w:color="82C341" w:themeColor="background1"/>
              <w:bottom w:val="single" w:sz="4" w:space="0" w:color="82C341" w:themeColor="background1"/>
            </w:tcBorders>
            <w:shd w:val="clear" w:color="auto" w:fill="auto"/>
          </w:tcPr>
          <w:p w14:paraId="094C81AA" w14:textId="76F9457C" w:rsidR="00C60B6B" w:rsidRPr="00A43E18" w:rsidRDefault="00C60B6B" w:rsidP="00582215">
            <w:pPr>
              <w:spacing w:before="70" w:after="70" w:line="220" w:lineRule="atLeast"/>
              <w:jc w:val="right"/>
              <w:rPr>
                <w:bCs/>
                <w:sz w:val="17"/>
              </w:rPr>
            </w:pPr>
            <w:r w:rsidRPr="00A43E18">
              <w:rPr>
                <w:b w:val="0"/>
                <w:bCs/>
                <w:sz w:val="17"/>
              </w:rPr>
              <w:t>12.4</w:t>
            </w:r>
            <w:r w:rsidR="00570775">
              <w:rPr>
                <w:b w:val="0"/>
                <w:bCs/>
                <w:sz w:val="17"/>
              </w:rPr>
              <w:t>0</w:t>
            </w:r>
          </w:p>
        </w:tc>
        <w:tc>
          <w:tcPr>
            <w:tcW w:w="417" w:type="pct"/>
            <w:tcBorders>
              <w:top w:val="single" w:sz="4" w:space="0" w:color="82C341" w:themeColor="background1"/>
              <w:bottom w:val="single" w:sz="4" w:space="0" w:color="82C341" w:themeColor="background1"/>
            </w:tcBorders>
            <w:shd w:val="clear" w:color="auto" w:fill="auto"/>
          </w:tcPr>
          <w:p w14:paraId="57171A44" w14:textId="6F8D841E" w:rsidR="00C60B6B" w:rsidRPr="00A43E18" w:rsidRDefault="00C60B6B" w:rsidP="00582215">
            <w:pPr>
              <w:spacing w:before="70" w:after="70" w:line="220" w:lineRule="atLeast"/>
              <w:jc w:val="right"/>
              <w:rPr>
                <w:bCs/>
                <w:sz w:val="17"/>
              </w:rPr>
            </w:pPr>
            <w:r w:rsidRPr="00A43E18">
              <w:rPr>
                <w:b w:val="0"/>
                <w:bCs/>
                <w:sz w:val="17"/>
              </w:rPr>
              <w:t>12.</w:t>
            </w:r>
            <w:r w:rsidR="00570775">
              <w:rPr>
                <w:b w:val="0"/>
                <w:bCs/>
                <w:sz w:val="17"/>
              </w:rPr>
              <w:t>78</w:t>
            </w:r>
          </w:p>
        </w:tc>
        <w:tc>
          <w:tcPr>
            <w:tcW w:w="417" w:type="pct"/>
            <w:tcBorders>
              <w:top w:val="single" w:sz="4" w:space="0" w:color="82C341" w:themeColor="background1"/>
              <w:bottom w:val="single" w:sz="4" w:space="0" w:color="82C341" w:themeColor="background1"/>
            </w:tcBorders>
            <w:shd w:val="clear" w:color="auto" w:fill="auto"/>
          </w:tcPr>
          <w:p w14:paraId="2C5795CB" w14:textId="25F1ACBF" w:rsidR="00C60B6B" w:rsidRPr="00A43E18" w:rsidRDefault="00C60B6B" w:rsidP="00582215">
            <w:pPr>
              <w:spacing w:before="70" w:after="70" w:line="220" w:lineRule="atLeast"/>
              <w:jc w:val="right"/>
              <w:rPr>
                <w:bCs/>
                <w:sz w:val="17"/>
              </w:rPr>
            </w:pPr>
            <w:r w:rsidRPr="00A43E18">
              <w:rPr>
                <w:b w:val="0"/>
                <w:bCs/>
                <w:sz w:val="17"/>
              </w:rPr>
              <w:t>12.</w:t>
            </w:r>
            <w:r w:rsidR="00570775">
              <w:rPr>
                <w:b w:val="0"/>
                <w:bCs/>
                <w:sz w:val="17"/>
              </w:rPr>
              <w:t>87</w:t>
            </w:r>
          </w:p>
        </w:tc>
        <w:tc>
          <w:tcPr>
            <w:tcW w:w="417" w:type="pct"/>
            <w:tcBorders>
              <w:top w:val="single" w:sz="4" w:space="0" w:color="82C341" w:themeColor="background1"/>
              <w:bottom w:val="single" w:sz="4" w:space="0" w:color="82C341" w:themeColor="background1"/>
            </w:tcBorders>
            <w:shd w:val="clear" w:color="auto" w:fill="auto"/>
          </w:tcPr>
          <w:p w14:paraId="371A6696" w14:textId="437CF287" w:rsidR="00C60B6B" w:rsidRPr="00A43E18" w:rsidRDefault="00C60B6B" w:rsidP="00582215">
            <w:pPr>
              <w:spacing w:before="70" w:after="70" w:line="220" w:lineRule="atLeast"/>
              <w:jc w:val="right"/>
              <w:rPr>
                <w:bCs/>
                <w:sz w:val="17"/>
              </w:rPr>
            </w:pPr>
            <w:r w:rsidRPr="00A43E18">
              <w:rPr>
                <w:b w:val="0"/>
                <w:bCs/>
                <w:sz w:val="17"/>
              </w:rPr>
              <w:t>14.4</w:t>
            </w:r>
            <w:r w:rsidR="00570775">
              <w:rPr>
                <w:b w:val="0"/>
                <w:bCs/>
                <w:sz w:val="17"/>
              </w:rPr>
              <w:t>3</w:t>
            </w:r>
          </w:p>
        </w:tc>
        <w:tc>
          <w:tcPr>
            <w:tcW w:w="417" w:type="pct"/>
            <w:tcBorders>
              <w:top w:val="single" w:sz="4" w:space="0" w:color="82C341" w:themeColor="background1"/>
              <w:bottom w:val="single" w:sz="4" w:space="0" w:color="82C341" w:themeColor="background1"/>
            </w:tcBorders>
            <w:shd w:val="clear" w:color="auto" w:fill="auto"/>
          </w:tcPr>
          <w:p w14:paraId="0ADE5A2B" w14:textId="2B710866" w:rsidR="00C60B6B" w:rsidRPr="00A43E18" w:rsidRDefault="00C60B6B" w:rsidP="00582215">
            <w:pPr>
              <w:spacing w:before="70" w:after="70" w:line="220" w:lineRule="atLeast"/>
              <w:jc w:val="right"/>
              <w:rPr>
                <w:bCs/>
                <w:sz w:val="17"/>
              </w:rPr>
            </w:pPr>
            <w:r w:rsidRPr="00A43E18">
              <w:rPr>
                <w:b w:val="0"/>
                <w:bCs/>
                <w:sz w:val="17"/>
              </w:rPr>
              <w:t>15.3</w:t>
            </w:r>
            <w:r w:rsidR="00570775">
              <w:rPr>
                <w:b w:val="0"/>
                <w:bCs/>
                <w:sz w:val="17"/>
              </w:rPr>
              <w:t>3</w:t>
            </w:r>
          </w:p>
        </w:tc>
        <w:tc>
          <w:tcPr>
            <w:tcW w:w="413" w:type="pct"/>
            <w:tcBorders>
              <w:top w:val="single" w:sz="4" w:space="0" w:color="82C341" w:themeColor="background1"/>
              <w:bottom w:val="single" w:sz="4" w:space="0" w:color="82C341" w:themeColor="background1"/>
            </w:tcBorders>
            <w:shd w:val="clear" w:color="auto" w:fill="auto"/>
          </w:tcPr>
          <w:p w14:paraId="0F35D6A7" w14:textId="45A48FC4" w:rsidR="00C60B6B" w:rsidRPr="00A43E18" w:rsidRDefault="00C60B6B" w:rsidP="00570775">
            <w:pPr>
              <w:spacing w:before="70" w:after="70" w:line="220" w:lineRule="atLeast"/>
              <w:ind w:left="-96" w:firstLine="96"/>
              <w:jc w:val="right"/>
              <w:rPr>
                <w:bCs/>
                <w:sz w:val="17"/>
              </w:rPr>
            </w:pPr>
            <w:r w:rsidRPr="00A43E18">
              <w:rPr>
                <w:b w:val="0"/>
                <w:bCs/>
                <w:sz w:val="17"/>
              </w:rPr>
              <w:t>15.</w:t>
            </w:r>
            <w:r w:rsidR="00570775">
              <w:rPr>
                <w:b w:val="0"/>
                <w:bCs/>
                <w:sz w:val="17"/>
              </w:rPr>
              <w:t>86</w:t>
            </w:r>
          </w:p>
        </w:tc>
      </w:tr>
    </w:tbl>
    <w:p w14:paraId="447A1DB3" w14:textId="252C17DB" w:rsidR="004F55A5" w:rsidRDefault="00C60B6B" w:rsidP="004F55A5">
      <w:pPr>
        <w:pStyle w:val="Caption"/>
        <w:spacing w:after="0"/>
      </w:pPr>
      <w:r w:rsidRPr="001341FB">
        <w:rPr>
          <w:vertAlign w:val="superscript"/>
        </w:rPr>
        <w:t>†</w:t>
      </w:r>
      <w:r w:rsidRPr="006130FA">
        <w:t xml:space="preserve"> Data on solid waste disposed of at licensed landfills</w:t>
      </w:r>
      <w:r w:rsidR="00F00322" w:rsidRPr="006130FA">
        <w:t>, used in the calculation of diversion rate,</w:t>
      </w:r>
      <w:r w:rsidRPr="006130FA">
        <w:t xml:space="preserve"> was sourced from EPA Victoria’s landfill levy returns.</w:t>
      </w:r>
      <w:r w:rsidR="004F55A5">
        <w:t xml:space="preserve"> </w:t>
      </w:r>
    </w:p>
    <w:p w14:paraId="2F3B69E0" w14:textId="16F66740" w:rsidR="004F55A5" w:rsidRPr="004F55A5" w:rsidRDefault="004F55A5" w:rsidP="004F55A5">
      <w:pPr>
        <w:pStyle w:val="Caption"/>
        <w:spacing w:after="0"/>
      </w:pPr>
      <w:r>
        <w:t>ꞋThis includes waste generated across all sectors; MSW, C&amp;I and C&amp;D. The Recycling Victoria target discussed in SSR includes waste from MSW and C&amp;I</w:t>
      </w:r>
      <w:r w:rsidR="00904140">
        <w:t xml:space="preserve"> only</w:t>
      </w:r>
      <w:r>
        <w:t xml:space="preserve">. </w:t>
      </w:r>
    </w:p>
    <w:p w14:paraId="0F90F630" w14:textId="74280FE4" w:rsidR="004F55A5" w:rsidRPr="004F55A5" w:rsidRDefault="004F55A5" w:rsidP="004F55A5">
      <w:pPr>
        <w:pStyle w:val="Caption"/>
      </w:pPr>
      <w:r w:rsidRPr="002814CA">
        <w:t>* Please refer to the accompanying</w:t>
      </w:r>
      <w:r>
        <w:t xml:space="preserve"> </w:t>
      </w:r>
      <w:hyperlink r:id="rId56" w:tooltip="Hyperlink to: Workbook" w:history="1">
        <w:r w:rsidR="002814CA" w:rsidRPr="00410240">
          <w:rPr>
            <w:rStyle w:val="Hyperlink"/>
            <w:i w:val="0"/>
            <w:iCs w:val="0"/>
            <w:color w:val="BCBEC0" w:themeColor="text2"/>
          </w:rPr>
          <w:t>w</w:t>
        </w:r>
        <w:r w:rsidR="00504E9C" w:rsidRPr="00410240">
          <w:rPr>
            <w:rStyle w:val="Hyperlink"/>
            <w:i w:val="0"/>
            <w:iCs w:val="0"/>
            <w:color w:val="BCBEC0" w:themeColor="text2"/>
          </w:rPr>
          <w:t>orkbook</w:t>
        </w:r>
      </w:hyperlink>
      <w:r w:rsidRPr="006130FA">
        <w:t xml:space="preserve"> for the time series of GSP.</w:t>
      </w:r>
    </w:p>
    <w:p w14:paraId="14B0C248" w14:textId="259D6086" w:rsidR="008965FF" w:rsidRDefault="008965FF" w:rsidP="008965FF">
      <w:r w:rsidRPr="00F7243E">
        <w:lastRenderedPageBreak/>
        <w:t>In 20</w:t>
      </w:r>
      <w:r>
        <w:t>19–20,</w:t>
      </w:r>
      <w:r w:rsidRPr="00F7243E">
        <w:t xml:space="preserve"> </w:t>
      </w:r>
      <w:r>
        <w:t>compared with 2018–19, the total w</w:t>
      </w:r>
      <w:r w:rsidRPr="00F7243E">
        <w:t xml:space="preserve">aste managed relative to GSP increased by </w:t>
      </w:r>
      <w:r>
        <w:t>2</w:t>
      </w:r>
      <w:r w:rsidR="004F55A5">
        <w:t>.0</w:t>
      </w:r>
      <w:r>
        <w:t> per cent</w:t>
      </w:r>
      <w:r w:rsidRPr="00F7243E">
        <w:t xml:space="preserve"> to 3</w:t>
      </w:r>
      <w:r>
        <w:t>3.9 tonnes</w:t>
      </w:r>
      <w:r w:rsidRPr="00F7243E">
        <w:t xml:space="preserve"> </w:t>
      </w:r>
      <w:r>
        <w:t>for every million</w:t>
      </w:r>
      <w:r w:rsidRPr="00F7243E">
        <w:t xml:space="preserve"> dollars of GSP</w:t>
      </w:r>
      <w:r w:rsidR="007562A6">
        <w:t>,</w:t>
      </w:r>
      <w:r>
        <w:t xml:space="preserve"> which indicates that we produced more waste relative to our state’s economic activity than in 2018–19.</w:t>
      </w:r>
    </w:p>
    <w:p w14:paraId="5C1A1228" w14:textId="5B4110B7" w:rsidR="008965FF" w:rsidRDefault="008965FF" w:rsidP="008965FF">
      <w:r>
        <w:t xml:space="preserve">With the implementation of </w:t>
      </w:r>
      <w:r w:rsidR="001A20C4" w:rsidRPr="00C12053">
        <w:rPr>
          <w:rFonts w:ascii="Arial" w:hAnsi="Arial" w:cs="Arial"/>
          <w:i/>
          <w:color w:val="auto"/>
          <w:szCs w:val="19"/>
        </w:rPr>
        <w:t xml:space="preserve">Recycling </w:t>
      </w:r>
      <w:proofErr w:type="gramStart"/>
      <w:r w:rsidR="001A20C4" w:rsidRPr="00C12053">
        <w:rPr>
          <w:rFonts w:ascii="Arial" w:hAnsi="Arial" w:cs="Arial"/>
          <w:i/>
          <w:color w:val="auto"/>
          <w:szCs w:val="19"/>
        </w:rPr>
        <w:t>Victoria</w:t>
      </w:r>
      <w:proofErr w:type="gramEnd"/>
      <w:r>
        <w:rPr>
          <w:i/>
          <w:iCs/>
        </w:rPr>
        <w:t xml:space="preserve"> </w:t>
      </w:r>
      <w:r>
        <w:t xml:space="preserve">it is expected that economic activity will continue with </w:t>
      </w:r>
      <w:r w:rsidR="00904140">
        <w:t xml:space="preserve">increasing efficiency of material use and </w:t>
      </w:r>
      <w:r>
        <w:t xml:space="preserve">the reduction </w:t>
      </w:r>
      <w:r w:rsidR="00904140">
        <w:t>or</w:t>
      </w:r>
      <w:r>
        <w:t xml:space="preserve"> elimination of material by-products.</w:t>
      </w:r>
    </w:p>
    <w:p w14:paraId="36C9D661" w14:textId="10B05E03" w:rsidR="008965FF" w:rsidRPr="008965FF" w:rsidRDefault="008965FF" w:rsidP="00C60B6B">
      <w:r>
        <w:t>In 2019–20, the</w:t>
      </w:r>
      <w:r w:rsidRPr="00F7243E">
        <w:t xml:space="preserve"> total waste managed</w:t>
      </w:r>
      <w:r>
        <w:t xml:space="preserve"> relative to population</w:t>
      </w:r>
      <w:r w:rsidRPr="00F7243E">
        <w:t xml:space="preserve"> increased </w:t>
      </w:r>
      <w:r>
        <w:t xml:space="preserve">by 1.9 per cent </w:t>
      </w:r>
      <w:r w:rsidRPr="00F7243E">
        <w:t>to 2.</w:t>
      </w:r>
      <w:r>
        <w:t>37 tonnes per capita, the slowest increase since 2016–17</w:t>
      </w:r>
      <w:r w:rsidR="007562A6">
        <w:t>,</w:t>
      </w:r>
      <w:r>
        <w:t xml:space="preserve"> and suggests a growing population that is more consumer conscious. </w:t>
      </w:r>
      <w:r w:rsidR="00537D33">
        <w:t xml:space="preserve">An analysis of these headline figures in relation to targets set by </w:t>
      </w:r>
      <w:r w:rsidR="001A20C4" w:rsidRPr="00C12053">
        <w:rPr>
          <w:rFonts w:ascii="Arial" w:hAnsi="Arial" w:cs="Arial"/>
          <w:i/>
          <w:color w:val="auto"/>
          <w:szCs w:val="19"/>
        </w:rPr>
        <w:t>Recycling Victoria</w:t>
      </w:r>
      <w:r w:rsidR="001A20C4">
        <w:rPr>
          <w:rFonts w:ascii="Arial" w:hAnsi="Arial" w:cs="Arial"/>
          <w:color w:val="auto"/>
          <w:szCs w:val="19"/>
        </w:rPr>
        <w:t xml:space="preserve"> </w:t>
      </w:r>
      <w:r w:rsidR="00537D33">
        <w:t xml:space="preserve">is provided in the </w:t>
      </w:r>
      <w:r w:rsidR="00537D33" w:rsidRPr="000A5FDC">
        <w:t>S</w:t>
      </w:r>
      <w:r w:rsidR="000A5FDC">
        <w:t>SR</w:t>
      </w:r>
      <w:r w:rsidR="00537D33" w:rsidRPr="000A5FDC">
        <w:t>.</w:t>
      </w:r>
    </w:p>
    <w:p w14:paraId="3C24F9BA" w14:textId="78D670D6" w:rsidR="00A403DC" w:rsidRDefault="00C60B6B" w:rsidP="00A403DC">
      <w:pPr>
        <w:pStyle w:val="Heading1Numbered"/>
      </w:pPr>
      <w:bookmarkStart w:id="110" w:name="_Ref80209574"/>
      <w:bookmarkStart w:id="111" w:name="_Toc83108379"/>
      <w:bookmarkStart w:id="112" w:name="_Ref72913820"/>
      <w:bookmarkStart w:id="113" w:name="_Ref72913827"/>
      <w:bookmarkStart w:id="114" w:name="_Toc78881402"/>
      <w:r>
        <w:t>Overall sector disposal and recovery</w:t>
      </w:r>
      <w:bookmarkEnd w:id="110"/>
      <w:bookmarkEnd w:id="111"/>
    </w:p>
    <w:p w14:paraId="07DD5D32" w14:textId="30716649" w:rsidR="00A403DC" w:rsidRDefault="007D11FD" w:rsidP="00A73696">
      <w:pPr>
        <w:pStyle w:val="casestudybox"/>
      </w:pPr>
      <w:r w:rsidRPr="00A73696">
        <w:t>»</w:t>
      </w:r>
      <w:r>
        <w:t xml:space="preserve"> </w:t>
      </w:r>
      <w:r w:rsidR="00A403DC">
        <w:t>The C&amp;D sector achieved a diversion rate of 86</w:t>
      </w:r>
      <w:r w:rsidR="00051A32">
        <w:t>.2</w:t>
      </w:r>
      <w:r w:rsidR="00A403DC">
        <w:t> per cent, followed by C&amp;I with 5</w:t>
      </w:r>
      <w:r w:rsidR="00051A32">
        <w:t>8.8</w:t>
      </w:r>
      <w:r w:rsidR="00A403DC">
        <w:t> per cent and MSW with 48</w:t>
      </w:r>
      <w:r w:rsidR="004F55A5">
        <w:t>.0</w:t>
      </w:r>
      <w:r w:rsidR="00A403DC">
        <w:t xml:space="preserve"> per cent, a </w:t>
      </w:r>
      <w:r w:rsidR="00051A32">
        <w:t>4.7</w:t>
      </w:r>
      <w:r w:rsidR="00A403DC">
        <w:t> percentage point increase on 2018–19.</w:t>
      </w:r>
    </w:p>
    <w:p w14:paraId="524D0DBF" w14:textId="168FEDCE" w:rsidR="00A403DC" w:rsidRDefault="007D11FD" w:rsidP="00A73696">
      <w:pPr>
        <w:pStyle w:val="casestudybox"/>
      </w:pPr>
      <w:r w:rsidRPr="00A73696">
        <w:t>»</w:t>
      </w:r>
      <w:r>
        <w:t xml:space="preserve"> </w:t>
      </w:r>
      <w:r w:rsidR="00A403DC">
        <w:t xml:space="preserve">The C&amp;D sector accounted for </w:t>
      </w:r>
      <w:r w:rsidR="00051A32">
        <w:t>59.7</w:t>
      </w:r>
      <w:r w:rsidR="00A403DC">
        <w:t> per cent (6.59 Mt) of the total recovered materials received for reprocessing in Victoria in 2019–20, followed by C&amp;I accounting for 25</w:t>
      </w:r>
      <w:r w:rsidR="00051A32">
        <w:t>.4</w:t>
      </w:r>
      <w:r w:rsidR="00A403DC">
        <w:t xml:space="preserve"> per cent (2.81 Mt) and MSW accounting for </w:t>
      </w:r>
      <w:r w:rsidR="00051A32">
        <w:t>14.9</w:t>
      </w:r>
      <w:r w:rsidR="00A403DC">
        <w:t> per cent (1.65 Mt).</w:t>
      </w:r>
    </w:p>
    <w:p w14:paraId="71153645" w14:textId="009367F8" w:rsidR="00A403DC" w:rsidRPr="00C23BC9" w:rsidRDefault="007D11FD" w:rsidP="00A73696">
      <w:pPr>
        <w:pStyle w:val="casestudybox"/>
      </w:pPr>
      <w:r w:rsidRPr="00A73696">
        <w:t>»</w:t>
      </w:r>
      <w:r>
        <w:t xml:space="preserve"> </w:t>
      </w:r>
      <w:r w:rsidR="00A403DC" w:rsidRPr="00C23BC9">
        <w:t xml:space="preserve">The amount of MSW waste recovered for reprocessing increased by </w:t>
      </w:r>
      <w:r w:rsidR="00051A32">
        <w:t>28.7</w:t>
      </w:r>
      <w:r w:rsidR="00A403DC">
        <w:t> </w:t>
      </w:r>
      <w:r w:rsidR="00A403DC" w:rsidRPr="00C23BC9">
        <w:t>per cent from 2018–19 to 1.65</w:t>
      </w:r>
      <w:r w:rsidR="00A403DC">
        <w:t> </w:t>
      </w:r>
      <w:r w:rsidR="00A403DC" w:rsidRPr="00C23BC9">
        <w:t>Mt.</w:t>
      </w:r>
    </w:p>
    <w:p w14:paraId="55CFE5C2" w14:textId="4E304877" w:rsidR="00A403DC" w:rsidRDefault="007D11FD" w:rsidP="00A73696">
      <w:pPr>
        <w:pStyle w:val="casestudybox"/>
      </w:pPr>
      <w:r w:rsidRPr="00A73696">
        <w:t>»</w:t>
      </w:r>
      <w:r>
        <w:t xml:space="preserve"> </w:t>
      </w:r>
      <w:r w:rsidR="00A403DC" w:rsidRPr="00E74C12">
        <w:t xml:space="preserve">The amount of C&amp;I waste recovered for reprocessing decreased by </w:t>
      </w:r>
      <w:r w:rsidR="00051A32">
        <w:t>4.7</w:t>
      </w:r>
      <w:r w:rsidR="00A403DC">
        <w:t> </w:t>
      </w:r>
      <w:r w:rsidR="00A403DC" w:rsidRPr="00E74C12">
        <w:t>per cent from 2018–19 to 2.81 Mt.</w:t>
      </w:r>
    </w:p>
    <w:p w14:paraId="44AEFAEE" w14:textId="7E1D20E9" w:rsidR="00A403DC" w:rsidRDefault="007D11FD" w:rsidP="00A73696">
      <w:pPr>
        <w:pStyle w:val="casestudybox"/>
      </w:pPr>
      <w:r w:rsidRPr="00A73696">
        <w:t>»</w:t>
      </w:r>
      <w:r>
        <w:t xml:space="preserve"> </w:t>
      </w:r>
      <w:r w:rsidR="00A403DC">
        <w:t>The COVID-19 lockdown measures are thought to be the main driver for this observed shift in the quantities of materials sourced from C&amp;I to MSW.</w:t>
      </w:r>
    </w:p>
    <w:p w14:paraId="1D5A953B" w14:textId="06FBF333" w:rsidR="009A6179" w:rsidRDefault="00C60B6B" w:rsidP="007029E2">
      <w:pPr>
        <w:spacing w:before="240"/>
      </w:pPr>
      <w:r w:rsidRPr="004B3C61">
        <w:t xml:space="preserve">In </w:t>
      </w:r>
      <w:r>
        <w:t>2019–20</w:t>
      </w:r>
      <w:r w:rsidRPr="004B3C61">
        <w:t xml:space="preserve">, a total of </w:t>
      </w:r>
      <w:r w:rsidR="009A6179">
        <w:t>7.66</w:t>
      </w:r>
      <w:r>
        <w:t> Mt</w:t>
      </w:r>
      <w:r w:rsidRPr="004B3C61">
        <w:t xml:space="preserve"> of waste was managed in</w:t>
      </w:r>
      <w:r>
        <w:t xml:space="preserve"> </w:t>
      </w:r>
      <w:r w:rsidR="00151F5B">
        <w:t xml:space="preserve">the </w:t>
      </w:r>
      <w:r>
        <w:t>C&amp;D sector</w:t>
      </w:r>
      <w:r w:rsidRPr="004B3C61">
        <w:t xml:space="preserve">, an increase of </w:t>
      </w:r>
      <w:r w:rsidR="00D9699E">
        <w:t>1.4</w:t>
      </w:r>
      <w:r>
        <w:t> per cent</w:t>
      </w:r>
      <w:r w:rsidRPr="004B3C61">
        <w:t xml:space="preserve"> </w:t>
      </w:r>
      <w:r w:rsidR="00B2129B">
        <w:t>or 0.</w:t>
      </w:r>
      <w:r w:rsidR="00D9699E">
        <w:t>11</w:t>
      </w:r>
      <w:r w:rsidR="00995DE4">
        <w:t> M</w:t>
      </w:r>
      <w:r w:rsidR="00B2129B">
        <w:t xml:space="preserve">t </w:t>
      </w:r>
      <w:r w:rsidRPr="004B3C61">
        <w:t>from the previous year</w:t>
      </w:r>
      <w:r>
        <w:t xml:space="preserve"> (</w:t>
      </w:r>
      <w:r w:rsidR="009A6179">
        <w:t>7.5</w:t>
      </w:r>
      <w:r w:rsidR="00995DE4">
        <w:t>5 M</w:t>
      </w:r>
      <w:r w:rsidR="009A6179">
        <w:t>t</w:t>
      </w:r>
      <w:r>
        <w:t>)</w:t>
      </w:r>
      <w:r w:rsidR="00151F5B">
        <w:t xml:space="preserve"> (</w:t>
      </w:r>
      <w:r w:rsidR="00462D64">
        <w:fldChar w:fldCharType="begin"/>
      </w:r>
      <w:r w:rsidR="00462D64">
        <w:instrText xml:space="preserve"> REF _Ref83026223 \h </w:instrText>
      </w:r>
      <w:r w:rsidR="00462D64">
        <w:fldChar w:fldCharType="separate"/>
      </w:r>
      <w:r w:rsidR="00176C53">
        <w:t xml:space="preserve">Table </w:t>
      </w:r>
      <w:r w:rsidR="00176C53">
        <w:rPr>
          <w:noProof/>
        </w:rPr>
        <w:t>3</w:t>
      </w:r>
      <w:r w:rsidR="00462D64">
        <w:fldChar w:fldCharType="end"/>
      </w:r>
      <w:r w:rsidR="00151F5B">
        <w:t>)</w:t>
      </w:r>
      <w:r w:rsidRPr="004B3C61">
        <w:t xml:space="preserve">. Of this, the amount of waste diverted from landfill for recovery was </w:t>
      </w:r>
      <w:r w:rsidR="009A6179">
        <w:t>6.</w:t>
      </w:r>
      <w:r w:rsidR="00B2129B">
        <w:t>6</w:t>
      </w:r>
      <w:r w:rsidR="00995DE4">
        <w:t>0 M</w:t>
      </w:r>
      <w:r>
        <w:t>t</w:t>
      </w:r>
      <w:r w:rsidR="00B2129B">
        <w:t xml:space="preserve"> </w:t>
      </w:r>
      <w:r w:rsidRPr="004B3C61">
        <w:t xml:space="preserve">and the amount sent to landfill was </w:t>
      </w:r>
      <w:r w:rsidR="009A6179">
        <w:t>1.0</w:t>
      </w:r>
      <w:r w:rsidR="00B2129B">
        <w:t>6</w:t>
      </w:r>
      <w:r>
        <w:t> Mt.</w:t>
      </w:r>
    </w:p>
    <w:p w14:paraId="3059D8C3" w14:textId="62D9FD92" w:rsidR="00C60B6B" w:rsidRDefault="00C60B6B" w:rsidP="00C60B6B">
      <w:r>
        <w:t>In MSW, a total of</w:t>
      </w:r>
      <w:r w:rsidR="009A6179">
        <w:t xml:space="preserve"> </w:t>
      </w:r>
      <w:r w:rsidR="00B2129B">
        <w:t>3.4</w:t>
      </w:r>
      <w:r w:rsidR="00995DE4">
        <w:t>4 M</w:t>
      </w:r>
      <w:r>
        <w:t xml:space="preserve">t of waste was managed, an increase of </w:t>
      </w:r>
      <w:r w:rsidR="00051A32">
        <w:t>16.1</w:t>
      </w:r>
      <w:r w:rsidR="00995DE4">
        <w:t> p</w:t>
      </w:r>
      <w:r>
        <w:t>er cent from the previous year (</w:t>
      </w:r>
      <w:r w:rsidR="00B2129B">
        <w:t>2.9</w:t>
      </w:r>
      <w:r w:rsidR="00995DE4">
        <w:t>6 M</w:t>
      </w:r>
      <w:r w:rsidR="009A6179">
        <w:t>t</w:t>
      </w:r>
      <w:r>
        <w:t xml:space="preserve">). Of this, the amount of waste diverted from landfill for recovery was </w:t>
      </w:r>
      <w:r w:rsidR="00B2129B">
        <w:t>1.6</w:t>
      </w:r>
      <w:r w:rsidR="00995DE4">
        <w:t>5 M</w:t>
      </w:r>
      <w:r>
        <w:t>t</w:t>
      </w:r>
      <w:r w:rsidR="0048005F">
        <w:t xml:space="preserve">, </w:t>
      </w:r>
      <w:r>
        <w:t xml:space="preserve">and the amount sent to landfill was </w:t>
      </w:r>
      <w:r w:rsidR="00B2129B">
        <w:t>1.7</w:t>
      </w:r>
      <w:r w:rsidR="00D9699E">
        <w:t>9</w:t>
      </w:r>
      <w:r w:rsidR="00995DE4">
        <w:t> M</w:t>
      </w:r>
      <w:r>
        <w:t>t</w:t>
      </w:r>
      <w:r w:rsidR="00D475D7">
        <w:t>.</w:t>
      </w:r>
    </w:p>
    <w:p w14:paraId="6D69EA3D" w14:textId="0CA37B84" w:rsidR="00336A37" w:rsidRDefault="00336A37" w:rsidP="00C60B6B">
      <w:r>
        <w:t>In C&amp;I, a total of 4.</w:t>
      </w:r>
      <w:r w:rsidR="005441C5">
        <w:t>77</w:t>
      </w:r>
      <w:r w:rsidR="00995DE4">
        <w:t> M</w:t>
      </w:r>
      <w:r>
        <w:t xml:space="preserve">t of waste was managed, a decrease of </w:t>
      </w:r>
      <w:r w:rsidR="00995DE4">
        <w:t>1</w:t>
      </w:r>
      <w:r w:rsidR="00051A32">
        <w:t>.1</w:t>
      </w:r>
      <w:r w:rsidR="00995DE4">
        <w:t> p</w:t>
      </w:r>
      <w:r>
        <w:t>er cent from the previous year (4.8</w:t>
      </w:r>
      <w:r w:rsidR="00995DE4">
        <w:t>2 M</w:t>
      </w:r>
      <w:r>
        <w:t>t). Of this, the amount of waste diverted from landfill for recovery was 2.8</w:t>
      </w:r>
      <w:r w:rsidR="00995DE4">
        <w:t>1 M</w:t>
      </w:r>
      <w:r>
        <w:t>t</w:t>
      </w:r>
      <w:r w:rsidR="008965FF">
        <w:t xml:space="preserve"> </w:t>
      </w:r>
      <w:r>
        <w:t>and the amount sent to landfill was 1.9</w:t>
      </w:r>
      <w:r w:rsidR="00995DE4">
        <w:t>6 M</w:t>
      </w:r>
      <w:r>
        <w:t>t</w:t>
      </w:r>
      <w:r w:rsidR="008965FF">
        <w:t>.</w:t>
      </w:r>
    </w:p>
    <w:p w14:paraId="01DD7BEC" w14:textId="07624E29" w:rsidR="00C60B6B" w:rsidRDefault="00336A37" w:rsidP="00C60B6B">
      <w:r>
        <w:t>Given this, t</w:t>
      </w:r>
      <w:r w:rsidR="00C60B6B">
        <w:t>he diversion rate in MSW (48</w:t>
      </w:r>
      <w:r w:rsidR="00596C47">
        <w:t>.0</w:t>
      </w:r>
      <w:r w:rsidR="00C60B6B">
        <w:t xml:space="preserve"> per cent) increased by </w:t>
      </w:r>
      <w:r w:rsidR="00051A32">
        <w:t>4.7</w:t>
      </w:r>
      <w:r w:rsidR="00C60B6B">
        <w:t> percentage points in 2019–20 compared with 2018–19; however, the diversion rates for C&amp;I (5</w:t>
      </w:r>
      <w:r w:rsidR="00596C47">
        <w:t>8.8</w:t>
      </w:r>
      <w:r w:rsidR="00C60B6B">
        <w:t> per cent) and C&amp;D (86</w:t>
      </w:r>
      <w:r w:rsidR="00596C47">
        <w:t>.2</w:t>
      </w:r>
      <w:r w:rsidR="00C60B6B">
        <w:t> per cent) decreased by 2</w:t>
      </w:r>
      <w:r w:rsidR="00051A32">
        <w:t>.</w:t>
      </w:r>
      <w:r w:rsidR="00D9699E">
        <w:t>2</w:t>
      </w:r>
      <w:r w:rsidR="00C60B6B">
        <w:t xml:space="preserve"> percentage points and </w:t>
      </w:r>
      <w:r w:rsidR="00051A32">
        <w:t>0.4</w:t>
      </w:r>
      <w:r w:rsidR="00C60B6B">
        <w:t> percentage point respectively.</w:t>
      </w:r>
    </w:p>
    <w:p w14:paraId="615D332A" w14:textId="4F80BBE8" w:rsidR="00D9699E" w:rsidRDefault="00D9699E" w:rsidP="00C60B6B"/>
    <w:p w14:paraId="18B59178" w14:textId="089A6870" w:rsidR="00D9699E" w:rsidRDefault="00D9699E" w:rsidP="00C60B6B"/>
    <w:p w14:paraId="26A53AE0" w14:textId="2BD060F8" w:rsidR="00D9699E" w:rsidRDefault="00D9699E" w:rsidP="00C60B6B"/>
    <w:p w14:paraId="7424C968" w14:textId="424F8747" w:rsidR="00D9699E" w:rsidRDefault="00D9699E" w:rsidP="00C60B6B"/>
    <w:p w14:paraId="0005893C" w14:textId="6F6E7F7C" w:rsidR="00D9699E" w:rsidRDefault="00D9699E" w:rsidP="00C60B6B"/>
    <w:p w14:paraId="7D1DBD31" w14:textId="77777777" w:rsidR="00D9699E" w:rsidRDefault="00D9699E" w:rsidP="00C60B6B"/>
    <w:p w14:paraId="55557519" w14:textId="7FBF172B" w:rsidR="0024552F" w:rsidRDefault="0024552F" w:rsidP="0024552F">
      <w:pPr>
        <w:pStyle w:val="FigureCaption"/>
      </w:pPr>
      <w:bookmarkStart w:id="115" w:name="_Ref83026223"/>
      <w:r>
        <w:lastRenderedPageBreak/>
        <w:t xml:space="preserve">Table </w:t>
      </w:r>
      <w:r w:rsidR="0085736C">
        <w:fldChar w:fldCharType="begin"/>
      </w:r>
      <w:r w:rsidR="0085736C">
        <w:instrText xml:space="preserve"> SEQ Table \* ARABIC </w:instrText>
      </w:r>
      <w:r w:rsidR="0085736C">
        <w:fldChar w:fldCharType="separate"/>
      </w:r>
      <w:r w:rsidR="00176C53">
        <w:rPr>
          <w:noProof/>
        </w:rPr>
        <w:t>3</w:t>
      </w:r>
      <w:r w:rsidR="0085736C">
        <w:rPr>
          <w:noProof/>
        </w:rPr>
        <w:fldChar w:fldCharType="end"/>
      </w:r>
      <w:bookmarkEnd w:id="115"/>
      <w:r>
        <w:t>: Tonnages</w:t>
      </w:r>
      <w:r w:rsidRPr="008A4558">
        <w:t xml:space="preserve"> (</w:t>
      </w:r>
      <w:r>
        <w:rPr>
          <w:rFonts w:ascii="Arial" w:hAnsi="Arial" w:cs="Arial"/>
        </w:rPr>
        <w:t>Mt</w:t>
      </w:r>
      <w:r w:rsidRPr="008A4558">
        <w:t>)</w:t>
      </w:r>
      <w:r>
        <w:t xml:space="preserve"> </w:t>
      </w:r>
      <w:r w:rsidRPr="008A4558">
        <w:t xml:space="preserve">disposed </w:t>
      </w:r>
      <w:r>
        <w:t xml:space="preserve">of </w:t>
      </w:r>
      <w:r w:rsidRPr="008A4558">
        <w:t xml:space="preserve">and received for reprocessing (including diversion rate) by source sector in Victoria, </w:t>
      </w:r>
      <w:r>
        <w:t>2018–19</w:t>
      </w:r>
      <w:r w:rsidRPr="008A4558">
        <w:t>*</w:t>
      </w:r>
      <w:r>
        <w:t xml:space="preserve"> and 2019–20</w:t>
      </w:r>
    </w:p>
    <w:tbl>
      <w:tblPr>
        <w:tblStyle w:val="SVTable"/>
        <w:tblW w:w="5201" w:type="pct"/>
        <w:tblLayout w:type="fixed"/>
        <w:tblLook w:val="04E0" w:firstRow="1" w:lastRow="1" w:firstColumn="1" w:lastColumn="0" w:noHBand="0" w:noVBand="1"/>
      </w:tblPr>
      <w:tblGrid>
        <w:gridCol w:w="1133"/>
        <w:gridCol w:w="847"/>
        <w:gridCol w:w="847"/>
        <w:gridCol w:w="6"/>
        <w:gridCol w:w="855"/>
        <w:gridCol w:w="848"/>
        <w:gridCol w:w="6"/>
        <w:gridCol w:w="847"/>
        <w:gridCol w:w="848"/>
        <w:gridCol w:w="6"/>
        <w:gridCol w:w="858"/>
        <w:gridCol w:w="978"/>
      </w:tblGrid>
      <w:tr w:rsidR="001C4019" w:rsidRPr="008A4558" w14:paraId="136A4982" w14:textId="77777777" w:rsidTr="00667ED7">
        <w:trPr>
          <w:cnfStyle w:val="100000000000" w:firstRow="1" w:lastRow="0" w:firstColumn="0" w:lastColumn="0" w:oddVBand="0" w:evenVBand="0" w:oddHBand="0" w:evenHBand="0" w:firstRowFirstColumn="0" w:firstRowLastColumn="0" w:lastRowFirstColumn="0" w:lastRowLastColumn="0"/>
        </w:trPr>
        <w:tc>
          <w:tcPr>
            <w:tcW w:w="702" w:type="pct"/>
            <w:vMerge w:val="restart"/>
            <w:tcBorders>
              <w:right w:val="single" w:sz="2" w:space="0" w:color="B3DB8D" w:themeColor="background1" w:themeTint="99"/>
            </w:tcBorders>
            <w:vAlign w:val="center"/>
          </w:tcPr>
          <w:p w14:paraId="50579576" w14:textId="77777777" w:rsidR="001C4019" w:rsidRPr="00B57871" w:rsidRDefault="001C4019" w:rsidP="00667ED7">
            <w:pPr>
              <w:spacing w:before="80" w:after="80" w:line="220" w:lineRule="atLeast"/>
              <w:rPr>
                <w:rFonts w:ascii="Arial" w:hAnsi="Arial"/>
                <w:color w:val="auto"/>
                <w:sz w:val="17"/>
                <w:szCs w:val="17"/>
              </w:rPr>
            </w:pPr>
            <w:r w:rsidRPr="00B57871">
              <w:rPr>
                <w:rFonts w:ascii="Arial" w:hAnsi="Arial"/>
                <w:color w:val="auto"/>
                <w:sz w:val="17"/>
                <w:szCs w:val="17"/>
              </w:rPr>
              <w:t xml:space="preserve">Financial year </w:t>
            </w:r>
          </w:p>
        </w:tc>
        <w:tc>
          <w:tcPr>
            <w:tcW w:w="1053" w:type="pct"/>
            <w:gridSpan w:val="3"/>
            <w:tcBorders>
              <w:top w:val="single" w:sz="2" w:space="0" w:color="82C341" w:themeColor="background1"/>
              <w:left w:val="single" w:sz="2" w:space="0" w:color="B3DB8D" w:themeColor="background1" w:themeTint="99"/>
              <w:bottom w:val="single" w:sz="4" w:space="0" w:color="82C341" w:themeColor="background1"/>
              <w:right w:val="single" w:sz="2" w:space="0" w:color="B3DB8D" w:themeColor="background1" w:themeTint="99"/>
            </w:tcBorders>
            <w:vAlign w:val="center"/>
          </w:tcPr>
          <w:p w14:paraId="4B0DB5B2" w14:textId="77777777" w:rsidR="001C4019" w:rsidRPr="00B57871" w:rsidRDefault="001C4019" w:rsidP="00667ED7">
            <w:pPr>
              <w:spacing w:before="80" w:after="0" w:line="240" w:lineRule="auto"/>
              <w:jc w:val="center"/>
              <w:rPr>
                <w:rFonts w:ascii="Arial" w:hAnsi="Arial"/>
                <w:color w:val="auto"/>
                <w:sz w:val="17"/>
                <w:szCs w:val="17"/>
              </w:rPr>
            </w:pPr>
            <w:r w:rsidRPr="00B57871">
              <w:rPr>
                <w:rFonts w:ascii="Arial" w:hAnsi="Arial"/>
                <w:color w:val="auto"/>
                <w:sz w:val="17"/>
                <w:szCs w:val="17"/>
              </w:rPr>
              <w:t>Municipal</w:t>
            </w:r>
            <w:r w:rsidRPr="00B57871">
              <w:rPr>
                <w:rFonts w:ascii="Arial" w:hAnsi="Arial" w:cs="Arial"/>
                <w:color w:val="auto"/>
                <w:sz w:val="17"/>
                <w:szCs w:val="17"/>
                <w:vertAlign w:val="superscript"/>
              </w:rPr>
              <w:t>†</w:t>
            </w:r>
          </w:p>
        </w:tc>
        <w:tc>
          <w:tcPr>
            <w:tcW w:w="1058" w:type="pct"/>
            <w:gridSpan w:val="3"/>
            <w:tcBorders>
              <w:top w:val="single" w:sz="2" w:space="0" w:color="82C341" w:themeColor="background1"/>
              <w:left w:val="single" w:sz="2" w:space="0" w:color="B3DB8D" w:themeColor="background1" w:themeTint="99"/>
              <w:bottom w:val="single" w:sz="4" w:space="0" w:color="82C341" w:themeColor="background1"/>
              <w:right w:val="single" w:sz="2" w:space="0" w:color="B3DB8D" w:themeColor="background1" w:themeTint="99"/>
            </w:tcBorders>
            <w:vAlign w:val="center"/>
          </w:tcPr>
          <w:p w14:paraId="680041BB" w14:textId="77777777" w:rsidR="001C4019" w:rsidRPr="00B57871" w:rsidRDefault="001C4019" w:rsidP="00667ED7">
            <w:pPr>
              <w:spacing w:before="80" w:after="0" w:line="220" w:lineRule="atLeast"/>
              <w:jc w:val="center"/>
              <w:rPr>
                <w:rFonts w:ascii="Arial" w:hAnsi="Arial"/>
                <w:color w:val="auto"/>
                <w:sz w:val="17"/>
                <w:szCs w:val="17"/>
              </w:rPr>
            </w:pPr>
            <w:r w:rsidRPr="00B57871">
              <w:rPr>
                <w:rFonts w:ascii="Arial" w:hAnsi="Arial"/>
                <w:color w:val="auto"/>
                <w:sz w:val="17"/>
                <w:szCs w:val="17"/>
              </w:rPr>
              <w:t>C&amp;I</w:t>
            </w:r>
          </w:p>
        </w:tc>
        <w:tc>
          <w:tcPr>
            <w:tcW w:w="1051" w:type="pct"/>
            <w:gridSpan w:val="3"/>
            <w:tcBorders>
              <w:top w:val="single" w:sz="2" w:space="0" w:color="82C341" w:themeColor="background1"/>
              <w:left w:val="single" w:sz="2" w:space="0" w:color="B3DB8D" w:themeColor="background1" w:themeTint="99"/>
              <w:bottom w:val="single" w:sz="4" w:space="0" w:color="82C341" w:themeColor="background1"/>
              <w:right w:val="single" w:sz="2" w:space="0" w:color="B3DB8D" w:themeColor="background1" w:themeTint="99"/>
            </w:tcBorders>
            <w:vAlign w:val="center"/>
          </w:tcPr>
          <w:p w14:paraId="6CE69B7E" w14:textId="77777777" w:rsidR="001C4019" w:rsidRPr="00B57871" w:rsidRDefault="001C4019" w:rsidP="00667ED7">
            <w:pPr>
              <w:spacing w:before="80" w:after="0" w:line="220" w:lineRule="atLeast"/>
              <w:jc w:val="center"/>
              <w:rPr>
                <w:rFonts w:ascii="Arial" w:hAnsi="Arial"/>
                <w:color w:val="auto"/>
                <w:sz w:val="17"/>
                <w:szCs w:val="17"/>
              </w:rPr>
            </w:pPr>
            <w:r w:rsidRPr="00B57871">
              <w:rPr>
                <w:rFonts w:ascii="Arial" w:hAnsi="Arial"/>
                <w:color w:val="auto"/>
                <w:sz w:val="17"/>
                <w:szCs w:val="17"/>
              </w:rPr>
              <w:t>C&amp;D</w:t>
            </w:r>
          </w:p>
        </w:tc>
        <w:tc>
          <w:tcPr>
            <w:tcW w:w="1135" w:type="pct"/>
            <w:gridSpan w:val="2"/>
            <w:tcBorders>
              <w:left w:val="single" w:sz="2" w:space="0" w:color="B3DB8D" w:themeColor="background1" w:themeTint="99"/>
            </w:tcBorders>
            <w:vAlign w:val="center"/>
          </w:tcPr>
          <w:p w14:paraId="65E81493" w14:textId="77777777" w:rsidR="001C4019" w:rsidRPr="00B57871" w:rsidRDefault="001C4019" w:rsidP="00667ED7">
            <w:pPr>
              <w:spacing w:before="80" w:after="0" w:line="220" w:lineRule="atLeast"/>
              <w:jc w:val="center"/>
              <w:rPr>
                <w:rFonts w:ascii="Arial" w:hAnsi="Arial"/>
                <w:color w:val="auto"/>
                <w:sz w:val="17"/>
                <w:szCs w:val="17"/>
              </w:rPr>
            </w:pPr>
            <w:r w:rsidRPr="00B57871">
              <w:rPr>
                <w:rFonts w:ascii="Arial" w:hAnsi="Arial"/>
                <w:color w:val="auto"/>
                <w:sz w:val="17"/>
                <w:szCs w:val="17"/>
              </w:rPr>
              <w:t>Total</w:t>
            </w:r>
          </w:p>
        </w:tc>
      </w:tr>
      <w:tr w:rsidR="001C4019" w:rsidRPr="00C55487" w14:paraId="2EF56239" w14:textId="77777777" w:rsidTr="00667ED7">
        <w:tc>
          <w:tcPr>
            <w:tcW w:w="702" w:type="pct"/>
            <w:vMerge/>
            <w:tcBorders>
              <w:right w:val="single" w:sz="2" w:space="0" w:color="B3DB8D" w:themeColor="background1" w:themeTint="99"/>
            </w:tcBorders>
            <w:shd w:val="clear" w:color="auto" w:fill="82C341" w:themeFill="background1"/>
            <w:vAlign w:val="center"/>
          </w:tcPr>
          <w:p w14:paraId="6F92CE99" w14:textId="77777777" w:rsidR="001C4019" w:rsidRPr="00B57871" w:rsidRDefault="001C4019" w:rsidP="00667ED7">
            <w:pPr>
              <w:spacing w:before="80" w:after="80" w:line="220" w:lineRule="atLeast"/>
              <w:rPr>
                <w:rFonts w:ascii="Arial" w:hAnsi="Arial"/>
                <w:color w:val="auto"/>
                <w:sz w:val="17"/>
                <w:szCs w:val="17"/>
              </w:rPr>
            </w:pPr>
          </w:p>
        </w:tc>
        <w:tc>
          <w:tcPr>
            <w:tcW w:w="525" w:type="pct"/>
            <w:tcBorders>
              <w:top w:val="single" w:sz="4" w:space="0" w:color="82C341" w:themeColor="background1"/>
              <w:left w:val="single" w:sz="2" w:space="0" w:color="B3DB8D" w:themeColor="background1" w:themeTint="99"/>
              <w:bottom w:val="single" w:sz="4" w:space="0" w:color="82C341" w:themeColor="background1"/>
            </w:tcBorders>
            <w:shd w:val="clear" w:color="auto" w:fill="82C341" w:themeFill="background1"/>
            <w:vAlign w:val="center"/>
          </w:tcPr>
          <w:p w14:paraId="6E0CC3A2" w14:textId="77777777" w:rsidR="001C4019" w:rsidRPr="00B57871" w:rsidRDefault="001C4019" w:rsidP="00667ED7">
            <w:pPr>
              <w:spacing w:after="80" w:line="220" w:lineRule="atLeast"/>
              <w:jc w:val="right"/>
              <w:rPr>
                <w:rFonts w:ascii="Arial" w:hAnsi="Arial"/>
                <w:color w:val="auto"/>
                <w:sz w:val="17"/>
                <w:szCs w:val="17"/>
              </w:rPr>
            </w:pPr>
            <w:r w:rsidRPr="00B57871">
              <w:rPr>
                <w:rFonts w:ascii="Arial" w:hAnsi="Arial"/>
                <w:color w:val="auto"/>
                <w:sz w:val="17"/>
                <w:szCs w:val="17"/>
              </w:rPr>
              <w:t>Disp.</w:t>
            </w:r>
          </w:p>
        </w:tc>
        <w:tc>
          <w:tcPr>
            <w:tcW w:w="525" w:type="pct"/>
            <w:tcBorders>
              <w:top w:val="single" w:sz="4" w:space="0" w:color="82C341" w:themeColor="background1"/>
              <w:bottom w:val="single" w:sz="4" w:space="0" w:color="82C341" w:themeColor="background1"/>
              <w:right w:val="single" w:sz="2" w:space="0" w:color="B3DB8D" w:themeColor="background1" w:themeTint="99"/>
            </w:tcBorders>
            <w:shd w:val="clear" w:color="auto" w:fill="82C341" w:themeFill="background1"/>
            <w:vAlign w:val="center"/>
          </w:tcPr>
          <w:p w14:paraId="7ABA0806" w14:textId="77777777" w:rsidR="001C4019" w:rsidRPr="00B57871" w:rsidRDefault="001C4019" w:rsidP="00667ED7">
            <w:pPr>
              <w:spacing w:after="80" w:line="220" w:lineRule="atLeast"/>
              <w:jc w:val="right"/>
              <w:rPr>
                <w:rFonts w:ascii="Arial" w:hAnsi="Arial"/>
                <w:color w:val="auto"/>
                <w:sz w:val="17"/>
                <w:szCs w:val="17"/>
              </w:rPr>
            </w:pPr>
            <w:r w:rsidRPr="00B57871">
              <w:rPr>
                <w:rFonts w:ascii="Arial" w:hAnsi="Arial"/>
                <w:color w:val="auto"/>
                <w:sz w:val="17"/>
                <w:szCs w:val="17"/>
              </w:rPr>
              <w:t>Rec.</w:t>
            </w:r>
          </w:p>
        </w:tc>
        <w:tc>
          <w:tcPr>
            <w:tcW w:w="533" w:type="pct"/>
            <w:gridSpan w:val="2"/>
            <w:tcBorders>
              <w:top w:val="single" w:sz="4" w:space="0" w:color="82C341" w:themeColor="background1"/>
              <w:left w:val="single" w:sz="2" w:space="0" w:color="B3DB8D" w:themeColor="background1" w:themeTint="99"/>
              <w:bottom w:val="single" w:sz="4" w:space="0" w:color="82C341" w:themeColor="background1"/>
            </w:tcBorders>
            <w:shd w:val="clear" w:color="auto" w:fill="82C341" w:themeFill="background1"/>
            <w:vAlign w:val="center"/>
          </w:tcPr>
          <w:p w14:paraId="4DD2B6DB" w14:textId="77777777" w:rsidR="001C4019" w:rsidRPr="00B57871" w:rsidRDefault="001C4019" w:rsidP="00667ED7">
            <w:pPr>
              <w:spacing w:after="80" w:line="220" w:lineRule="atLeast"/>
              <w:jc w:val="right"/>
              <w:rPr>
                <w:rFonts w:ascii="Arial" w:hAnsi="Arial"/>
                <w:color w:val="auto"/>
                <w:sz w:val="17"/>
                <w:szCs w:val="17"/>
              </w:rPr>
            </w:pPr>
            <w:r w:rsidRPr="00B57871">
              <w:rPr>
                <w:rFonts w:ascii="Arial" w:hAnsi="Arial"/>
                <w:color w:val="auto"/>
                <w:sz w:val="17"/>
                <w:szCs w:val="17"/>
              </w:rPr>
              <w:t>Disp.</w:t>
            </w:r>
          </w:p>
        </w:tc>
        <w:tc>
          <w:tcPr>
            <w:tcW w:w="525" w:type="pct"/>
            <w:tcBorders>
              <w:top w:val="single" w:sz="4" w:space="0" w:color="82C341" w:themeColor="background1"/>
              <w:bottom w:val="single" w:sz="4" w:space="0" w:color="82C341" w:themeColor="background1"/>
              <w:right w:val="single" w:sz="2" w:space="0" w:color="B3DB8D" w:themeColor="background1" w:themeTint="99"/>
            </w:tcBorders>
            <w:shd w:val="clear" w:color="auto" w:fill="82C341" w:themeFill="background1"/>
            <w:vAlign w:val="center"/>
          </w:tcPr>
          <w:p w14:paraId="27BDBFF5" w14:textId="77777777" w:rsidR="001C4019" w:rsidRPr="00B57871" w:rsidRDefault="001C4019" w:rsidP="00667ED7">
            <w:pPr>
              <w:spacing w:after="80" w:line="220" w:lineRule="atLeast"/>
              <w:jc w:val="right"/>
              <w:rPr>
                <w:rFonts w:ascii="Arial" w:hAnsi="Arial"/>
                <w:color w:val="auto"/>
                <w:sz w:val="17"/>
                <w:szCs w:val="17"/>
              </w:rPr>
            </w:pPr>
            <w:r w:rsidRPr="00B57871">
              <w:rPr>
                <w:rFonts w:ascii="Arial" w:hAnsi="Arial"/>
                <w:color w:val="auto"/>
                <w:sz w:val="17"/>
                <w:szCs w:val="17"/>
              </w:rPr>
              <w:t>Rec.</w:t>
            </w:r>
          </w:p>
        </w:tc>
        <w:tc>
          <w:tcPr>
            <w:tcW w:w="527" w:type="pct"/>
            <w:gridSpan w:val="2"/>
            <w:tcBorders>
              <w:top w:val="single" w:sz="4" w:space="0" w:color="82C341" w:themeColor="background1"/>
              <w:left w:val="single" w:sz="2" w:space="0" w:color="B3DB8D" w:themeColor="background1" w:themeTint="99"/>
              <w:bottom w:val="single" w:sz="4" w:space="0" w:color="82C341" w:themeColor="background1"/>
            </w:tcBorders>
            <w:shd w:val="clear" w:color="auto" w:fill="82C341" w:themeFill="background1"/>
            <w:vAlign w:val="center"/>
          </w:tcPr>
          <w:p w14:paraId="3579F006" w14:textId="77777777" w:rsidR="001C4019" w:rsidRPr="00B57871" w:rsidRDefault="001C4019" w:rsidP="00667ED7">
            <w:pPr>
              <w:spacing w:after="80" w:line="220" w:lineRule="atLeast"/>
              <w:jc w:val="right"/>
              <w:rPr>
                <w:rFonts w:ascii="Arial" w:hAnsi="Arial"/>
                <w:color w:val="auto"/>
                <w:sz w:val="17"/>
                <w:szCs w:val="17"/>
              </w:rPr>
            </w:pPr>
            <w:r w:rsidRPr="00B57871">
              <w:rPr>
                <w:rFonts w:ascii="Arial" w:hAnsi="Arial"/>
                <w:color w:val="auto"/>
                <w:sz w:val="17"/>
                <w:szCs w:val="17"/>
              </w:rPr>
              <w:t>Disp.</w:t>
            </w:r>
          </w:p>
        </w:tc>
        <w:tc>
          <w:tcPr>
            <w:tcW w:w="525" w:type="pct"/>
            <w:tcBorders>
              <w:top w:val="single" w:sz="4" w:space="0" w:color="82C341" w:themeColor="background1"/>
              <w:bottom w:val="single" w:sz="4" w:space="0" w:color="82C341" w:themeColor="background1"/>
              <w:right w:val="single" w:sz="2" w:space="0" w:color="B3DB8D" w:themeColor="background1" w:themeTint="99"/>
            </w:tcBorders>
            <w:shd w:val="clear" w:color="auto" w:fill="82C341" w:themeFill="background1"/>
            <w:vAlign w:val="center"/>
          </w:tcPr>
          <w:p w14:paraId="21F9DDBD" w14:textId="77777777" w:rsidR="001C4019" w:rsidRPr="00B57871" w:rsidRDefault="001C4019" w:rsidP="00667ED7">
            <w:pPr>
              <w:spacing w:after="80" w:line="220" w:lineRule="atLeast"/>
              <w:jc w:val="right"/>
              <w:rPr>
                <w:rFonts w:ascii="Arial" w:hAnsi="Arial"/>
                <w:color w:val="auto"/>
                <w:sz w:val="17"/>
                <w:szCs w:val="17"/>
              </w:rPr>
            </w:pPr>
            <w:r w:rsidRPr="00B57871">
              <w:rPr>
                <w:rFonts w:ascii="Arial" w:hAnsi="Arial"/>
                <w:color w:val="auto"/>
                <w:sz w:val="17"/>
                <w:szCs w:val="17"/>
              </w:rPr>
              <w:t>Rec.</w:t>
            </w:r>
          </w:p>
        </w:tc>
        <w:tc>
          <w:tcPr>
            <w:tcW w:w="533" w:type="pct"/>
            <w:gridSpan w:val="2"/>
            <w:tcBorders>
              <w:left w:val="single" w:sz="2" w:space="0" w:color="B3DB8D" w:themeColor="background1" w:themeTint="99"/>
            </w:tcBorders>
            <w:shd w:val="clear" w:color="auto" w:fill="82C341" w:themeFill="background1"/>
            <w:vAlign w:val="center"/>
          </w:tcPr>
          <w:p w14:paraId="09BC610C" w14:textId="77777777" w:rsidR="001C4019" w:rsidRPr="00B57871" w:rsidRDefault="001C4019" w:rsidP="00667ED7">
            <w:pPr>
              <w:spacing w:after="80" w:line="220" w:lineRule="atLeast"/>
              <w:jc w:val="right"/>
              <w:rPr>
                <w:rFonts w:ascii="Arial" w:hAnsi="Arial"/>
                <w:color w:val="auto"/>
                <w:sz w:val="17"/>
                <w:szCs w:val="17"/>
              </w:rPr>
            </w:pPr>
            <w:r w:rsidRPr="00B57871">
              <w:rPr>
                <w:rFonts w:ascii="Arial" w:hAnsi="Arial"/>
                <w:color w:val="auto"/>
                <w:sz w:val="17"/>
                <w:szCs w:val="17"/>
              </w:rPr>
              <w:t>Disp.</w:t>
            </w:r>
          </w:p>
        </w:tc>
        <w:tc>
          <w:tcPr>
            <w:tcW w:w="606" w:type="pct"/>
            <w:shd w:val="clear" w:color="auto" w:fill="82C341" w:themeFill="background1"/>
            <w:vAlign w:val="center"/>
          </w:tcPr>
          <w:p w14:paraId="1AE3C47B" w14:textId="77777777" w:rsidR="001C4019" w:rsidRPr="00B57871" w:rsidRDefault="001C4019" w:rsidP="00667ED7">
            <w:pPr>
              <w:spacing w:after="80" w:line="220" w:lineRule="atLeast"/>
              <w:jc w:val="right"/>
              <w:rPr>
                <w:rFonts w:ascii="Arial" w:hAnsi="Arial"/>
                <w:color w:val="auto"/>
                <w:sz w:val="17"/>
                <w:szCs w:val="17"/>
              </w:rPr>
            </w:pPr>
            <w:r w:rsidRPr="00B57871">
              <w:rPr>
                <w:rFonts w:ascii="Arial" w:hAnsi="Arial"/>
                <w:color w:val="auto"/>
                <w:sz w:val="17"/>
                <w:szCs w:val="17"/>
              </w:rPr>
              <w:t>Rec.</w:t>
            </w:r>
          </w:p>
        </w:tc>
      </w:tr>
      <w:tr w:rsidR="001C4019" w:rsidRPr="00360143" w14:paraId="5D208313" w14:textId="77777777" w:rsidTr="00667ED7">
        <w:tc>
          <w:tcPr>
            <w:tcW w:w="702" w:type="pct"/>
            <w:tcBorders>
              <w:top w:val="single" w:sz="4" w:space="0" w:color="82C341" w:themeColor="background1"/>
              <w:bottom w:val="single" w:sz="4" w:space="0" w:color="82C341" w:themeColor="background1"/>
              <w:right w:val="single" w:sz="2" w:space="0" w:color="82C341" w:themeColor="background1"/>
            </w:tcBorders>
            <w:shd w:val="clear" w:color="auto" w:fill="auto"/>
          </w:tcPr>
          <w:p w14:paraId="16C5FFBF" w14:textId="77777777" w:rsidR="001C4019" w:rsidRPr="001C4019" w:rsidRDefault="001C4019" w:rsidP="00667ED7">
            <w:pPr>
              <w:spacing w:before="70" w:after="70" w:line="220" w:lineRule="atLeast"/>
              <w:rPr>
                <w:rFonts w:eastAsiaTheme="minorEastAsia" w:cstheme="minorHAnsi"/>
                <w:b/>
                <w:bCs/>
                <w:color w:val="auto"/>
                <w:sz w:val="17"/>
                <w:szCs w:val="17"/>
              </w:rPr>
            </w:pPr>
            <w:r w:rsidRPr="001C4019">
              <w:rPr>
                <w:rFonts w:eastAsiaTheme="minorEastAsia" w:cstheme="minorHAnsi"/>
                <w:bCs/>
                <w:color w:val="auto"/>
                <w:sz w:val="17"/>
                <w:szCs w:val="17"/>
              </w:rPr>
              <w:t>2018–19</w:t>
            </w:r>
          </w:p>
        </w:tc>
        <w:tc>
          <w:tcPr>
            <w:tcW w:w="525" w:type="pct"/>
            <w:tcBorders>
              <w:top w:val="single" w:sz="4" w:space="0" w:color="82C341" w:themeColor="background1"/>
              <w:left w:val="single" w:sz="2" w:space="0" w:color="82C341" w:themeColor="background1"/>
              <w:bottom w:val="single" w:sz="4" w:space="0" w:color="82C341" w:themeColor="background1"/>
            </w:tcBorders>
            <w:shd w:val="clear" w:color="auto" w:fill="auto"/>
          </w:tcPr>
          <w:p w14:paraId="44F11076" w14:textId="4E89DAAA" w:rsidR="001C4019" w:rsidRPr="00D9699E" w:rsidRDefault="001C4019" w:rsidP="00667ED7">
            <w:pPr>
              <w:spacing w:before="70" w:after="70" w:line="220" w:lineRule="atLeast"/>
              <w:jc w:val="right"/>
              <w:rPr>
                <w:rFonts w:eastAsiaTheme="minorEastAsia" w:cstheme="minorHAnsi"/>
                <w:color w:val="auto"/>
                <w:sz w:val="17"/>
                <w:szCs w:val="17"/>
              </w:rPr>
            </w:pPr>
            <w:r w:rsidRPr="00D9699E">
              <w:rPr>
                <w:rFonts w:eastAsiaTheme="minorEastAsia" w:cstheme="minorHAnsi"/>
                <w:color w:val="auto"/>
                <w:sz w:val="17"/>
                <w:szCs w:val="17"/>
              </w:rPr>
              <w:t>1.68</w:t>
            </w:r>
          </w:p>
        </w:tc>
        <w:tc>
          <w:tcPr>
            <w:tcW w:w="525" w:type="pct"/>
            <w:tcBorders>
              <w:top w:val="single" w:sz="4" w:space="0" w:color="82C341" w:themeColor="background1"/>
              <w:bottom w:val="single" w:sz="4" w:space="0" w:color="82C341" w:themeColor="background1"/>
              <w:right w:val="single" w:sz="2" w:space="0" w:color="82C341" w:themeColor="background1"/>
            </w:tcBorders>
            <w:shd w:val="clear" w:color="auto" w:fill="auto"/>
          </w:tcPr>
          <w:p w14:paraId="6F11630B" w14:textId="63A4B608" w:rsidR="001C4019" w:rsidRPr="001C4019" w:rsidRDefault="001C4019" w:rsidP="00667ED7">
            <w:pPr>
              <w:spacing w:before="70" w:after="70" w:line="220" w:lineRule="atLeast"/>
              <w:jc w:val="right"/>
              <w:rPr>
                <w:rFonts w:eastAsiaTheme="minorEastAsia" w:cstheme="minorHAnsi"/>
                <w:b/>
                <w:bCs/>
                <w:color w:val="auto"/>
                <w:sz w:val="17"/>
                <w:szCs w:val="17"/>
              </w:rPr>
            </w:pPr>
            <w:r>
              <w:rPr>
                <w:rFonts w:eastAsiaTheme="minorEastAsia" w:cstheme="minorHAnsi"/>
                <w:bCs/>
                <w:color w:val="auto"/>
                <w:sz w:val="17"/>
                <w:szCs w:val="17"/>
              </w:rPr>
              <w:t>1.28</w:t>
            </w:r>
            <w:r w:rsidRPr="001C4019">
              <w:rPr>
                <w:rFonts w:eastAsiaTheme="minorEastAsia" w:cstheme="minorHAnsi"/>
                <w:bCs/>
                <w:color w:val="auto"/>
                <w:sz w:val="17"/>
                <w:szCs w:val="17"/>
              </w:rPr>
              <w:t xml:space="preserve"> (43.3%)</w:t>
            </w:r>
          </w:p>
        </w:tc>
        <w:tc>
          <w:tcPr>
            <w:tcW w:w="533" w:type="pct"/>
            <w:gridSpan w:val="2"/>
            <w:tcBorders>
              <w:top w:val="single" w:sz="4" w:space="0" w:color="82C341" w:themeColor="background1"/>
              <w:left w:val="single" w:sz="2" w:space="0" w:color="82C341" w:themeColor="background1"/>
              <w:bottom w:val="single" w:sz="4" w:space="0" w:color="82C341" w:themeColor="background1"/>
            </w:tcBorders>
            <w:shd w:val="clear" w:color="auto" w:fill="auto"/>
          </w:tcPr>
          <w:p w14:paraId="09119795" w14:textId="34EE3C4C" w:rsidR="001C4019" w:rsidRPr="001C4019" w:rsidRDefault="001C4019" w:rsidP="00667ED7">
            <w:pPr>
              <w:spacing w:before="70" w:after="70" w:line="220" w:lineRule="atLeast"/>
              <w:jc w:val="right"/>
              <w:rPr>
                <w:rFonts w:eastAsiaTheme="minorEastAsia" w:cstheme="minorHAnsi"/>
                <w:b/>
                <w:bCs/>
                <w:color w:val="auto"/>
                <w:sz w:val="17"/>
                <w:szCs w:val="17"/>
              </w:rPr>
            </w:pPr>
            <w:r>
              <w:rPr>
                <w:rFonts w:eastAsiaTheme="minorEastAsia" w:cstheme="minorHAnsi"/>
                <w:bCs/>
                <w:color w:val="auto"/>
                <w:sz w:val="17"/>
                <w:szCs w:val="17"/>
              </w:rPr>
              <w:t>1.88</w:t>
            </w:r>
          </w:p>
        </w:tc>
        <w:tc>
          <w:tcPr>
            <w:tcW w:w="525" w:type="pct"/>
            <w:tcBorders>
              <w:top w:val="single" w:sz="4" w:space="0" w:color="82C341" w:themeColor="background1"/>
              <w:bottom w:val="single" w:sz="4" w:space="0" w:color="82C341" w:themeColor="background1"/>
              <w:right w:val="single" w:sz="2" w:space="0" w:color="82C341" w:themeColor="background1"/>
            </w:tcBorders>
            <w:shd w:val="clear" w:color="auto" w:fill="auto"/>
          </w:tcPr>
          <w:p w14:paraId="02F0E8E7" w14:textId="478CD5D6" w:rsidR="001C4019" w:rsidRPr="001C4019" w:rsidRDefault="001C4019" w:rsidP="00667ED7">
            <w:pPr>
              <w:spacing w:before="70" w:after="70" w:line="220" w:lineRule="atLeast"/>
              <w:jc w:val="right"/>
              <w:rPr>
                <w:rFonts w:eastAsiaTheme="minorEastAsia" w:cstheme="minorHAnsi"/>
                <w:b/>
                <w:bCs/>
                <w:color w:val="auto"/>
                <w:sz w:val="17"/>
                <w:szCs w:val="17"/>
              </w:rPr>
            </w:pPr>
            <w:r>
              <w:rPr>
                <w:rFonts w:eastAsiaTheme="minorEastAsia" w:cstheme="minorHAnsi"/>
                <w:bCs/>
                <w:color w:val="auto"/>
                <w:sz w:val="17"/>
                <w:szCs w:val="17"/>
              </w:rPr>
              <w:t>2.94</w:t>
            </w:r>
            <w:r w:rsidRPr="001C4019">
              <w:rPr>
                <w:rFonts w:eastAsiaTheme="minorEastAsia" w:cstheme="minorHAnsi"/>
                <w:bCs/>
                <w:color w:val="auto"/>
                <w:sz w:val="17"/>
                <w:szCs w:val="17"/>
              </w:rPr>
              <w:t xml:space="preserve"> (61.1%)</w:t>
            </w:r>
          </w:p>
        </w:tc>
        <w:tc>
          <w:tcPr>
            <w:tcW w:w="527" w:type="pct"/>
            <w:gridSpan w:val="2"/>
            <w:tcBorders>
              <w:top w:val="single" w:sz="4" w:space="0" w:color="82C341" w:themeColor="background1"/>
              <w:left w:val="single" w:sz="2" w:space="0" w:color="82C341" w:themeColor="background1"/>
              <w:bottom w:val="single" w:sz="4" w:space="0" w:color="82C341" w:themeColor="background1"/>
            </w:tcBorders>
            <w:shd w:val="clear" w:color="auto" w:fill="auto"/>
          </w:tcPr>
          <w:p w14:paraId="6F239B1D" w14:textId="0B0DCC25" w:rsidR="001C4019" w:rsidRPr="001C4019" w:rsidRDefault="001C4019" w:rsidP="00667ED7">
            <w:pPr>
              <w:spacing w:before="70" w:after="70" w:line="220" w:lineRule="atLeast"/>
              <w:jc w:val="right"/>
              <w:rPr>
                <w:rFonts w:eastAsiaTheme="minorEastAsia" w:cstheme="minorHAnsi"/>
                <w:b/>
                <w:bCs/>
                <w:color w:val="auto"/>
                <w:sz w:val="17"/>
                <w:szCs w:val="17"/>
              </w:rPr>
            </w:pPr>
            <w:r>
              <w:rPr>
                <w:rFonts w:eastAsiaTheme="minorEastAsia" w:cstheme="minorHAnsi"/>
                <w:bCs/>
                <w:color w:val="auto"/>
                <w:sz w:val="17"/>
                <w:szCs w:val="17"/>
              </w:rPr>
              <w:t>1.01</w:t>
            </w:r>
          </w:p>
        </w:tc>
        <w:tc>
          <w:tcPr>
            <w:tcW w:w="525" w:type="pct"/>
            <w:tcBorders>
              <w:top w:val="single" w:sz="4" w:space="0" w:color="82C341" w:themeColor="background1"/>
              <w:bottom w:val="single" w:sz="4" w:space="0" w:color="82C341" w:themeColor="background1"/>
              <w:right w:val="single" w:sz="2" w:space="0" w:color="82C341" w:themeColor="background1"/>
            </w:tcBorders>
            <w:shd w:val="clear" w:color="auto" w:fill="auto"/>
          </w:tcPr>
          <w:p w14:paraId="4402A664" w14:textId="60518874" w:rsidR="001C4019" w:rsidRPr="001C4019" w:rsidRDefault="001C4019" w:rsidP="00667ED7">
            <w:pPr>
              <w:spacing w:before="70" w:after="70" w:line="220" w:lineRule="atLeast"/>
              <w:jc w:val="right"/>
              <w:rPr>
                <w:rFonts w:eastAsiaTheme="minorEastAsia" w:cstheme="minorHAnsi"/>
                <w:b/>
                <w:bCs/>
                <w:color w:val="auto"/>
                <w:sz w:val="17"/>
                <w:szCs w:val="17"/>
              </w:rPr>
            </w:pPr>
            <w:r>
              <w:rPr>
                <w:rFonts w:eastAsiaTheme="minorEastAsia" w:cstheme="minorHAnsi"/>
                <w:bCs/>
                <w:color w:val="auto"/>
                <w:sz w:val="17"/>
                <w:szCs w:val="17"/>
              </w:rPr>
              <w:t>6.54</w:t>
            </w:r>
            <w:r w:rsidRPr="001C4019">
              <w:rPr>
                <w:rFonts w:eastAsiaTheme="minorEastAsia" w:cstheme="minorHAnsi"/>
                <w:bCs/>
                <w:color w:val="auto"/>
                <w:sz w:val="17"/>
                <w:szCs w:val="17"/>
              </w:rPr>
              <w:t xml:space="preserve"> (86.6%)</w:t>
            </w:r>
          </w:p>
        </w:tc>
        <w:tc>
          <w:tcPr>
            <w:tcW w:w="533" w:type="pct"/>
            <w:gridSpan w:val="2"/>
            <w:tcBorders>
              <w:top w:val="single" w:sz="4" w:space="0" w:color="82C341" w:themeColor="background1"/>
              <w:left w:val="single" w:sz="2" w:space="0" w:color="82C341" w:themeColor="background1"/>
              <w:bottom w:val="single" w:sz="4" w:space="0" w:color="82C341" w:themeColor="background1"/>
            </w:tcBorders>
            <w:shd w:val="clear" w:color="auto" w:fill="auto"/>
          </w:tcPr>
          <w:p w14:paraId="34B628AA" w14:textId="67B039A1" w:rsidR="001C4019" w:rsidRPr="001C4019" w:rsidRDefault="001C4019" w:rsidP="00667ED7">
            <w:pPr>
              <w:spacing w:before="70" w:after="70" w:line="220" w:lineRule="atLeast"/>
              <w:jc w:val="right"/>
              <w:rPr>
                <w:rFonts w:eastAsiaTheme="minorEastAsia" w:cstheme="minorHAnsi"/>
                <w:b/>
                <w:bCs/>
                <w:color w:val="auto"/>
                <w:sz w:val="17"/>
                <w:szCs w:val="17"/>
              </w:rPr>
            </w:pPr>
            <w:r>
              <w:rPr>
                <w:rFonts w:eastAsiaTheme="minorEastAsia" w:cstheme="minorHAnsi"/>
                <w:bCs/>
                <w:color w:val="auto"/>
                <w:sz w:val="17"/>
                <w:szCs w:val="17"/>
              </w:rPr>
              <w:t>4.57</w:t>
            </w:r>
          </w:p>
        </w:tc>
        <w:tc>
          <w:tcPr>
            <w:tcW w:w="606" w:type="pct"/>
            <w:tcBorders>
              <w:top w:val="single" w:sz="4" w:space="0" w:color="82C341" w:themeColor="background1"/>
              <w:bottom w:val="single" w:sz="4" w:space="0" w:color="82C341" w:themeColor="background1"/>
            </w:tcBorders>
            <w:shd w:val="clear" w:color="auto" w:fill="auto"/>
          </w:tcPr>
          <w:p w14:paraId="4B42CF88" w14:textId="2E592EBB" w:rsidR="001C4019" w:rsidRPr="001C4019" w:rsidRDefault="001C4019" w:rsidP="00667ED7">
            <w:pPr>
              <w:spacing w:before="70" w:after="70" w:line="220" w:lineRule="atLeast"/>
              <w:jc w:val="right"/>
              <w:rPr>
                <w:rFonts w:eastAsiaTheme="minorEastAsia" w:cstheme="minorHAnsi"/>
                <w:b/>
                <w:bCs/>
                <w:color w:val="auto"/>
                <w:sz w:val="17"/>
                <w:szCs w:val="17"/>
              </w:rPr>
            </w:pPr>
            <w:r>
              <w:rPr>
                <w:rFonts w:eastAsiaTheme="minorEastAsia" w:cstheme="minorHAnsi"/>
                <w:bCs/>
                <w:color w:val="auto"/>
                <w:sz w:val="17"/>
                <w:szCs w:val="17"/>
              </w:rPr>
              <w:t>10.77</w:t>
            </w:r>
            <w:r w:rsidRPr="001C4019">
              <w:rPr>
                <w:rFonts w:eastAsiaTheme="minorEastAsia" w:cstheme="minorHAnsi"/>
                <w:bCs/>
                <w:color w:val="auto"/>
                <w:sz w:val="17"/>
                <w:szCs w:val="17"/>
              </w:rPr>
              <w:t xml:space="preserve"> (70.2%)</w:t>
            </w:r>
          </w:p>
        </w:tc>
      </w:tr>
      <w:tr w:rsidR="001C4019" w:rsidRPr="00BF01DB" w14:paraId="7C28596E" w14:textId="77777777" w:rsidTr="00667ED7">
        <w:trPr>
          <w:cnfStyle w:val="010000000000" w:firstRow="0" w:lastRow="1" w:firstColumn="0" w:lastColumn="0" w:oddVBand="0" w:evenVBand="0" w:oddHBand="0" w:evenHBand="0" w:firstRowFirstColumn="0" w:firstRowLastColumn="0" w:lastRowFirstColumn="0" w:lastRowLastColumn="0"/>
        </w:trPr>
        <w:tc>
          <w:tcPr>
            <w:tcW w:w="702" w:type="pct"/>
            <w:tcBorders>
              <w:top w:val="single" w:sz="4" w:space="0" w:color="82C341" w:themeColor="background1"/>
              <w:bottom w:val="single" w:sz="4" w:space="0" w:color="82C341" w:themeColor="background1"/>
              <w:right w:val="single" w:sz="2" w:space="0" w:color="82C341" w:themeColor="background1"/>
            </w:tcBorders>
            <w:shd w:val="clear" w:color="auto" w:fill="auto"/>
          </w:tcPr>
          <w:p w14:paraId="4351549B" w14:textId="77777777" w:rsidR="001C4019" w:rsidRPr="00CD15D8" w:rsidRDefault="001C4019" w:rsidP="00667ED7">
            <w:pPr>
              <w:spacing w:before="70" w:after="70" w:line="220" w:lineRule="atLeast"/>
              <w:rPr>
                <w:rFonts w:eastAsiaTheme="minorEastAsia" w:cstheme="minorHAnsi"/>
                <w:b w:val="0"/>
                <w:color w:val="auto"/>
                <w:sz w:val="16"/>
                <w:szCs w:val="16"/>
              </w:rPr>
            </w:pPr>
            <w:r w:rsidRPr="00CD15D8">
              <w:rPr>
                <w:rFonts w:eastAsiaTheme="minorEastAsia" w:cstheme="minorHAnsi"/>
                <w:b w:val="0"/>
                <w:color w:val="auto"/>
                <w:sz w:val="16"/>
                <w:szCs w:val="16"/>
              </w:rPr>
              <w:t>2019–20</w:t>
            </w:r>
          </w:p>
        </w:tc>
        <w:tc>
          <w:tcPr>
            <w:tcW w:w="525" w:type="pct"/>
            <w:tcBorders>
              <w:top w:val="single" w:sz="4" w:space="0" w:color="82C341" w:themeColor="background1"/>
              <w:left w:val="single" w:sz="2" w:space="0" w:color="82C341" w:themeColor="background1"/>
              <w:bottom w:val="single" w:sz="4" w:space="0" w:color="82C341" w:themeColor="background1"/>
            </w:tcBorders>
            <w:shd w:val="clear" w:color="auto" w:fill="auto"/>
          </w:tcPr>
          <w:p w14:paraId="22279CF2" w14:textId="05FA7FB0" w:rsidR="001C4019" w:rsidRPr="00CD15D8" w:rsidRDefault="0024552F" w:rsidP="00667ED7">
            <w:pPr>
              <w:spacing w:before="70" w:after="70" w:line="220" w:lineRule="atLeast"/>
              <w:jc w:val="right"/>
              <w:rPr>
                <w:rFonts w:eastAsiaTheme="minorEastAsia" w:cstheme="minorHAnsi"/>
                <w:b w:val="0"/>
                <w:color w:val="auto"/>
                <w:sz w:val="17"/>
                <w:szCs w:val="17"/>
              </w:rPr>
            </w:pPr>
            <w:r>
              <w:rPr>
                <w:rFonts w:eastAsiaTheme="minorEastAsia" w:cstheme="minorHAnsi"/>
                <w:b w:val="0"/>
                <w:color w:val="auto"/>
                <w:sz w:val="17"/>
                <w:szCs w:val="17"/>
              </w:rPr>
              <w:t>1.79</w:t>
            </w:r>
          </w:p>
        </w:tc>
        <w:tc>
          <w:tcPr>
            <w:tcW w:w="525" w:type="pct"/>
            <w:tcBorders>
              <w:top w:val="single" w:sz="4" w:space="0" w:color="82C341" w:themeColor="background1"/>
              <w:bottom w:val="single" w:sz="4" w:space="0" w:color="82C341" w:themeColor="background1"/>
              <w:right w:val="single" w:sz="2" w:space="0" w:color="82C341" w:themeColor="background1"/>
            </w:tcBorders>
            <w:shd w:val="clear" w:color="auto" w:fill="auto"/>
          </w:tcPr>
          <w:p w14:paraId="64BCB333" w14:textId="05FB5D80" w:rsidR="001C4019" w:rsidRPr="00CD15D8" w:rsidRDefault="0024552F" w:rsidP="00667ED7">
            <w:pPr>
              <w:spacing w:before="70" w:after="70" w:line="220" w:lineRule="atLeast"/>
              <w:jc w:val="right"/>
              <w:rPr>
                <w:rFonts w:eastAsiaTheme="minorEastAsia" w:cstheme="minorHAnsi"/>
                <w:b w:val="0"/>
                <w:color w:val="auto"/>
                <w:sz w:val="17"/>
                <w:szCs w:val="17"/>
              </w:rPr>
            </w:pPr>
            <w:r>
              <w:rPr>
                <w:rFonts w:eastAsiaTheme="minorEastAsia" w:cstheme="minorHAnsi"/>
                <w:b w:val="0"/>
                <w:color w:val="auto"/>
                <w:sz w:val="17"/>
                <w:szCs w:val="17"/>
              </w:rPr>
              <w:t>1.65</w:t>
            </w:r>
            <w:r w:rsidR="001C4019" w:rsidRPr="00CD15D8">
              <w:rPr>
                <w:rFonts w:eastAsiaTheme="minorEastAsia" w:cstheme="minorHAnsi"/>
                <w:b w:val="0"/>
                <w:color w:val="auto"/>
                <w:sz w:val="17"/>
                <w:szCs w:val="17"/>
              </w:rPr>
              <w:t xml:space="preserve"> </w:t>
            </w:r>
          </w:p>
          <w:p w14:paraId="363389B7" w14:textId="77777777" w:rsidR="001C4019" w:rsidRPr="00CD15D8" w:rsidRDefault="001C4019" w:rsidP="00667ED7">
            <w:pPr>
              <w:spacing w:before="70" w:after="70" w:line="220" w:lineRule="atLeast"/>
              <w:jc w:val="right"/>
              <w:rPr>
                <w:rFonts w:eastAsiaTheme="minorEastAsia" w:cstheme="minorHAnsi"/>
                <w:b w:val="0"/>
                <w:color w:val="auto"/>
                <w:sz w:val="17"/>
                <w:szCs w:val="17"/>
              </w:rPr>
            </w:pPr>
            <w:r w:rsidRPr="00CD15D8">
              <w:rPr>
                <w:rFonts w:eastAsiaTheme="minorEastAsia" w:cstheme="minorHAnsi"/>
                <w:b w:val="0"/>
                <w:color w:val="auto"/>
                <w:sz w:val="17"/>
                <w:szCs w:val="17"/>
              </w:rPr>
              <w:t>(48</w:t>
            </w:r>
            <w:r>
              <w:rPr>
                <w:rFonts w:eastAsiaTheme="minorEastAsia" w:cstheme="minorHAnsi"/>
                <w:b w:val="0"/>
                <w:color w:val="auto"/>
                <w:sz w:val="17"/>
                <w:szCs w:val="17"/>
              </w:rPr>
              <w:t>.0</w:t>
            </w:r>
            <w:r w:rsidRPr="00CD15D8">
              <w:rPr>
                <w:rFonts w:eastAsiaTheme="minorEastAsia" w:cstheme="minorHAnsi"/>
                <w:b w:val="0"/>
                <w:color w:val="auto"/>
                <w:sz w:val="17"/>
                <w:szCs w:val="17"/>
              </w:rPr>
              <w:t>%)</w:t>
            </w:r>
          </w:p>
        </w:tc>
        <w:tc>
          <w:tcPr>
            <w:tcW w:w="533" w:type="pct"/>
            <w:gridSpan w:val="2"/>
            <w:tcBorders>
              <w:top w:val="single" w:sz="4" w:space="0" w:color="82C341" w:themeColor="background1"/>
              <w:left w:val="single" w:sz="2" w:space="0" w:color="82C341" w:themeColor="background1"/>
              <w:bottom w:val="single" w:sz="4" w:space="0" w:color="82C341" w:themeColor="background1"/>
            </w:tcBorders>
            <w:shd w:val="clear" w:color="auto" w:fill="auto"/>
          </w:tcPr>
          <w:p w14:paraId="7236F151" w14:textId="481B2CC9" w:rsidR="001C4019" w:rsidRPr="00CD15D8" w:rsidRDefault="0024552F" w:rsidP="00667ED7">
            <w:pPr>
              <w:spacing w:before="70" w:after="70" w:line="220" w:lineRule="atLeast"/>
              <w:jc w:val="right"/>
              <w:rPr>
                <w:rFonts w:eastAsiaTheme="minorEastAsia" w:cstheme="minorHAnsi"/>
                <w:b w:val="0"/>
                <w:color w:val="auto"/>
                <w:sz w:val="17"/>
                <w:szCs w:val="17"/>
              </w:rPr>
            </w:pPr>
            <w:r>
              <w:rPr>
                <w:rFonts w:eastAsiaTheme="minorEastAsia" w:cstheme="minorHAnsi"/>
                <w:b w:val="0"/>
                <w:color w:val="auto"/>
                <w:sz w:val="17"/>
                <w:szCs w:val="17"/>
              </w:rPr>
              <w:t>1.96</w:t>
            </w:r>
          </w:p>
        </w:tc>
        <w:tc>
          <w:tcPr>
            <w:tcW w:w="525" w:type="pct"/>
            <w:tcBorders>
              <w:top w:val="single" w:sz="4" w:space="0" w:color="82C341" w:themeColor="background1"/>
              <w:bottom w:val="single" w:sz="4" w:space="0" w:color="82C341" w:themeColor="background1"/>
              <w:right w:val="single" w:sz="2" w:space="0" w:color="82C341" w:themeColor="background1"/>
            </w:tcBorders>
            <w:shd w:val="clear" w:color="auto" w:fill="auto"/>
          </w:tcPr>
          <w:p w14:paraId="40D4A756" w14:textId="5B138820" w:rsidR="001C4019" w:rsidRPr="00CD15D8" w:rsidRDefault="0024552F" w:rsidP="00667ED7">
            <w:pPr>
              <w:spacing w:before="70" w:after="70" w:line="220" w:lineRule="atLeast"/>
              <w:jc w:val="right"/>
              <w:rPr>
                <w:rFonts w:eastAsiaTheme="minorEastAsia" w:cstheme="minorHAnsi"/>
                <w:b w:val="0"/>
                <w:color w:val="auto"/>
                <w:sz w:val="17"/>
                <w:szCs w:val="17"/>
              </w:rPr>
            </w:pPr>
            <w:r>
              <w:rPr>
                <w:rFonts w:eastAsiaTheme="minorEastAsia" w:cstheme="minorHAnsi"/>
                <w:b w:val="0"/>
                <w:color w:val="auto"/>
                <w:sz w:val="17"/>
                <w:szCs w:val="17"/>
              </w:rPr>
              <w:t>2.81</w:t>
            </w:r>
            <w:r w:rsidR="001C4019" w:rsidRPr="00CD15D8">
              <w:rPr>
                <w:rFonts w:eastAsiaTheme="minorEastAsia" w:cstheme="minorHAnsi"/>
                <w:b w:val="0"/>
                <w:color w:val="auto"/>
                <w:sz w:val="17"/>
                <w:szCs w:val="17"/>
              </w:rPr>
              <w:t xml:space="preserve"> </w:t>
            </w:r>
          </w:p>
          <w:p w14:paraId="39247246" w14:textId="77777777" w:rsidR="001C4019" w:rsidRPr="00CD15D8" w:rsidRDefault="001C4019" w:rsidP="00667ED7">
            <w:pPr>
              <w:spacing w:before="70" w:after="70" w:line="220" w:lineRule="atLeast"/>
              <w:jc w:val="right"/>
              <w:rPr>
                <w:rFonts w:eastAsiaTheme="minorEastAsia" w:cstheme="minorHAnsi"/>
                <w:b w:val="0"/>
                <w:color w:val="auto"/>
                <w:sz w:val="17"/>
                <w:szCs w:val="17"/>
              </w:rPr>
            </w:pPr>
            <w:r w:rsidRPr="00CD15D8">
              <w:rPr>
                <w:rFonts w:eastAsiaTheme="minorEastAsia" w:cstheme="minorHAnsi"/>
                <w:b w:val="0"/>
                <w:color w:val="auto"/>
                <w:sz w:val="17"/>
                <w:szCs w:val="17"/>
              </w:rPr>
              <w:t>(5</w:t>
            </w:r>
            <w:r>
              <w:rPr>
                <w:rFonts w:eastAsiaTheme="minorEastAsia" w:cstheme="minorHAnsi"/>
                <w:b w:val="0"/>
                <w:color w:val="auto"/>
                <w:sz w:val="17"/>
                <w:szCs w:val="17"/>
              </w:rPr>
              <w:t>8.8</w:t>
            </w:r>
            <w:r w:rsidRPr="00CD15D8">
              <w:rPr>
                <w:rFonts w:eastAsiaTheme="minorEastAsia" w:cstheme="minorHAnsi"/>
                <w:b w:val="0"/>
                <w:color w:val="auto"/>
                <w:sz w:val="17"/>
                <w:szCs w:val="17"/>
              </w:rPr>
              <w:t>%)</w:t>
            </w:r>
          </w:p>
        </w:tc>
        <w:tc>
          <w:tcPr>
            <w:tcW w:w="527" w:type="pct"/>
            <w:gridSpan w:val="2"/>
            <w:tcBorders>
              <w:top w:val="single" w:sz="4" w:space="0" w:color="82C341" w:themeColor="background1"/>
              <w:left w:val="single" w:sz="2" w:space="0" w:color="82C341" w:themeColor="background1"/>
              <w:bottom w:val="single" w:sz="4" w:space="0" w:color="82C341" w:themeColor="background1"/>
            </w:tcBorders>
            <w:shd w:val="clear" w:color="auto" w:fill="auto"/>
          </w:tcPr>
          <w:p w14:paraId="4640ADB6" w14:textId="0224BB4E" w:rsidR="001C4019" w:rsidRPr="00CD15D8" w:rsidRDefault="001C4019" w:rsidP="00667ED7">
            <w:pPr>
              <w:spacing w:before="70" w:after="70" w:line="220" w:lineRule="atLeast"/>
              <w:jc w:val="right"/>
              <w:rPr>
                <w:rFonts w:eastAsiaTheme="minorEastAsia" w:cstheme="minorHAnsi"/>
                <w:b w:val="0"/>
                <w:color w:val="auto"/>
                <w:sz w:val="17"/>
                <w:szCs w:val="17"/>
              </w:rPr>
            </w:pPr>
            <w:r w:rsidRPr="00CD15D8">
              <w:rPr>
                <w:rFonts w:eastAsiaTheme="minorEastAsia" w:cstheme="minorHAnsi"/>
                <w:b w:val="0"/>
                <w:color w:val="auto"/>
                <w:sz w:val="17"/>
                <w:szCs w:val="17"/>
              </w:rPr>
              <w:t>1</w:t>
            </w:r>
            <w:r w:rsidR="0024552F">
              <w:rPr>
                <w:rFonts w:eastAsiaTheme="minorEastAsia" w:cstheme="minorHAnsi"/>
                <w:b w:val="0"/>
                <w:color w:val="auto"/>
                <w:sz w:val="17"/>
                <w:szCs w:val="17"/>
              </w:rPr>
              <w:t>.</w:t>
            </w:r>
            <w:r w:rsidRPr="00CD15D8">
              <w:rPr>
                <w:rFonts w:eastAsiaTheme="minorEastAsia" w:cstheme="minorHAnsi"/>
                <w:b w:val="0"/>
                <w:color w:val="auto"/>
                <w:sz w:val="17"/>
                <w:szCs w:val="17"/>
              </w:rPr>
              <w:t>0</w:t>
            </w:r>
            <w:r w:rsidR="0024552F">
              <w:rPr>
                <w:rFonts w:eastAsiaTheme="minorEastAsia" w:cstheme="minorHAnsi"/>
                <w:b w:val="0"/>
                <w:color w:val="auto"/>
                <w:sz w:val="17"/>
                <w:szCs w:val="17"/>
              </w:rPr>
              <w:t>6</w:t>
            </w:r>
          </w:p>
        </w:tc>
        <w:tc>
          <w:tcPr>
            <w:tcW w:w="525" w:type="pct"/>
            <w:tcBorders>
              <w:top w:val="single" w:sz="4" w:space="0" w:color="82C341" w:themeColor="background1"/>
              <w:bottom w:val="single" w:sz="4" w:space="0" w:color="82C341" w:themeColor="background1"/>
              <w:right w:val="single" w:sz="2" w:space="0" w:color="82C341" w:themeColor="background1"/>
            </w:tcBorders>
            <w:shd w:val="clear" w:color="auto" w:fill="auto"/>
          </w:tcPr>
          <w:p w14:paraId="3A55077E" w14:textId="6B7CF179" w:rsidR="001C4019" w:rsidRPr="00CD15D8" w:rsidRDefault="001C4019" w:rsidP="00667ED7">
            <w:pPr>
              <w:spacing w:before="70" w:after="70" w:line="220" w:lineRule="atLeast"/>
              <w:jc w:val="right"/>
              <w:rPr>
                <w:rFonts w:eastAsiaTheme="minorEastAsia" w:cstheme="minorHAnsi"/>
                <w:b w:val="0"/>
                <w:color w:val="auto"/>
                <w:sz w:val="17"/>
                <w:szCs w:val="17"/>
              </w:rPr>
            </w:pPr>
            <w:r w:rsidRPr="00CD15D8">
              <w:rPr>
                <w:rFonts w:eastAsiaTheme="minorEastAsia" w:cstheme="minorHAnsi"/>
                <w:b w:val="0"/>
                <w:color w:val="auto"/>
                <w:sz w:val="17"/>
                <w:szCs w:val="17"/>
              </w:rPr>
              <w:t>6</w:t>
            </w:r>
            <w:r w:rsidR="0024552F">
              <w:rPr>
                <w:rFonts w:eastAsiaTheme="minorEastAsia" w:cstheme="minorHAnsi"/>
                <w:b w:val="0"/>
                <w:color w:val="auto"/>
                <w:sz w:val="17"/>
                <w:szCs w:val="17"/>
              </w:rPr>
              <w:t>.60</w:t>
            </w:r>
            <w:r w:rsidRPr="00CD15D8">
              <w:rPr>
                <w:rFonts w:eastAsiaTheme="minorEastAsia" w:cstheme="minorHAnsi"/>
                <w:b w:val="0"/>
                <w:color w:val="auto"/>
                <w:sz w:val="17"/>
                <w:szCs w:val="17"/>
              </w:rPr>
              <w:t xml:space="preserve"> </w:t>
            </w:r>
          </w:p>
          <w:p w14:paraId="6B0D4796" w14:textId="77777777" w:rsidR="001C4019" w:rsidRPr="00CD15D8" w:rsidRDefault="001C4019" w:rsidP="00667ED7">
            <w:pPr>
              <w:spacing w:before="70" w:after="70" w:line="220" w:lineRule="atLeast"/>
              <w:jc w:val="right"/>
              <w:rPr>
                <w:rFonts w:eastAsiaTheme="minorEastAsia" w:cstheme="minorHAnsi"/>
                <w:b w:val="0"/>
                <w:color w:val="auto"/>
                <w:sz w:val="17"/>
                <w:szCs w:val="17"/>
              </w:rPr>
            </w:pPr>
            <w:r w:rsidRPr="00CD15D8">
              <w:rPr>
                <w:rFonts w:eastAsiaTheme="minorEastAsia" w:cstheme="minorHAnsi"/>
                <w:b w:val="0"/>
                <w:color w:val="auto"/>
                <w:sz w:val="17"/>
                <w:szCs w:val="17"/>
              </w:rPr>
              <w:t>(86</w:t>
            </w:r>
            <w:r>
              <w:rPr>
                <w:rFonts w:eastAsiaTheme="minorEastAsia" w:cstheme="minorHAnsi"/>
                <w:b w:val="0"/>
                <w:color w:val="auto"/>
                <w:sz w:val="17"/>
                <w:szCs w:val="17"/>
              </w:rPr>
              <w:t>.2</w:t>
            </w:r>
            <w:r w:rsidRPr="00CD15D8">
              <w:rPr>
                <w:rFonts w:eastAsiaTheme="minorEastAsia" w:cstheme="minorHAnsi"/>
                <w:b w:val="0"/>
                <w:color w:val="auto"/>
                <w:sz w:val="17"/>
                <w:szCs w:val="17"/>
              </w:rPr>
              <w:t>%)</w:t>
            </w:r>
          </w:p>
        </w:tc>
        <w:tc>
          <w:tcPr>
            <w:tcW w:w="533" w:type="pct"/>
            <w:gridSpan w:val="2"/>
            <w:tcBorders>
              <w:top w:val="single" w:sz="4" w:space="0" w:color="82C341" w:themeColor="background1"/>
              <w:left w:val="single" w:sz="2" w:space="0" w:color="82C341" w:themeColor="background1"/>
              <w:bottom w:val="single" w:sz="4" w:space="0" w:color="82C341" w:themeColor="background1"/>
            </w:tcBorders>
            <w:shd w:val="clear" w:color="auto" w:fill="auto"/>
          </w:tcPr>
          <w:p w14:paraId="77802506" w14:textId="23CAA710" w:rsidR="001C4019" w:rsidRPr="00BF01DB" w:rsidRDefault="001C4019" w:rsidP="00667ED7">
            <w:pPr>
              <w:spacing w:before="70" w:after="70" w:line="220" w:lineRule="atLeast"/>
              <w:jc w:val="right"/>
              <w:rPr>
                <w:rFonts w:eastAsiaTheme="minorEastAsia" w:cstheme="minorHAnsi"/>
                <w:b w:val="0"/>
                <w:color w:val="auto"/>
                <w:sz w:val="17"/>
                <w:szCs w:val="17"/>
              </w:rPr>
            </w:pPr>
            <w:r w:rsidRPr="00BF01DB">
              <w:rPr>
                <w:rFonts w:eastAsiaTheme="minorEastAsia" w:cstheme="minorHAnsi"/>
                <w:b w:val="0"/>
                <w:color w:val="auto"/>
                <w:sz w:val="17"/>
                <w:szCs w:val="17"/>
              </w:rPr>
              <w:t>4</w:t>
            </w:r>
            <w:r w:rsidR="0024552F">
              <w:rPr>
                <w:rFonts w:eastAsiaTheme="minorEastAsia" w:cstheme="minorHAnsi"/>
                <w:b w:val="0"/>
                <w:color w:val="auto"/>
                <w:sz w:val="17"/>
                <w:szCs w:val="17"/>
              </w:rPr>
              <w:t>.81</w:t>
            </w:r>
          </w:p>
        </w:tc>
        <w:tc>
          <w:tcPr>
            <w:tcW w:w="606" w:type="pct"/>
            <w:tcBorders>
              <w:top w:val="single" w:sz="4" w:space="0" w:color="82C341" w:themeColor="background1"/>
              <w:bottom w:val="single" w:sz="4" w:space="0" w:color="82C341" w:themeColor="background1"/>
            </w:tcBorders>
            <w:shd w:val="clear" w:color="auto" w:fill="auto"/>
          </w:tcPr>
          <w:p w14:paraId="0A1947CD" w14:textId="50417747" w:rsidR="001C4019" w:rsidRPr="00BF01DB" w:rsidRDefault="001C4019" w:rsidP="00667ED7">
            <w:pPr>
              <w:spacing w:before="70" w:after="70" w:line="220" w:lineRule="atLeast"/>
              <w:jc w:val="right"/>
              <w:rPr>
                <w:rFonts w:eastAsiaTheme="minorEastAsia" w:cstheme="minorHAnsi"/>
                <w:b w:val="0"/>
                <w:color w:val="auto"/>
                <w:sz w:val="17"/>
                <w:szCs w:val="17"/>
              </w:rPr>
            </w:pPr>
            <w:r w:rsidRPr="00BF01DB">
              <w:rPr>
                <w:rFonts w:eastAsiaTheme="minorEastAsia" w:cstheme="minorHAnsi"/>
                <w:b w:val="0"/>
                <w:color w:val="auto"/>
                <w:sz w:val="17"/>
                <w:szCs w:val="17"/>
              </w:rPr>
              <w:t>1</w:t>
            </w:r>
            <w:r w:rsidR="0024552F">
              <w:rPr>
                <w:rFonts w:eastAsiaTheme="minorEastAsia" w:cstheme="minorHAnsi"/>
                <w:b w:val="0"/>
                <w:color w:val="auto"/>
                <w:sz w:val="17"/>
                <w:szCs w:val="17"/>
              </w:rPr>
              <w:t>1.05</w:t>
            </w:r>
          </w:p>
          <w:p w14:paraId="06E43740" w14:textId="77777777" w:rsidR="001C4019" w:rsidRPr="00BF01DB" w:rsidRDefault="001C4019" w:rsidP="00667ED7">
            <w:pPr>
              <w:spacing w:before="70" w:after="70" w:line="220" w:lineRule="atLeast"/>
              <w:jc w:val="right"/>
              <w:rPr>
                <w:rFonts w:eastAsiaTheme="minorEastAsia" w:cstheme="minorHAnsi"/>
                <w:b w:val="0"/>
                <w:color w:val="auto"/>
                <w:sz w:val="17"/>
                <w:szCs w:val="17"/>
              </w:rPr>
            </w:pPr>
            <w:r w:rsidRPr="00BF01DB">
              <w:rPr>
                <w:rFonts w:eastAsiaTheme="minorEastAsia" w:cstheme="minorHAnsi"/>
                <w:b w:val="0"/>
                <w:color w:val="auto"/>
                <w:sz w:val="17"/>
                <w:szCs w:val="17"/>
              </w:rPr>
              <w:t>(</w:t>
            </w:r>
            <w:r>
              <w:rPr>
                <w:rFonts w:eastAsiaTheme="minorEastAsia" w:cstheme="minorHAnsi"/>
                <w:b w:val="0"/>
                <w:color w:val="auto"/>
                <w:sz w:val="17"/>
                <w:szCs w:val="17"/>
              </w:rPr>
              <w:t>69.7</w:t>
            </w:r>
            <w:r w:rsidRPr="00BF01DB">
              <w:rPr>
                <w:rFonts w:eastAsiaTheme="minorEastAsia" w:cstheme="minorHAnsi"/>
                <w:b w:val="0"/>
                <w:color w:val="auto"/>
                <w:sz w:val="17"/>
                <w:szCs w:val="17"/>
              </w:rPr>
              <w:t>%)</w:t>
            </w:r>
          </w:p>
        </w:tc>
      </w:tr>
    </w:tbl>
    <w:p w14:paraId="0BE30710" w14:textId="093A4D19" w:rsidR="00360143" w:rsidRPr="00F00322" w:rsidRDefault="00360143" w:rsidP="00C1258F">
      <w:pPr>
        <w:pStyle w:val="Caption"/>
      </w:pPr>
      <w:r w:rsidRPr="005D2691">
        <w:t>* Figures reported for materials received by source sector have been extrapolated to include the relative proportions derived from reported data and applied to surveys that did not include a source sector for the different material types and the export data from the ABS.</w:t>
      </w:r>
      <w:r w:rsidR="00C1258F">
        <w:br/>
      </w:r>
      <w:r w:rsidRPr="005D2691">
        <w:t>Figures in</w:t>
      </w:r>
      <w:r w:rsidR="00462D64">
        <w:t xml:space="preserve"> </w:t>
      </w:r>
      <w:r w:rsidR="00462D64">
        <w:fldChar w:fldCharType="begin"/>
      </w:r>
      <w:r w:rsidR="00462D64">
        <w:instrText xml:space="preserve"> REF _Ref83026223 \h </w:instrText>
      </w:r>
      <w:r w:rsidR="00462D64">
        <w:fldChar w:fldCharType="separate"/>
      </w:r>
      <w:r w:rsidR="00176C53">
        <w:t xml:space="preserve">Table </w:t>
      </w:r>
      <w:r w:rsidR="00176C53">
        <w:rPr>
          <w:noProof/>
        </w:rPr>
        <w:t>3</w:t>
      </w:r>
      <w:r w:rsidR="00462D64">
        <w:fldChar w:fldCharType="end"/>
      </w:r>
      <w:r w:rsidR="00462D64">
        <w:t xml:space="preserve"> </w:t>
      </w:r>
      <w:r w:rsidR="00C1258F">
        <w:t xml:space="preserve"> </w:t>
      </w:r>
      <w:r w:rsidRPr="005D2691">
        <w:t>have been rounded to the nearest thousand and individual columns may therefore not add up to the totals reported for ‘Total recovered’.</w:t>
      </w:r>
      <w:r w:rsidR="00C1258F">
        <w:br/>
      </w:r>
      <w:r w:rsidR="005D2691" w:rsidRPr="005D2691">
        <w:t>Percentage figures in brackets are the diversion rate for that material and source sector.</w:t>
      </w:r>
      <w:r w:rsidR="00C1258F">
        <w:br/>
      </w:r>
      <w:r w:rsidRPr="005D2691">
        <w:rPr>
          <w:rFonts w:ascii="Arial" w:hAnsi="Arial" w:cs="Arial"/>
          <w:vertAlign w:val="superscript"/>
        </w:rPr>
        <w:t>†</w:t>
      </w:r>
      <w:r w:rsidR="00C1258F">
        <w:rPr>
          <w:rFonts w:ascii="Arial" w:hAnsi="Arial" w:cs="Arial"/>
        </w:rPr>
        <w:t xml:space="preserve"> </w:t>
      </w:r>
      <w:r w:rsidR="005D2691" w:rsidRPr="005D2691">
        <w:rPr>
          <w:rFonts w:ascii="Arial" w:hAnsi="Arial" w:cs="Arial"/>
        </w:rPr>
        <w:t xml:space="preserve">The diversion rate calculated for Municipal (MSW) is not comparable to the kerbside diversion rate as calculated in the LGWSR, please refer to Appendix </w:t>
      </w:r>
      <w:r w:rsidR="00564CC1">
        <w:rPr>
          <w:rFonts w:ascii="Arial" w:hAnsi="Arial" w:cs="Arial"/>
        </w:rPr>
        <w:t>A</w:t>
      </w:r>
      <w:r w:rsidR="005D2691" w:rsidRPr="005D2691">
        <w:rPr>
          <w:rFonts w:ascii="Arial" w:hAnsi="Arial" w:cs="Arial"/>
        </w:rPr>
        <w:t>: Comparison of survey data for details on the similarities and differences between these.</w:t>
      </w:r>
    </w:p>
    <w:p w14:paraId="5F89400E" w14:textId="17727322" w:rsidR="00C60B6B" w:rsidRDefault="00F00322" w:rsidP="00C60B6B">
      <w:r>
        <w:t>Of the 11.</w:t>
      </w:r>
      <w:r w:rsidR="005441C5">
        <w:t>05</w:t>
      </w:r>
      <w:r>
        <w:t xml:space="preserve"> Mt of material recovered for reprocessing in 2019–20, </w:t>
      </w:r>
      <w:r w:rsidR="00E24672">
        <w:t>59.7</w:t>
      </w:r>
      <w:r>
        <w:t xml:space="preserve"> per cent by weight came from the C&amp;D sector. </w:t>
      </w:r>
      <w:r w:rsidR="00C60B6B">
        <w:fldChar w:fldCharType="begin"/>
      </w:r>
      <w:r w:rsidR="00C60B6B">
        <w:instrText xml:space="preserve"> REF _Ref72495786 \h </w:instrText>
      </w:r>
      <w:r w:rsidR="00C60B6B">
        <w:fldChar w:fldCharType="separate"/>
      </w:r>
      <w:r w:rsidR="00176C53">
        <w:t xml:space="preserve">Figure </w:t>
      </w:r>
      <w:r w:rsidR="00176C53">
        <w:rPr>
          <w:noProof/>
        </w:rPr>
        <w:t>27</w:t>
      </w:r>
      <w:r w:rsidR="00C60B6B">
        <w:fldChar w:fldCharType="end"/>
      </w:r>
      <w:r w:rsidR="00C60B6B">
        <w:t xml:space="preserve"> illustrates the changes by source sector by weight of recovered materials received for reprocessing in 2018–19 and 2019–20.</w:t>
      </w:r>
    </w:p>
    <w:p w14:paraId="5C511987" w14:textId="1A109148" w:rsidR="00336A37" w:rsidRDefault="00336A37" w:rsidP="00336A37">
      <w:r>
        <w:t>The proportion by weight recovered from MSW increased by 3</w:t>
      </w:r>
      <w:r w:rsidR="00502E84">
        <w:t>.0</w:t>
      </w:r>
      <w:r>
        <w:t xml:space="preserve"> percentage points to </w:t>
      </w:r>
      <w:r w:rsidR="00E24672">
        <w:t>14.9</w:t>
      </w:r>
      <w:r>
        <w:t> per cent compared with 2018–19. The proportion of materials recovered by weight from both the C&amp;I and C&amp;D sectors decreased, with a decrease in C&amp;I of 2</w:t>
      </w:r>
      <w:r w:rsidR="00502E84">
        <w:t>.0</w:t>
      </w:r>
      <w:r>
        <w:t> percentage points to 25</w:t>
      </w:r>
      <w:r w:rsidR="00E24672">
        <w:t>.4</w:t>
      </w:r>
      <w:r>
        <w:t xml:space="preserve"> per cent and in C&amp;D of 1 percentage point to </w:t>
      </w:r>
      <w:r w:rsidR="00E24672">
        <w:t>59.7</w:t>
      </w:r>
      <w:r>
        <w:t> per cent.</w:t>
      </w:r>
    </w:p>
    <w:p w14:paraId="52A9EF60" w14:textId="7E08F5FD" w:rsidR="00336A37" w:rsidRDefault="00336A37" w:rsidP="00C60B6B">
      <w:r>
        <w:t>This reflects growth in MSW reprocessing volumes, continuing large and steady C&amp;D waste reprocessing volumes and a small decline in C&amp;I waste reprocessing volumes. It is probable that the observed changes in MSW and C&amp;I are due to the work–home balance shift brought on by COVID-19 and associated lockdown measures at the start of 2020.</w:t>
      </w:r>
    </w:p>
    <w:p w14:paraId="2F6B455C" w14:textId="7C1DE4F3" w:rsidR="00C60B6B" w:rsidRDefault="00C60B6B" w:rsidP="00C60B6B">
      <w:pPr>
        <w:pStyle w:val="FigureCaption"/>
      </w:pPr>
      <w:bookmarkStart w:id="116" w:name="_Ref72495786"/>
      <w:bookmarkStart w:id="117" w:name="_Ref72505434"/>
      <w:bookmarkStart w:id="118" w:name="_Toc77087498"/>
      <w:bookmarkStart w:id="119" w:name="_Hlk76645945"/>
      <w:r>
        <w:t xml:space="preserve">Figure </w:t>
      </w:r>
      <w:r w:rsidR="0085736C">
        <w:fldChar w:fldCharType="begin"/>
      </w:r>
      <w:r w:rsidR="0085736C">
        <w:instrText xml:space="preserve"> SEQ Figure \* ARABIC </w:instrText>
      </w:r>
      <w:r w:rsidR="0085736C">
        <w:fldChar w:fldCharType="separate"/>
      </w:r>
      <w:r w:rsidR="00176C53">
        <w:rPr>
          <w:noProof/>
        </w:rPr>
        <w:t>27</w:t>
      </w:r>
      <w:r w:rsidR="0085736C">
        <w:rPr>
          <w:noProof/>
        </w:rPr>
        <w:fldChar w:fldCharType="end"/>
      </w:r>
      <w:bookmarkEnd w:id="116"/>
      <w:r>
        <w:t>: Sector composition of recovered materials received for reprocessing (by weight</w:t>
      </w:r>
      <w:r w:rsidR="00DD69F1">
        <w:t xml:space="preserve">) in </w:t>
      </w:r>
      <w:r>
        <w:t xml:space="preserve">Victoria, </w:t>
      </w:r>
      <w:r w:rsidRPr="00241BBA">
        <w:t>2018</w:t>
      </w:r>
      <w:r>
        <w:t>–</w:t>
      </w:r>
      <w:r w:rsidRPr="00241BBA">
        <w:t>19</w:t>
      </w:r>
      <w:r>
        <w:t xml:space="preserve"> and 2019–20</w:t>
      </w:r>
      <w:bookmarkEnd w:id="117"/>
      <w:bookmarkEnd w:id="118"/>
    </w:p>
    <w:p w14:paraId="4D15430F" w14:textId="3C2376D7" w:rsidR="00C60B6B" w:rsidRDefault="00051A32" w:rsidP="00C60B6B">
      <w:r>
        <w:rPr>
          <w:noProof/>
        </w:rPr>
        <w:drawing>
          <wp:inline distT="0" distB="0" distL="0" distR="0" wp14:anchorId="2F40C49F" wp14:editId="473FA5A6">
            <wp:extent cx="4671060" cy="2407920"/>
            <wp:effectExtent l="0" t="0" r="0" b="0"/>
            <wp:docPr id="62" name="Pictur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a:extLst>
                        <a:ext uri="{C183D7F6-B498-43B3-948B-1728B52AA6E4}">
                          <adec:decorative xmlns:adec="http://schemas.microsoft.com/office/drawing/2017/decorative" val="1"/>
                        </a:ext>
                      </a:extLs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671060" cy="2407920"/>
                    </a:xfrm>
                    <a:prstGeom prst="rect">
                      <a:avLst/>
                    </a:prstGeom>
                    <a:noFill/>
                  </pic:spPr>
                </pic:pic>
              </a:graphicData>
            </a:graphic>
          </wp:inline>
        </w:drawing>
      </w:r>
      <w:bookmarkEnd w:id="119"/>
    </w:p>
    <w:p w14:paraId="1518F608" w14:textId="033ACD94" w:rsidR="00F00322" w:rsidRDefault="00C60B6B" w:rsidP="00C60B6B">
      <w:r>
        <w:t>Since 2010–11</w:t>
      </w:r>
      <w:r w:rsidRPr="004E2888">
        <w:t xml:space="preserve">, the </w:t>
      </w:r>
      <w:r>
        <w:t>amount</w:t>
      </w:r>
      <w:r w:rsidRPr="004E2888">
        <w:t xml:space="preserve"> of C&amp;D material recovered for reprocessing has</w:t>
      </w:r>
      <w:r>
        <w:t xml:space="preserve"> </w:t>
      </w:r>
      <w:r w:rsidRPr="004E2888">
        <w:t>increas</w:t>
      </w:r>
      <w:r>
        <w:t>ed by 60</w:t>
      </w:r>
      <w:r w:rsidR="009028AD">
        <w:t>.5</w:t>
      </w:r>
      <w:r>
        <w:t> per cent from 4.1</w:t>
      </w:r>
      <w:r w:rsidR="00995DE4">
        <w:t>1 M</w:t>
      </w:r>
      <w:r>
        <w:t>t to 6.</w:t>
      </w:r>
      <w:r w:rsidR="00995DE4">
        <w:t>6</w:t>
      </w:r>
      <w:r w:rsidR="005441C5">
        <w:t>0</w:t>
      </w:r>
      <w:r w:rsidR="00995DE4">
        <w:t> M</w:t>
      </w:r>
      <w:r>
        <w:t>t</w:t>
      </w:r>
      <w:r w:rsidRPr="004E2888">
        <w:t xml:space="preserve">, </w:t>
      </w:r>
      <w:r>
        <w:t xml:space="preserve">with </w:t>
      </w:r>
      <w:r w:rsidRPr="004E2888">
        <w:t>sharp increases in 2017</w:t>
      </w:r>
      <w:r>
        <w:t>–</w:t>
      </w:r>
      <w:r w:rsidRPr="004E2888">
        <w:t>18 and 2018</w:t>
      </w:r>
      <w:r>
        <w:t>–</w:t>
      </w:r>
      <w:r w:rsidRPr="004E2888">
        <w:t>19</w:t>
      </w:r>
      <w:r>
        <w:t xml:space="preserve"> due to large-scale infrastructure </w:t>
      </w:r>
      <w:r w:rsidR="002425E5">
        <w:t>works</w:t>
      </w:r>
      <w:r>
        <w:t xml:space="preserve"> and housing development. In 2019–20, the upward trend continued but at a much slower rate than the previous 2 years, growing by </w:t>
      </w:r>
      <w:r w:rsidR="00E24672">
        <w:t>0.9</w:t>
      </w:r>
      <w:r w:rsidR="00995DE4">
        <w:t> p</w:t>
      </w:r>
      <w:r>
        <w:t>ercentage point since 2018–19.</w:t>
      </w:r>
    </w:p>
    <w:p w14:paraId="43BA741C" w14:textId="09631269" w:rsidR="00DC1BEB" w:rsidRDefault="00C60B6B" w:rsidP="00C60B6B">
      <w:r>
        <w:lastRenderedPageBreak/>
        <w:t>In t</w:t>
      </w:r>
      <w:r w:rsidRPr="004E2888">
        <w:t>he same</w:t>
      </w:r>
      <w:r>
        <w:t xml:space="preserve"> 10-year</w:t>
      </w:r>
      <w:r w:rsidRPr="004E2888">
        <w:t xml:space="preserve"> period </w:t>
      </w:r>
      <w:r>
        <w:t>t</w:t>
      </w:r>
      <w:r w:rsidRPr="004E2888">
        <w:t xml:space="preserve">he amount of C&amp;I material recovered for reprocessing has </w:t>
      </w:r>
      <w:r>
        <w:t>increased</w:t>
      </w:r>
      <w:r w:rsidRPr="004E2888">
        <w:t xml:space="preserve"> by 5</w:t>
      </w:r>
      <w:r w:rsidR="00606971">
        <w:t>.6</w:t>
      </w:r>
      <w:r w:rsidRPr="004E2888">
        <w:t xml:space="preserve"> per cent </w:t>
      </w:r>
      <w:r w:rsidR="0048005F">
        <w:t>from 2.6</w:t>
      </w:r>
      <w:r w:rsidR="00995DE4">
        <w:t>6 M</w:t>
      </w:r>
      <w:r w:rsidR="0048005F">
        <w:t xml:space="preserve">t </w:t>
      </w:r>
      <w:r w:rsidRPr="004E2888">
        <w:t>to 2.8</w:t>
      </w:r>
      <w:r>
        <w:t>1</w:t>
      </w:r>
      <w:r w:rsidRPr="004E2888">
        <w:t> </w:t>
      </w:r>
      <w:r>
        <w:t>Mt, while t</w:t>
      </w:r>
      <w:r w:rsidRPr="004E2888">
        <w:t>he amount of MSW material recovered for reprocessing has increased by 2</w:t>
      </w:r>
      <w:r w:rsidR="00995DE4">
        <w:t>7</w:t>
      </w:r>
      <w:r w:rsidR="00502E84">
        <w:t>.0</w:t>
      </w:r>
      <w:r w:rsidR="00995DE4">
        <w:t> </w:t>
      </w:r>
      <w:r w:rsidR="00995DE4" w:rsidRPr="004E2888">
        <w:t>p</w:t>
      </w:r>
      <w:r w:rsidRPr="004E2888">
        <w:t xml:space="preserve">er cent </w:t>
      </w:r>
      <w:r w:rsidR="0048005F">
        <w:t>from 1.</w:t>
      </w:r>
      <w:r w:rsidR="00995DE4">
        <w:t>3</w:t>
      </w:r>
      <w:r w:rsidR="005441C5">
        <w:t>0</w:t>
      </w:r>
      <w:r w:rsidR="00995DE4">
        <w:t> M</w:t>
      </w:r>
      <w:r w:rsidR="0048005F">
        <w:t xml:space="preserve">t </w:t>
      </w:r>
      <w:r w:rsidRPr="004E2888">
        <w:t>to 1.</w:t>
      </w:r>
      <w:r>
        <w:t>65</w:t>
      </w:r>
      <w:r w:rsidRPr="004E2888">
        <w:t> </w:t>
      </w:r>
      <w:r>
        <w:t>Mt</w:t>
      </w:r>
      <w:r w:rsidRPr="004E2888">
        <w:t>.</w:t>
      </w:r>
      <w:r>
        <w:t xml:space="preserve"> </w:t>
      </w:r>
      <w:r>
        <w:fldChar w:fldCharType="begin"/>
      </w:r>
      <w:r>
        <w:instrText xml:space="preserve"> REF _Ref72495856 \h </w:instrText>
      </w:r>
      <w:r>
        <w:fldChar w:fldCharType="separate"/>
      </w:r>
      <w:r w:rsidR="00176C53">
        <w:t xml:space="preserve">Figure </w:t>
      </w:r>
      <w:r w:rsidR="00176C53">
        <w:rPr>
          <w:noProof/>
        </w:rPr>
        <w:t>28</w:t>
      </w:r>
      <w:r>
        <w:fldChar w:fldCharType="end"/>
      </w:r>
      <w:r w:rsidRPr="004E2888">
        <w:t xml:space="preserve"> shows the trend of recovered materials received for reprocessing by source sector in Victoria</w:t>
      </w:r>
      <w:r>
        <w:t>.</w:t>
      </w:r>
    </w:p>
    <w:p w14:paraId="630531F5" w14:textId="1CAA4E13" w:rsidR="00C60B6B" w:rsidRDefault="00C60B6B" w:rsidP="00C60B6B">
      <w:pPr>
        <w:pStyle w:val="FigureCaption"/>
      </w:pPr>
      <w:bookmarkStart w:id="120" w:name="_Ref72495856"/>
      <w:bookmarkStart w:id="121" w:name="_Toc77087499"/>
      <w:bookmarkStart w:id="122" w:name="_Hlk76645969"/>
      <w:r>
        <w:t xml:space="preserve">Figure </w:t>
      </w:r>
      <w:r w:rsidR="0085736C">
        <w:fldChar w:fldCharType="begin"/>
      </w:r>
      <w:r w:rsidR="0085736C">
        <w:instrText xml:space="preserve"> SEQ Figure \* ARABIC </w:instrText>
      </w:r>
      <w:r w:rsidR="0085736C">
        <w:fldChar w:fldCharType="separate"/>
      </w:r>
      <w:r w:rsidR="00176C53">
        <w:rPr>
          <w:noProof/>
        </w:rPr>
        <w:t>28</w:t>
      </w:r>
      <w:r w:rsidR="0085736C">
        <w:rPr>
          <w:noProof/>
        </w:rPr>
        <w:fldChar w:fldCharType="end"/>
      </w:r>
      <w:bookmarkEnd w:id="120"/>
      <w:r>
        <w:t xml:space="preserve">: </w:t>
      </w:r>
      <w:r w:rsidRPr="00D16878">
        <w:t xml:space="preserve">Source sector </w:t>
      </w:r>
      <w:r>
        <w:t>waste</w:t>
      </w:r>
      <w:r w:rsidRPr="00373754">
        <w:t xml:space="preserve"> recovered for reprocessing</w:t>
      </w:r>
      <w:r>
        <w:t xml:space="preserve"> (</w:t>
      </w:r>
      <w:r w:rsidR="00DD69F1">
        <w:rPr>
          <w:rFonts w:ascii="Arial" w:hAnsi="Arial" w:cs="Arial"/>
        </w:rPr>
        <w:t>kt</w:t>
      </w:r>
      <w:r>
        <w:t>)</w:t>
      </w:r>
      <w:r w:rsidRPr="00D16878">
        <w:t xml:space="preserve"> </w:t>
      </w:r>
      <w:r>
        <w:t xml:space="preserve">in Victoria, </w:t>
      </w:r>
      <w:r w:rsidRPr="00241BBA">
        <w:t>20</w:t>
      </w:r>
      <w:r>
        <w:t>10–11</w:t>
      </w:r>
      <w:r w:rsidRPr="00241BBA">
        <w:t xml:space="preserve"> to 201</w:t>
      </w:r>
      <w:r>
        <w:t>9–20</w:t>
      </w:r>
      <w:bookmarkEnd w:id="121"/>
      <w:r>
        <w:t xml:space="preserve"> </w:t>
      </w:r>
    </w:p>
    <w:p w14:paraId="595A7166" w14:textId="689723C5" w:rsidR="00C60B6B" w:rsidRPr="009C044B" w:rsidRDefault="00606971" w:rsidP="00C60B6B">
      <w:r>
        <w:rPr>
          <w:noProof/>
        </w:rPr>
        <w:drawing>
          <wp:inline distT="0" distB="0" distL="0" distR="0" wp14:anchorId="04D9CDC7" wp14:editId="29C78B99">
            <wp:extent cx="4869180" cy="2811780"/>
            <wp:effectExtent l="0" t="0" r="7620" b="762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69180" cy="2811780"/>
                    </a:xfrm>
                    <a:prstGeom prst="rect">
                      <a:avLst/>
                    </a:prstGeom>
                    <a:noFill/>
                  </pic:spPr>
                </pic:pic>
              </a:graphicData>
            </a:graphic>
          </wp:inline>
        </w:drawing>
      </w:r>
      <w:bookmarkEnd w:id="122"/>
    </w:p>
    <w:p w14:paraId="5D638208" w14:textId="72D6AF5F" w:rsidR="00A403DC" w:rsidRDefault="00A02656" w:rsidP="00A403DC">
      <w:pPr>
        <w:pStyle w:val="Heading1Numbered"/>
      </w:pPr>
      <w:bookmarkStart w:id="123" w:name="_Toc83108380"/>
      <w:bookmarkEnd w:id="112"/>
      <w:bookmarkEnd w:id="113"/>
      <w:bookmarkEnd w:id="114"/>
      <w:r>
        <w:softHyphen/>
      </w:r>
      <w:r w:rsidR="00C60B6B">
        <w:t>Overall material disposal and recovery</w:t>
      </w:r>
      <w:bookmarkEnd w:id="123"/>
    </w:p>
    <w:p w14:paraId="2489AE0B" w14:textId="2B2C8C0F" w:rsidR="00A403DC" w:rsidRDefault="007D11FD" w:rsidP="00A73696">
      <w:pPr>
        <w:pStyle w:val="casestudybox"/>
      </w:pPr>
      <w:r w:rsidRPr="00A73696">
        <w:t>»</w:t>
      </w:r>
      <w:r>
        <w:t xml:space="preserve"> </w:t>
      </w:r>
      <w:r w:rsidR="00A403DC">
        <w:t>Aggregate, masonry and soil made up 59</w:t>
      </w:r>
      <w:r w:rsidR="00DD1D58">
        <w:t>.</w:t>
      </w:r>
      <w:r w:rsidR="00D9699E">
        <w:t>1</w:t>
      </w:r>
      <w:r w:rsidR="00A403DC">
        <w:t> per cent of all material recovered for reprocessing. M</w:t>
      </w:r>
      <w:r w:rsidR="00A403DC" w:rsidRPr="00712DEC">
        <w:t>etals</w:t>
      </w:r>
      <w:r w:rsidR="00A403DC">
        <w:t xml:space="preserve"> and organics contributed 13</w:t>
      </w:r>
      <w:r w:rsidR="00DD1D58">
        <w:t>.4</w:t>
      </w:r>
      <w:r w:rsidR="00A403DC">
        <w:t xml:space="preserve"> per cent </w:t>
      </w:r>
      <w:r w:rsidR="00C1113B">
        <w:t xml:space="preserve">and 12.5 per cent respectively, </w:t>
      </w:r>
      <w:r w:rsidR="00A403DC">
        <w:t>and</w:t>
      </w:r>
      <w:r w:rsidR="00A403DC" w:rsidRPr="00712DEC">
        <w:t xml:space="preserve"> paper</w:t>
      </w:r>
      <w:r w:rsidR="00A403DC">
        <w:t xml:space="preserve"> and</w:t>
      </w:r>
      <w:r w:rsidR="00A403DC" w:rsidRPr="00712DEC">
        <w:t xml:space="preserve"> cardboard</w:t>
      </w:r>
      <w:r w:rsidR="00A403DC">
        <w:t xml:space="preserve"> 10</w:t>
      </w:r>
      <w:r w:rsidR="00C1113B">
        <w:t>.1</w:t>
      </w:r>
      <w:r w:rsidR="00A403DC">
        <w:t> per cent</w:t>
      </w:r>
      <w:r w:rsidR="00A403DC" w:rsidRPr="00712DEC">
        <w:t>.</w:t>
      </w:r>
    </w:p>
    <w:p w14:paraId="501DDBE5" w14:textId="420BBEDD" w:rsidR="00A403DC" w:rsidRDefault="007D11FD" w:rsidP="00A73696">
      <w:pPr>
        <w:pStyle w:val="casestudybox"/>
      </w:pPr>
      <w:r w:rsidRPr="00A73696">
        <w:t>»</w:t>
      </w:r>
      <w:r>
        <w:t xml:space="preserve"> </w:t>
      </w:r>
      <w:r w:rsidR="00A403DC">
        <w:t>The materials with the highest diversion rates were metals (91</w:t>
      </w:r>
      <w:r w:rsidR="00596C47">
        <w:t>.0</w:t>
      </w:r>
      <w:r w:rsidR="00A403DC">
        <w:t> per cent); aggregates, masonry and soil (85</w:t>
      </w:r>
      <w:r w:rsidR="00596C47">
        <w:t>.0</w:t>
      </w:r>
      <w:r w:rsidR="00A403DC">
        <w:t> per cent); glass (77</w:t>
      </w:r>
      <w:r w:rsidR="00C1113B">
        <w:t>.5</w:t>
      </w:r>
      <w:r w:rsidR="00A403DC">
        <w:t> per cent); and paper and cardboard (6</w:t>
      </w:r>
      <w:r w:rsidR="00C1113B">
        <w:t>6.6</w:t>
      </w:r>
      <w:r w:rsidR="00A403DC">
        <w:t> per cent).</w:t>
      </w:r>
    </w:p>
    <w:p w14:paraId="5F02A8EE" w14:textId="16C7CF2F" w:rsidR="00C60B6B" w:rsidRPr="00071CA7" w:rsidRDefault="00C60B6B" w:rsidP="007029E2">
      <w:pPr>
        <w:spacing w:before="240"/>
      </w:pPr>
      <w:r>
        <w:fldChar w:fldCharType="begin"/>
      </w:r>
      <w:r>
        <w:instrText xml:space="preserve"> REF _Ref72495702 \h </w:instrText>
      </w:r>
      <w:r>
        <w:fldChar w:fldCharType="separate"/>
      </w:r>
      <w:r w:rsidR="00176C53">
        <w:t xml:space="preserve">Table </w:t>
      </w:r>
      <w:r w:rsidR="00176C53">
        <w:rPr>
          <w:noProof/>
        </w:rPr>
        <w:t>4</w:t>
      </w:r>
      <w:r>
        <w:fldChar w:fldCharType="end"/>
      </w:r>
      <w:r>
        <w:t xml:space="preserve"> shows the quantities (</w:t>
      </w:r>
      <w:r w:rsidR="00570CCD">
        <w:t>kt</w:t>
      </w:r>
      <w:r>
        <w:t xml:space="preserve">) of material disposed of to landfill, the amount received for </w:t>
      </w:r>
      <w:r w:rsidRPr="00071CA7">
        <w:t>reprocessing and the diversion rate (in brackets) by source sector for Victoria in 2019–20.</w:t>
      </w:r>
    </w:p>
    <w:p w14:paraId="041795E5" w14:textId="17C90190" w:rsidR="00C60B6B" w:rsidRDefault="00C60B6B" w:rsidP="00C60B6B">
      <w:r w:rsidRPr="00071CA7">
        <w:t>Across the waste and resource recovery sector, the materials that had the highest diversion rates were metals (91</w:t>
      </w:r>
      <w:r w:rsidR="00596C47">
        <w:t>.0</w:t>
      </w:r>
      <w:r w:rsidRPr="00071CA7">
        <w:t xml:space="preserve"> per cent); aggregates, </w:t>
      </w:r>
      <w:proofErr w:type="gramStart"/>
      <w:r w:rsidRPr="00071CA7">
        <w:t>masonry</w:t>
      </w:r>
      <w:proofErr w:type="gramEnd"/>
      <w:r w:rsidRPr="00071CA7">
        <w:t xml:space="preserve"> and soil (85</w:t>
      </w:r>
      <w:r w:rsidR="00596C47">
        <w:t>.0</w:t>
      </w:r>
      <w:r w:rsidRPr="00071CA7">
        <w:t> per cent); glass (77</w:t>
      </w:r>
      <w:r w:rsidR="00C1113B">
        <w:t>.5</w:t>
      </w:r>
      <w:r w:rsidRPr="00071CA7">
        <w:t> per cent); and paper and cardboard (6</w:t>
      </w:r>
      <w:r w:rsidR="00C1113B">
        <w:t>6.6</w:t>
      </w:r>
      <w:r w:rsidRPr="00071CA7">
        <w:t> per cent). These materials together contributed 7</w:t>
      </w:r>
      <w:r w:rsidR="00C1113B">
        <w:t>1.8</w:t>
      </w:r>
      <w:r w:rsidR="00995DE4">
        <w:t> </w:t>
      </w:r>
      <w:r w:rsidR="00995DE4" w:rsidRPr="00071CA7">
        <w:t>p</w:t>
      </w:r>
      <w:r w:rsidRPr="00071CA7">
        <w:t xml:space="preserve">er cent of all waste managed and </w:t>
      </w:r>
      <w:r w:rsidR="00B4312E" w:rsidRPr="00071CA7">
        <w:t>8</w:t>
      </w:r>
      <w:r w:rsidR="00995DE4" w:rsidRPr="00071CA7">
        <w:t>5</w:t>
      </w:r>
      <w:r w:rsidR="00C1113B">
        <w:t>.4</w:t>
      </w:r>
      <w:r w:rsidR="00995DE4">
        <w:t> </w:t>
      </w:r>
      <w:r w:rsidR="00995DE4" w:rsidRPr="00071CA7">
        <w:t>p</w:t>
      </w:r>
      <w:r w:rsidRPr="00071CA7">
        <w:t>er cent of all waste recovered in Victoria in 2019–20.</w:t>
      </w:r>
    </w:p>
    <w:p w14:paraId="17DE2718" w14:textId="20EA5759" w:rsidR="00C60B6B" w:rsidRDefault="00C60B6B" w:rsidP="00C60B6B">
      <w:r>
        <w:t>The increase in the glass diversion rate is likely to be due to the clearance of long-term stored material as opposed to an increase in the recovery of material placed on the market in 2019–20. Compared with 2018–19, the overall glass diversion rate increased by 7</w:t>
      </w:r>
      <w:r w:rsidR="004C34C4">
        <w:t>.4</w:t>
      </w:r>
      <w:r>
        <w:t> percentage points to 77</w:t>
      </w:r>
      <w:r w:rsidR="00C1113B">
        <w:t>.5</w:t>
      </w:r>
      <w:r>
        <w:t> per cent, with increases observed in MSW and C&amp;I of 5</w:t>
      </w:r>
      <w:r w:rsidR="004C34C4">
        <w:t>.3</w:t>
      </w:r>
      <w:r>
        <w:t xml:space="preserve"> and </w:t>
      </w:r>
      <w:r w:rsidR="004C34C4">
        <w:t>7.3</w:t>
      </w:r>
      <w:r>
        <w:t xml:space="preserve"> percentage points respectively and a decrease of </w:t>
      </w:r>
      <w:r w:rsidR="004C34C4">
        <w:t>2.2</w:t>
      </w:r>
      <w:r>
        <w:t> percentage points in C&amp;D.</w:t>
      </w:r>
    </w:p>
    <w:p w14:paraId="408E8056" w14:textId="77777777" w:rsidR="00C60B6B" w:rsidRDefault="00C60B6B" w:rsidP="00C60B6B">
      <w:r>
        <w:t>For each source sector the top three materials with the highest diversion rates were:</w:t>
      </w:r>
    </w:p>
    <w:p w14:paraId="35DE3B0F" w14:textId="7E78B90E" w:rsidR="00C60B6B" w:rsidRDefault="00C60B6B" w:rsidP="00C60B6B">
      <w:pPr>
        <w:pStyle w:val="ListBullet"/>
      </w:pPr>
      <w:r>
        <w:t>in MSW, metals (9</w:t>
      </w:r>
      <w:r w:rsidR="00C1113B">
        <w:t>0.8</w:t>
      </w:r>
      <w:r>
        <w:t> per cent); glass (8</w:t>
      </w:r>
      <w:r w:rsidR="00C1113B">
        <w:t>7.9</w:t>
      </w:r>
      <w:r>
        <w:t xml:space="preserve"> per cent); and aggregates, </w:t>
      </w:r>
      <w:proofErr w:type="gramStart"/>
      <w:r>
        <w:t>masonry</w:t>
      </w:r>
      <w:proofErr w:type="gramEnd"/>
      <w:r>
        <w:t xml:space="preserve"> and soil (5</w:t>
      </w:r>
      <w:r w:rsidR="00C1113B">
        <w:t>8.5</w:t>
      </w:r>
      <w:r>
        <w:t> per cent), contributing to 25</w:t>
      </w:r>
      <w:r w:rsidR="00F2249D">
        <w:t>.4</w:t>
      </w:r>
      <w:r>
        <w:t xml:space="preserve"> per cent of total MSW tonnes managed</w:t>
      </w:r>
    </w:p>
    <w:p w14:paraId="298C83CB" w14:textId="1399FC73" w:rsidR="00C60B6B" w:rsidRDefault="00C60B6B" w:rsidP="00C60B6B">
      <w:pPr>
        <w:pStyle w:val="ListBullet"/>
      </w:pPr>
      <w:r>
        <w:lastRenderedPageBreak/>
        <w:t>in C&amp;I, metals (91</w:t>
      </w:r>
      <w:r w:rsidR="00C1113B">
        <w:t>.4</w:t>
      </w:r>
      <w:r>
        <w:t> per cent), paper and cardboard (72</w:t>
      </w:r>
      <w:r w:rsidR="00C1113B">
        <w:t>.3</w:t>
      </w:r>
      <w:r>
        <w:t> per cent), and organics (4</w:t>
      </w:r>
      <w:r w:rsidR="004C4933">
        <w:t>7</w:t>
      </w:r>
      <w:r w:rsidR="00C1113B">
        <w:t>.</w:t>
      </w:r>
      <w:r w:rsidR="004C4933">
        <w:t>9</w:t>
      </w:r>
      <w:r>
        <w:t xml:space="preserve"> per cent), contributing to </w:t>
      </w:r>
      <w:r w:rsidR="00F2249D">
        <w:t>76.5</w:t>
      </w:r>
      <w:r w:rsidR="00995DE4">
        <w:t> p</w:t>
      </w:r>
      <w:r>
        <w:t>er cent of total C&amp;I tonnes managed</w:t>
      </w:r>
    </w:p>
    <w:p w14:paraId="64A1788A" w14:textId="1576921C" w:rsidR="00DC1BEB" w:rsidRDefault="00C60B6B" w:rsidP="007D13C3">
      <w:pPr>
        <w:pStyle w:val="ListBullet"/>
      </w:pPr>
      <w:r>
        <w:t>in C&amp;D, metals (8</w:t>
      </w:r>
      <w:r w:rsidR="00C1113B">
        <w:t>8.7</w:t>
      </w:r>
      <w:r>
        <w:t xml:space="preserve"> per cent); aggregates, </w:t>
      </w:r>
      <w:proofErr w:type="gramStart"/>
      <w:r>
        <w:t>masonry</w:t>
      </w:r>
      <w:proofErr w:type="gramEnd"/>
      <w:r>
        <w:t xml:space="preserve"> and soil (88</w:t>
      </w:r>
      <w:r w:rsidR="00C1113B">
        <w:t>.4</w:t>
      </w:r>
      <w:r>
        <w:t> per cent); and organics (4</w:t>
      </w:r>
      <w:r w:rsidR="00C1113B">
        <w:t>1.5</w:t>
      </w:r>
      <w:r>
        <w:t> per cent), contributing to 99</w:t>
      </w:r>
      <w:r w:rsidR="00F2249D">
        <w:t>.1</w:t>
      </w:r>
      <w:r>
        <w:t> per cent of total C&amp;D tonnes managed.</w:t>
      </w:r>
    </w:p>
    <w:p w14:paraId="7E7F5F88" w14:textId="0A2A7855" w:rsidR="00C60B6B" w:rsidRPr="008A4558" w:rsidRDefault="00C60B6B" w:rsidP="00C60B6B">
      <w:pPr>
        <w:pStyle w:val="FigureCaption"/>
      </w:pPr>
      <w:bookmarkStart w:id="124" w:name="_Ref72495702"/>
      <w:bookmarkStart w:id="125" w:name="_Toc77087527"/>
      <w:r>
        <w:t xml:space="preserve">Table </w:t>
      </w:r>
      <w:r w:rsidR="0085736C">
        <w:fldChar w:fldCharType="begin"/>
      </w:r>
      <w:r w:rsidR="0085736C">
        <w:instrText xml:space="preserve"> SEQ Table \* ARABIC </w:instrText>
      </w:r>
      <w:r w:rsidR="0085736C">
        <w:fldChar w:fldCharType="separate"/>
      </w:r>
      <w:r w:rsidR="00176C53">
        <w:rPr>
          <w:noProof/>
        </w:rPr>
        <w:t>4</w:t>
      </w:r>
      <w:r w:rsidR="0085736C">
        <w:rPr>
          <w:noProof/>
        </w:rPr>
        <w:fldChar w:fldCharType="end"/>
      </w:r>
      <w:bookmarkEnd w:id="124"/>
      <w:r>
        <w:t xml:space="preserve">: </w:t>
      </w:r>
      <w:r w:rsidRPr="008A4558">
        <w:t>Quantity of material (</w:t>
      </w:r>
      <w:r w:rsidR="00DD69F1">
        <w:rPr>
          <w:rFonts w:ascii="Arial" w:hAnsi="Arial" w:cs="Arial"/>
        </w:rPr>
        <w:t>kt</w:t>
      </w:r>
      <w:r w:rsidRPr="008A4558">
        <w:t>)</w:t>
      </w:r>
      <w:r>
        <w:t xml:space="preserve"> </w:t>
      </w:r>
      <w:r w:rsidRPr="008A4558">
        <w:t xml:space="preserve">disposed </w:t>
      </w:r>
      <w:r w:rsidR="00DD69F1">
        <w:t xml:space="preserve">of </w:t>
      </w:r>
      <w:r w:rsidRPr="008A4558">
        <w:t xml:space="preserve">and received for reprocessing (including diversion rate) by source sector in Victoria, </w:t>
      </w:r>
      <w:r>
        <w:t>2019–20</w:t>
      </w:r>
      <w:r w:rsidRPr="008A4558">
        <w:t>*</w:t>
      </w:r>
      <w:bookmarkEnd w:id="125"/>
    </w:p>
    <w:tbl>
      <w:tblPr>
        <w:tblStyle w:val="SVTable"/>
        <w:tblW w:w="5223" w:type="pct"/>
        <w:tblLayout w:type="fixed"/>
        <w:tblLook w:val="04E0" w:firstRow="1" w:lastRow="1" w:firstColumn="1" w:lastColumn="0" w:noHBand="0" w:noVBand="1"/>
      </w:tblPr>
      <w:tblGrid>
        <w:gridCol w:w="1111"/>
        <w:gridCol w:w="837"/>
        <w:gridCol w:w="839"/>
        <w:gridCol w:w="875"/>
        <w:gridCol w:w="875"/>
        <w:gridCol w:w="850"/>
        <w:gridCol w:w="892"/>
        <w:gridCol w:w="847"/>
        <w:gridCol w:w="987"/>
      </w:tblGrid>
      <w:tr w:rsidR="00C1113B" w:rsidRPr="008A4558" w14:paraId="47B11F0A" w14:textId="77777777" w:rsidTr="00F2249D">
        <w:trPr>
          <w:cnfStyle w:val="100000000000" w:firstRow="1" w:lastRow="0" w:firstColumn="0" w:lastColumn="0" w:oddVBand="0" w:evenVBand="0" w:oddHBand="0" w:evenHBand="0" w:firstRowFirstColumn="0" w:firstRowLastColumn="0" w:lastRowFirstColumn="0" w:lastRowLastColumn="0"/>
        </w:trPr>
        <w:tc>
          <w:tcPr>
            <w:tcW w:w="685" w:type="pct"/>
            <w:vMerge w:val="restart"/>
            <w:tcBorders>
              <w:right w:val="single" w:sz="2" w:space="0" w:color="B3DB8D" w:themeColor="background1" w:themeTint="99"/>
            </w:tcBorders>
            <w:vAlign w:val="center"/>
          </w:tcPr>
          <w:p w14:paraId="7780E8E0" w14:textId="77777777" w:rsidR="00C60B6B" w:rsidRPr="00B57871" w:rsidRDefault="00C60B6B" w:rsidP="00582215">
            <w:pPr>
              <w:spacing w:before="80" w:after="80" w:line="220" w:lineRule="atLeast"/>
              <w:rPr>
                <w:rFonts w:ascii="Arial" w:hAnsi="Arial"/>
                <w:color w:val="auto"/>
                <w:sz w:val="17"/>
                <w:szCs w:val="17"/>
              </w:rPr>
            </w:pPr>
            <w:r w:rsidRPr="00B57871">
              <w:rPr>
                <w:rFonts w:ascii="Arial" w:hAnsi="Arial"/>
                <w:color w:val="auto"/>
                <w:sz w:val="17"/>
                <w:szCs w:val="17"/>
              </w:rPr>
              <w:t xml:space="preserve">Material </w:t>
            </w:r>
          </w:p>
        </w:tc>
        <w:tc>
          <w:tcPr>
            <w:tcW w:w="1033" w:type="pct"/>
            <w:gridSpan w:val="2"/>
            <w:tcBorders>
              <w:top w:val="single" w:sz="2" w:space="0" w:color="82C341" w:themeColor="background1"/>
              <w:left w:val="single" w:sz="2" w:space="0" w:color="B3DB8D" w:themeColor="background1" w:themeTint="99"/>
              <w:bottom w:val="single" w:sz="4" w:space="0" w:color="82C341" w:themeColor="background1"/>
              <w:right w:val="single" w:sz="2" w:space="0" w:color="B3DB8D" w:themeColor="background1" w:themeTint="99"/>
            </w:tcBorders>
            <w:vAlign w:val="center"/>
          </w:tcPr>
          <w:p w14:paraId="2772DEF9" w14:textId="1990F194" w:rsidR="00C60B6B" w:rsidRPr="00B57871" w:rsidRDefault="00C60B6B" w:rsidP="00582215">
            <w:pPr>
              <w:spacing w:before="80" w:after="0" w:line="220" w:lineRule="atLeast"/>
              <w:jc w:val="center"/>
              <w:rPr>
                <w:rFonts w:ascii="Arial" w:hAnsi="Arial"/>
                <w:color w:val="auto"/>
                <w:sz w:val="17"/>
                <w:szCs w:val="17"/>
              </w:rPr>
            </w:pPr>
            <w:r w:rsidRPr="00B57871">
              <w:rPr>
                <w:rFonts w:ascii="Arial" w:hAnsi="Arial"/>
                <w:color w:val="auto"/>
                <w:sz w:val="17"/>
                <w:szCs w:val="17"/>
              </w:rPr>
              <w:t>Municipal</w:t>
            </w:r>
            <w:r w:rsidR="005D2691" w:rsidRPr="00B57871">
              <w:rPr>
                <w:rFonts w:ascii="Arial" w:hAnsi="Arial" w:cs="Arial"/>
                <w:color w:val="auto"/>
                <w:sz w:val="17"/>
                <w:szCs w:val="17"/>
                <w:vertAlign w:val="superscript"/>
              </w:rPr>
              <w:t>‡</w:t>
            </w:r>
          </w:p>
        </w:tc>
        <w:tc>
          <w:tcPr>
            <w:tcW w:w="1077" w:type="pct"/>
            <w:gridSpan w:val="2"/>
            <w:tcBorders>
              <w:top w:val="single" w:sz="2" w:space="0" w:color="82C341" w:themeColor="background1"/>
              <w:left w:val="single" w:sz="2" w:space="0" w:color="B3DB8D" w:themeColor="background1" w:themeTint="99"/>
              <w:bottom w:val="single" w:sz="4" w:space="0" w:color="82C341" w:themeColor="background1"/>
              <w:right w:val="single" w:sz="2" w:space="0" w:color="B3DB8D" w:themeColor="background1" w:themeTint="99"/>
            </w:tcBorders>
            <w:vAlign w:val="center"/>
          </w:tcPr>
          <w:p w14:paraId="7CE0CB33" w14:textId="77777777" w:rsidR="00C60B6B" w:rsidRPr="00B57871" w:rsidRDefault="00C60B6B" w:rsidP="00582215">
            <w:pPr>
              <w:spacing w:before="80" w:after="0" w:line="220" w:lineRule="atLeast"/>
              <w:jc w:val="center"/>
              <w:rPr>
                <w:rFonts w:ascii="Arial" w:hAnsi="Arial"/>
                <w:color w:val="auto"/>
                <w:sz w:val="17"/>
                <w:szCs w:val="17"/>
              </w:rPr>
            </w:pPr>
            <w:r w:rsidRPr="00B57871">
              <w:rPr>
                <w:rFonts w:ascii="Arial" w:hAnsi="Arial"/>
                <w:color w:val="auto"/>
                <w:sz w:val="17"/>
                <w:szCs w:val="17"/>
              </w:rPr>
              <w:t>C&amp;I</w:t>
            </w:r>
          </w:p>
        </w:tc>
        <w:tc>
          <w:tcPr>
            <w:tcW w:w="1074" w:type="pct"/>
            <w:gridSpan w:val="2"/>
            <w:tcBorders>
              <w:top w:val="single" w:sz="2" w:space="0" w:color="82C341" w:themeColor="background1"/>
              <w:left w:val="single" w:sz="2" w:space="0" w:color="B3DB8D" w:themeColor="background1" w:themeTint="99"/>
              <w:bottom w:val="single" w:sz="4" w:space="0" w:color="82C341" w:themeColor="background1"/>
              <w:right w:val="single" w:sz="2" w:space="0" w:color="B3DB8D" w:themeColor="background1" w:themeTint="99"/>
            </w:tcBorders>
            <w:vAlign w:val="center"/>
          </w:tcPr>
          <w:p w14:paraId="56E04E13" w14:textId="77777777" w:rsidR="00C60B6B" w:rsidRPr="00B57871" w:rsidRDefault="00C60B6B" w:rsidP="00582215">
            <w:pPr>
              <w:spacing w:before="80" w:after="0" w:line="220" w:lineRule="atLeast"/>
              <w:jc w:val="center"/>
              <w:rPr>
                <w:rFonts w:ascii="Arial" w:hAnsi="Arial"/>
                <w:color w:val="auto"/>
                <w:sz w:val="17"/>
                <w:szCs w:val="17"/>
              </w:rPr>
            </w:pPr>
            <w:r w:rsidRPr="00B57871">
              <w:rPr>
                <w:rFonts w:ascii="Arial" w:hAnsi="Arial"/>
                <w:color w:val="auto"/>
                <w:sz w:val="17"/>
                <w:szCs w:val="17"/>
              </w:rPr>
              <w:t>C&amp;D</w:t>
            </w:r>
          </w:p>
        </w:tc>
        <w:tc>
          <w:tcPr>
            <w:tcW w:w="1131" w:type="pct"/>
            <w:gridSpan w:val="2"/>
            <w:tcBorders>
              <w:left w:val="single" w:sz="2" w:space="0" w:color="B3DB8D" w:themeColor="background1" w:themeTint="99"/>
            </w:tcBorders>
            <w:vAlign w:val="center"/>
          </w:tcPr>
          <w:p w14:paraId="76201421" w14:textId="77777777" w:rsidR="00C60B6B" w:rsidRPr="00B57871" w:rsidRDefault="00C60B6B" w:rsidP="00582215">
            <w:pPr>
              <w:spacing w:before="80" w:after="0" w:line="220" w:lineRule="atLeast"/>
              <w:jc w:val="center"/>
              <w:rPr>
                <w:rFonts w:ascii="Arial" w:hAnsi="Arial"/>
                <w:color w:val="auto"/>
                <w:sz w:val="17"/>
                <w:szCs w:val="17"/>
              </w:rPr>
            </w:pPr>
            <w:r w:rsidRPr="00B57871">
              <w:rPr>
                <w:rFonts w:ascii="Arial" w:hAnsi="Arial"/>
                <w:color w:val="auto"/>
                <w:sz w:val="17"/>
                <w:szCs w:val="17"/>
              </w:rPr>
              <w:t>Total</w:t>
            </w:r>
          </w:p>
        </w:tc>
      </w:tr>
      <w:tr w:rsidR="00C1113B" w:rsidRPr="00C55487" w14:paraId="4258635A" w14:textId="77777777" w:rsidTr="00F2249D">
        <w:tc>
          <w:tcPr>
            <w:tcW w:w="685" w:type="pct"/>
            <w:vMerge/>
            <w:tcBorders>
              <w:right w:val="single" w:sz="2" w:space="0" w:color="B3DB8D" w:themeColor="background1" w:themeTint="99"/>
            </w:tcBorders>
            <w:shd w:val="clear" w:color="auto" w:fill="82C341" w:themeFill="background1"/>
            <w:vAlign w:val="center"/>
          </w:tcPr>
          <w:p w14:paraId="71008F95" w14:textId="77777777" w:rsidR="00C60B6B" w:rsidRPr="00B57871" w:rsidRDefault="00C60B6B" w:rsidP="00582215">
            <w:pPr>
              <w:spacing w:before="80" w:after="80" w:line="220" w:lineRule="atLeast"/>
              <w:rPr>
                <w:rFonts w:ascii="Arial" w:hAnsi="Arial"/>
                <w:color w:val="auto"/>
                <w:sz w:val="17"/>
                <w:szCs w:val="17"/>
              </w:rPr>
            </w:pPr>
          </w:p>
        </w:tc>
        <w:tc>
          <w:tcPr>
            <w:tcW w:w="516" w:type="pct"/>
            <w:tcBorders>
              <w:top w:val="single" w:sz="4" w:space="0" w:color="82C341" w:themeColor="background1"/>
              <w:left w:val="single" w:sz="2" w:space="0" w:color="B3DB8D" w:themeColor="background1" w:themeTint="99"/>
              <w:bottom w:val="single" w:sz="4" w:space="0" w:color="82C341" w:themeColor="background1"/>
            </w:tcBorders>
            <w:shd w:val="clear" w:color="auto" w:fill="82C341" w:themeFill="background1"/>
            <w:vAlign w:val="center"/>
          </w:tcPr>
          <w:p w14:paraId="3D9135E0" w14:textId="77777777" w:rsidR="00C60B6B" w:rsidRPr="00B57871" w:rsidRDefault="00C60B6B" w:rsidP="00582215">
            <w:pPr>
              <w:spacing w:after="80" w:line="220" w:lineRule="atLeast"/>
              <w:jc w:val="right"/>
              <w:rPr>
                <w:rFonts w:ascii="Arial" w:hAnsi="Arial"/>
                <w:color w:val="auto"/>
                <w:sz w:val="17"/>
                <w:szCs w:val="17"/>
              </w:rPr>
            </w:pPr>
            <w:r w:rsidRPr="00B57871">
              <w:rPr>
                <w:rFonts w:ascii="Arial" w:hAnsi="Arial"/>
                <w:color w:val="auto"/>
                <w:sz w:val="17"/>
                <w:szCs w:val="17"/>
              </w:rPr>
              <w:t>Disp.</w:t>
            </w:r>
          </w:p>
        </w:tc>
        <w:tc>
          <w:tcPr>
            <w:tcW w:w="516" w:type="pct"/>
            <w:tcBorders>
              <w:top w:val="single" w:sz="4" w:space="0" w:color="82C341" w:themeColor="background1"/>
              <w:bottom w:val="single" w:sz="4" w:space="0" w:color="82C341" w:themeColor="background1"/>
              <w:right w:val="single" w:sz="2" w:space="0" w:color="B3DB8D" w:themeColor="background1" w:themeTint="99"/>
            </w:tcBorders>
            <w:shd w:val="clear" w:color="auto" w:fill="82C341" w:themeFill="background1"/>
            <w:vAlign w:val="center"/>
          </w:tcPr>
          <w:p w14:paraId="06CC97D6" w14:textId="77777777" w:rsidR="00C60B6B" w:rsidRPr="00B57871" w:rsidRDefault="00C60B6B" w:rsidP="00582215">
            <w:pPr>
              <w:spacing w:after="80" w:line="220" w:lineRule="atLeast"/>
              <w:jc w:val="right"/>
              <w:rPr>
                <w:rFonts w:ascii="Arial" w:hAnsi="Arial"/>
                <w:color w:val="auto"/>
                <w:sz w:val="17"/>
                <w:szCs w:val="17"/>
              </w:rPr>
            </w:pPr>
            <w:r w:rsidRPr="00B57871">
              <w:rPr>
                <w:rFonts w:ascii="Arial" w:hAnsi="Arial"/>
                <w:color w:val="auto"/>
                <w:sz w:val="17"/>
                <w:szCs w:val="17"/>
              </w:rPr>
              <w:t>Rec.</w:t>
            </w:r>
          </w:p>
        </w:tc>
        <w:tc>
          <w:tcPr>
            <w:tcW w:w="539" w:type="pct"/>
            <w:tcBorders>
              <w:top w:val="single" w:sz="4" w:space="0" w:color="82C341" w:themeColor="background1"/>
              <w:left w:val="single" w:sz="2" w:space="0" w:color="B3DB8D" w:themeColor="background1" w:themeTint="99"/>
              <w:bottom w:val="single" w:sz="4" w:space="0" w:color="82C341" w:themeColor="background1"/>
            </w:tcBorders>
            <w:shd w:val="clear" w:color="auto" w:fill="82C341" w:themeFill="background1"/>
            <w:vAlign w:val="center"/>
          </w:tcPr>
          <w:p w14:paraId="71E9AED4" w14:textId="77777777" w:rsidR="00C60B6B" w:rsidRPr="00B57871" w:rsidRDefault="00C60B6B" w:rsidP="00582215">
            <w:pPr>
              <w:spacing w:after="80" w:line="220" w:lineRule="atLeast"/>
              <w:jc w:val="right"/>
              <w:rPr>
                <w:rFonts w:ascii="Arial" w:hAnsi="Arial"/>
                <w:color w:val="auto"/>
                <w:sz w:val="17"/>
                <w:szCs w:val="17"/>
              </w:rPr>
            </w:pPr>
            <w:r w:rsidRPr="00B57871">
              <w:rPr>
                <w:rFonts w:ascii="Arial" w:hAnsi="Arial"/>
                <w:color w:val="auto"/>
                <w:sz w:val="17"/>
                <w:szCs w:val="17"/>
              </w:rPr>
              <w:t>Disp.</w:t>
            </w:r>
          </w:p>
        </w:tc>
        <w:tc>
          <w:tcPr>
            <w:tcW w:w="539" w:type="pct"/>
            <w:tcBorders>
              <w:top w:val="single" w:sz="4" w:space="0" w:color="82C341" w:themeColor="background1"/>
              <w:bottom w:val="single" w:sz="4" w:space="0" w:color="82C341" w:themeColor="background1"/>
              <w:right w:val="single" w:sz="2" w:space="0" w:color="B3DB8D" w:themeColor="background1" w:themeTint="99"/>
            </w:tcBorders>
            <w:shd w:val="clear" w:color="auto" w:fill="82C341" w:themeFill="background1"/>
            <w:vAlign w:val="center"/>
          </w:tcPr>
          <w:p w14:paraId="2CE4DCCC" w14:textId="77777777" w:rsidR="00C60B6B" w:rsidRPr="00B57871" w:rsidRDefault="00C60B6B" w:rsidP="00582215">
            <w:pPr>
              <w:spacing w:after="80" w:line="220" w:lineRule="atLeast"/>
              <w:jc w:val="right"/>
              <w:rPr>
                <w:rFonts w:ascii="Arial" w:hAnsi="Arial"/>
                <w:color w:val="auto"/>
                <w:sz w:val="17"/>
                <w:szCs w:val="17"/>
              </w:rPr>
            </w:pPr>
            <w:r w:rsidRPr="00B57871">
              <w:rPr>
                <w:rFonts w:ascii="Arial" w:hAnsi="Arial"/>
                <w:color w:val="auto"/>
                <w:sz w:val="17"/>
                <w:szCs w:val="17"/>
              </w:rPr>
              <w:t>Rec.</w:t>
            </w:r>
          </w:p>
        </w:tc>
        <w:tc>
          <w:tcPr>
            <w:tcW w:w="524" w:type="pct"/>
            <w:tcBorders>
              <w:top w:val="single" w:sz="4" w:space="0" w:color="82C341" w:themeColor="background1"/>
              <w:left w:val="single" w:sz="2" w:space="0" w:color="B3DB8D" w:themeColor="background1" w:themeTint="99"/>
              <w:bottom w:val="single" w:sz="4" w:space="0" w:color="82C341" w:themeColor="background1"/>
            </w:tcBorders>
            <w:shd w:val="clear" w:color="auto" w:fill="82C341" w:themeFill="background1"/>
            <w:vAlign w:val="center"/>
          </w:tcPr>
          <w:p w14:paraId="62F75998" w14:textId="77777777" w:rsidR="00C60B6B" w:rsidRPr="00B57871" w:rsidRDefault="00C60B6B" w:rsidP="00582215">
            <w:pPr>
              <w:spacing w:after="80" w:line="220" w:lineRule="atLeast"/>
              <w:jc w:val="right"/>
              <w:rPr>
                <w:rFonts w:ascii="Arial" w:hAnsi="Arial"/>
                <w:color w:val="auto"/>
                <w:sz w:val="17"/>
                <w:szCs w:val="17"/>
              </w:rPr>
            </w:pPr>
            <w:r w:rsidRPr="00B57871">
              <w:rPr>
                <w:rFonts w:ascii="Arial" w:hAnsi="Arial"/>
                <w:color w:val="auto"/>
                <w:sz w:val="17"/>
                <w:szCs w:val="17"/>
              </w:rPr>
              <w:t>Disp.</w:t>
            </w:r>
          </w:p>
        </w:tc>
        <w:tc>
          <w:tcPr>
            <w:tcW w:w="550" w:type="pct"/>
            <w:tcBorders>
              <w:top w:val="single" w:sz="4" w:space="0" w:color="82C341" w:themeColor="background1"/>
              <w:bottom w:val="single" w:sz="4" w:space="0" w:color="82C341" w:themeColor="background1"/>
              <w:right w:val="single" w:sz="2" w:space="0" w:color="B3DB8D" w:themeColor="background1" w:themeTint="99"/>
            </w:tcBorders>
            <w:shd w:val="clear" w:color="auto" w:fill="82C341" w:themeFill="background1"/>
            <w:vAlign w:val="center"/>
          </w:tcPr>
          <w:p w14:paraId="4635141B" w14:textId="77777777" w:rsidR="00C60B6B" w:rsidRPr="00B57871" w:rsidRDefault="00C60B6B" w:rsidP="00582215">
            <w:pPr>
              <w:spacing w:after="80" w:line="220" w:lineRule="atLeast"/>
              <w:jc w:val="right"/>
              <w:rPr>
                <w:rFonts w:ascii="Arial" w:hAnsi="Arial"/>
                <w:color w:val="auto"/>
                <w:sz w:val="17"/>
                <w:szCs w:val="17"/>
              </w:rPr>
            </w:pPr>
            <w:r w:rsidRPr="00B57871">
              <w:rPr>
                <w:rFonts w:ascii="Arial" w:hAnsi="Arial"/>
                <w:color w:val="auto"/>
                <w:sz w:val="17"/>
                <w:szCs w:val="17"/>
              </w:rPr>
              <w:t>Rec.</w:t>
            </w:r>
          </w:p>
        </w:tc>
        <w:tc>
          <w:tcPr>
            <w:tcW w:w="522" w:type="pct"/>
            <w:tcBorders>
              <w:left w:val="single" w:sz="2" w:space="0" w:color="B3DB8D" w:themeColor="background1" w:themeTint="99"/>
            </w:tcBorders>
            <w:shd w:val="clear" w:color="auto" w:fill="82C341" w:themeFill="background1"/>
            <w:vAlign w:val="center"/>
          </w:tcPr>
          <w:p w14:paraId="7D511B42" w14:textId="77777777" w:rsidR="00C60B6B" w:rsidRPr="00B57871" w:rsidRDefault="00C60B6B" w:rsidP="00B57871">
            <w:pPr>
              <w:spacing w:after="80" w:line="220" w:lineRule="atLeast"/>
              <w:ind w:left="-5761"/>
              <w:jc w:val="right"/>
              <w:rPr>
                <w:rFonts w:ascii="Arial" w:hAnsi="Arial"/>
                <w:color w:val="auto"/>
                <w:sz w:val="17"/>
                <w:szCs w:val="17"/>
              </w:rPr>
            </w:pPr>
            <w:r w:rsidRPr="00B57871">
              <w:rPr>
                <w:rFonts w:ascii="Arial" w:hAnsi="Arial"/>
                <w:color w:val="auto"/>
                <w:sz w:val="17"/>
                <w:szCs w:val="17"/>
              </w:rPr>
              <w:t>Disp.</w:t>
            </w:r>
          </w:p>
        </w:tc>
        <w:tc>
          <w:tcPr>
            <w:tcW w:w="609" w:type="pct"/>
            <w:shd w:val="clear" w:color="auto" w:fill="82C341" w:themeFill="background1"/>
            <w:vAlign w:val="center"/>
          </w:tcPr>
          <w:p w14:paraId="2B8FAFCF" w14:textId="77777777" w:rsidR="00C60B6B" w:rsidRPr="00B57871" w:rsidRDefault="00C60B6B" w:rsidP="00582215">
            <w:pPr>
              <w:spacing w:after="80" w:line="220" w:lineRule="atLeast"/>
              <w:jc w:val="right"/>
              <w:rPr>
                <w:rFonts w:ascii="Arial" w:hAnsi="Arial"/>
                <w:color w:val="auto"/>
                <w:sz w:val="17"/>
                <w:szCs w:val="17"/>
              </w:rPr>
            </w:pPr>
            <w:r w:rsidRPr="00B57871">
              <w:rPr>
                <w:rFonts w:ascii="Arial" w:hAnsi="Arial"/>
                <w:color w:val="auto"/>
                <w:sz w:val="17"/>
                <w:szCs w:val="17"/>
              </w:rPr>
              <w:t>Rec.</w:t>
            </w:r>
          </w:p>
        </w:tc>
      </w:tr>
      <w:tr w:rsidR="00C1113B" w:rsidRPr="008A4558" w14:paraId="7077E89A" w14:textId="77777777" w:rsidTr="00F2249D">
        <w:tc>
          <w:tcPr>
            <w:tcW w:w="685" w:type="pct"/>
            <w:tcBorders>
              <w:right w:val="single" w:sz="2" w:space="0" w:color="82C341" w:themeColor="background1"/>
            </w:tcBorders>
          </w:tcPr>
          <w:p w14:paraId="53E854A7" w14:textId="77777777" w:rsidR="00C60B6B" w:rsidRPr="008A4558" w:rsidRDefault="00C60B6B" w:rsidP="00582215">
            <w:pPr>
              <w:spacing w:before="70" w:after="70" w:line="220" w:lineRule="atLeast"/>
              <w:rPr>
                <w:bCs/>
                <w:color w:val="auto"/>
                <w:sz w:val="17"/>
                <w:szCs w:val="17"/>
              </w:rPr>
            </w:pPr>
            <w:r w:rsidRPr="008A4558">
              <w:rPr>
                <w:rFonts w:eastAsiaTheme="minorEastAsia" w:cstheme="minorHAnsi"/>
                <w:bCs/>
                <w:color w:val="auto"/>
                <w:sz w:val="17"/>
                <w:szCs w:val="17"/>
              </w:rPr>
              <w:t xml:space="preserve">Aggregate, </w:t>
            </w:r>
            <w:proofErr w:type="gramStart"/>
            <w:r w:rsidRPr="008A4558">
              <w:rPr>
                <w:rFonts w:eastAsiaTheme="minorEastAsia" w:cstheme="minorHAnsi"/>
                <w:bCs/>
                <w:color w:val="auto"/>
                <w:sz w:val="17"/>
                <w:szCs w:val="17"/>
              </w:rPr>
              <w:t>masonry</w:t>
            </w:r>
            <w:proofErr w:type="gramEnd"/>
            <w:r w:rsidRPr="008A4558">
              <w:rPr>
                <w:rFonts w:eastAsiaTheme="minorEastAsia" w:cstheme="minorHAnsi"/>
                <w:bCs/>
                <w:color w:val="auto"/>
                <w:sz w:val="17"/>
                <w:szCs w:val="17"/>
              </w:rPr>
              <w:t xml:space="preserve"> and soil</w:t>
            </w:r>
          </w:p>
        </w:tc>
        <w:tc>
          <w:tcPr>
            <w:tcW w:w="516" w:type="pct"/>
            <w:tcBorders>
              <w:top w:val="single" w:sz="4" w:space="0" w:color="82C341" w:themeColor="background1"/>
              <w:left w:val="single" w:sz="2" w:space="0" w:color="82C341" w:themeColor="background1"/>
              <w:bottom w:val="single" w:sz="4" w:space="0" w:color="82C341" w:themeColor="background1"/>
            </w:tcBorders>
          </w:tcPr>
          <w:p w14:paraId="13046629" w14:textId="4B631DE2" w:rsidR="00C60B6B" w:rsidRPr="008A4558" w:rsidRDefault="00C60B6B" w:rsidP="00582215">
            <w:pPr>
              <w:spacing w:before="70" w:after="70" w:line="220" w:lineRule="atLeast"/>
              <w:jc w:val="right"/>
              <w:rPr>
                <w:rFonts w:eastAsiaTheme="minorEastAsia" w:cstheme="minorHAnsi"/>
                <w:bCs/>
                <w:color w:val="auto"/>
                <w:sz w:val="17"/>
                <w:szCs w:val="17"/>
              </w:rPr>
            </w:pPr>
            <w:r w:rsidRPr="008A4558">
              <w:rPr>
                <w:rFonts w:eastAsiaTheme="minorEastAsia" w:cstheme="minorHAnsi"/>
                <w:bCs/>
                <w:color w:val="auto"/>
                <w:sz w:val="17"/>
                <w:szCs w:val="17"/>
              </w:rPr>
              <w:t>6</w:t>
            </w:r>
            <w:r w:rsidRPr="00C55487">
              <w:rPr>
                <w:rFonts w:eastAsiaTheme="minorEastAsia" w:cstheme="minorHAnsi"/>
                <w:bCs/>
                <w:color w:val="auto"/>
                <w:sz w:val="17"/>
                <w:szCs w:val="17"/>
              </w:rPr>
              <w:t>8</w:t>
            </w:r>
            <w:r w:rsidR="00C1113B">
              <w:rPr>
                <w:rFonts w:eastAsiaTheme="minorEastAsia" w:cstheme="minorHAnsi"/>
                <w:bCs/>
                <w:color w:val="auto"/>
                <w:sz w:val="17"/>
                <w:szCs w:val="17"/>
              </w:rPr>
              <w:t>.0</w:t>
            </w:r>
          </w:p>
        </w:tc>
        <w:tc>
          <w:tcPr>
            <w:tcW w:w="516" w:type="pct"/>
            <w:tcBorders>
              <w:top w:val="single" w:sz="4" w:space="0" w:color="82C341" w:themeColor="background1"/>
              <w:bottom w:val="single" w:sz="4" w:space="0" w:color="82C341" w:themeColor="background1"/>
              <w:right w:val="single" w:sz="2" w:space="0" w:color="82C341" w:themeColor="background1"/>
            </w:tcBorders>
          </w:tcPr>
          <w:p w14:paraId="2ACFDE0E" w14:textId="4E48CEED" w:rsidR="00C60B6B" w:rsidRDefault="00606971" w:rsidP="00582215">
            <w:pPr>
              <w:spacing w:before="70" w:after="70" w:line="220" w:lineRule="atLeast"/>
              <w:jc w:val="right"/>
              <w:rPr>
                <w:rFonts w:eastAsiaTheme="minorEastAsia" w:cstheme="minorHAnsi"/>
                <w:bCs/>
                <w:color w:val="auto"/>
                <w:sz w:val="17"/>
                <w:szCs w:val="17"/>
              </w:rPr>
            </w:pPr>
            <w:r>
              <w:rPr>
                <w:rFonts w:eastAsiaTheme="minorEastAsia" w:cstheme="minorHAnsi"/>
                <w:bCs/>
                <w:color w:val="auto"/>
                <w:sz w:val="17"/>
                <w:szCs w:val="17"/>
              </w:rPr>
              <w:t>95.8</w:t>
            </w:r>
          </w:p>
          <w:p w14:paraId="03868A8B" w14:textId="1AD38CEE" w:rsidR="00C60B6B" w:rsidRPr="008A4558" w:rsidRDefault="00C60B6B" w:rsidP="00582215">
            <w:pPr>
              <w:spacing w:before="70" w:after="70" w:line="220" w:lineRule="atLeast"/>
              <w:jc w:val="right"/>
              <w:rPr>
                <w:rFonts w:eastAsiaTheme="minorEastAsia" w:cstheme="minorHAnsi"/>
                <w:bCs/>
                <w:color w:val="auto"/>
                <w:sz w:val="17"/>
                <w:szCs w:val="17"/>
              </w:rPr>
            </w:pPr>
            <w:r w:rsidRPr="008A4558">
              <w:rPr>
                <w:rFonts w:eastAsiaTheme="minorEastAsia" w:cstheme="minorHAnsi"/>
                <w:bCs/>
                <w:color w:val="auto"/>
                <w:sz w:val="17"/>
                <w:szCs w:val="17"/>
              </w:rPr>
              <w:t>(</w:t>
            </w:r>
            <w:r w:rsidRPr="00C55487">
              <w:rPr>
                <w:rFonts w:eastAsiaTheme="minorEastAsia" w:cstheme="minorHAnsi"/>
                <w:bCs/>
                <w:color w:val="auto"/>
                <w:sz w:val="17"/>
                <w:szCs w:val="17"/>
              </w:rPr>
              <w:t>5</w:t>
            </w:r>
            <w:r w:rsidR="00F2249D">
              <w:rPr>
                <w:rFonts w:eastAsiaTheme="minorEastAsia" w:cstheme="minorHAnsi"/>
                <w:bCs/>
                <w:color w:val="auto"/>
                <w:sz w:val="17"/>
                <w:szCs w:val="17"/>
              </w:rPr>
              <w:t>8.5</w:t>
            </w:r>
            <w:r w:rsidRPr="008A4558">
              <w:rPr>
                <w:rFonts w:eastAsiaTheme="minorEastAsia" w:cstheme="minorHAnsi"/>
                <w:bCs/>
                <w:color w:val="auto"/>
                <w:sz w:val="17"/>
                <w:szCs w:val="17"/>
              </w:rPr>
              <w:t>%)</w:t>
            </w:r>
          </w:p>
        </w:tc>
        <w:tc>
          <w:tcPr>
            <w:tcW w:w="539" w:type="pct"/>
            <w:tcBorders>
              <w:top w:val="single" w:sz="4" w:space="0" w:color="82C341" w:themeColor="background1"/>
              <w:left w:val="single" w:sz="2" w:space="0" w:color="82C341" w:themeColor="background1"/>
              <w:bottom w:val="single" w:sz="4" w:space="0" w:color="82C341" w:themeColor="background1"/>
            </w:tcBorders>
          </w:tcPr>
          <w:p w14:paraId="5B7DA699" w14:textId="26B3CDB2" w:rsidR="00C60B6B" w:rsidRPr="008A4558" w:rsidRDefault="00C60B6B" w:rsidP="00582215">
            <w:pPr>
              <w:spacing w:before="70" w:after="70" w:line="220" w:lineRule="atLeast"/>
              <w:jc w:val="right"/>
              <w:rPr>
                <w:rFonts w:eastAsiaTheme="minorEastAsia" w:cstheme="minorHAnsi"/>
                <w:bCs/>
                <w:color w:val="auto"/>
                <w:sz w:val="17"/>
                <w:szCs w:val="17"/>
              </w:rPr>
            </w:pPr>
            <w:r w:rsidRPr="00C55487">
              <w:rPr>
                <w:rFonts w:eastAsiaTheme="minorEastAsia" w:cstheme="minorHAnsi"/>
                <w:bCs/>
                <w:color w:val="auto"/>
                <w:sz w:val="17"/>
                <w:szCs w:val="17"/>
              </w:rPr>
              <w:t>256</w:t>
            </w:r>
            <w:r w:rsidR="00ED418D">
              <w:rPr>
                <w:rFonts w:eastAsiaTheme="minorEastAsia" w:cstheme="minorHAnsi"/>
                <w:bCs/>
                <w:color w:val="auto"/>
                <w:sz w:val="17"/>
                <w:szCs w:val="17"/>
              </w:rPr>
              <w:t>.3</w:t>
            </w:r>
          </w:p>
        </w:tc>
        <w:tc>
          <w:tcPr>
            <w:tcW w:w="539" w:type="pct"/>
            <w:tcBorders>
              <w:top w:val="single" w:sz="4" w:space="0" w:color="82C341" w:themeColor="background1"/>
              <w:bottom w:val="single" w:sz="4" w:space="0" w:color="82C341" w:themeColor="background1"/>
              <w:right w:val="single" w:sz="2" w:space="0" w:color="82C341" w:themeColor="background1"/>
            </w:tcBorders>
          </w:tcPr>
          <w:p w14:paraId="7E6D2CF2" w14:textId="0986DA16" w:rsidR="00C60B6B" w:rsidRDefault="00C60B6B" w:rsidP="00582215">
            <w:pPr>
              <w:spacing w:before="70" w:after="70" w:line="220" w:lineRule="atLeast"/>
              <w:jc w:val="right"/>
              <w:rPr>
                <w:rFonts w:eastAsiaTheme="minorEastAsia" w:cstheme="minorHAnsi"/>
                <w:bCs/>
                <w:color w:val="auto"/>
                <w:sz w:val="17"/>
                <w:szCs w:val="17"/>
              </w:rPr>
            </w:pPr>
            <w:r w:rsidRPr="00C55487">
              <w:rPr>
                <w:rFonts w:eastAsiaTheme="minorEastAsia" w:cstheme="minorHAnsi"/>
                <w:bCs/>
                <w:color w:val="auto"/>
                <w:sz w:val="17"/>
                <w:szCs w:val="17"/>
              </w:rPr>
              <w:t>11</w:t>
            </w:r>
            <w:r w:rsidR="00ED418D">
              <w:rPr>
                <w:rFonts w:eastAsiaTheme="minorEastAsia" w:cstheme="minorHAnsi"/>
                <w:bCs/>
                <w:color w:val="auto"/>
                <w:sz w:val="17"/>
                <w:szCs w:val="17"/>
              </w:rPr>
              <w:t>4.9</w:t>
            </w:r>
            <w:r w:rsidRPr="008A4558">
              <w:rPr>
                <w:rFonts w:eastAsiaTheme="minorEastAsia" w:cstheme="minorHAnsi"/>
                <w:bCs/>
                <w:color w:val="auto"/>
                <w:sz w:val="17"/>
                <w:szCs w:val="17"/>
              </w:rPr>
              <w:t xml:space="preserve"> </w:t>
            </w:r>
          </w:p>
          <w:p w14:paraId="3D62394C" w14:textId="1C7921BF" w:rsidR="00C60B6B" w:rsidRPr="008A4558" w:rsidRDefault="00C60B6B" w:rsidP="00582215">
            <w:pPr>
              <w:spacing w:before="70" w:after="70" w:line="220" w:lineRule="atLeast"/>
              <w:jc w:val="right"/>
              <w:rPr>
                <w:rFonts w:eastAsiaTheme="minorEastAsia" w:cstheme="minorHAnsi"/>
                <w:bCs/>
                <w:color w:val="auto"/>
                <w:sz w:val="17"/>
                <w:szCs w:val="17"/>
              </w:rPr>
            </w:pPr>
            <w:r w:rsidRPr="008A4558">
              <w:rPr>
                <w:rFonts w:eastAsiaTheme="minorEastAsia" w:cstheme="minorHAnsi"/>
                <w:bCs/>
                <w:color w:val="auto"/>
                <w:sz w:val="17"/>
                <w:szCs w:val="17"/>
              </w:rPr>
              <w:t>(</w:t>
            </w:r>
            <w:r w:rsidRPr="00C55487">
              <w:rPr>
                <w:rFonts w:eastAsiaTheme="minorEastAsia" w:cstheme="minorHAnsi"/>
                <w:bCs/>
                <w:color w:val="auto"/>
                <w:sz w:val="17"/>
                <w:szCs w:val="17"/>
              </w:rPr>
              <w:t>31</w:t>
            </w:r>
            <w:r w:rsidR="00F2249D">
              <w:rPr>
                <w:rFonts w:eastAsiaTheme="minorEastAsia" w:cstheme="minorHAnsi"/>
                <w:bCs/>
                <w:color w:val="auto"/>
                <w:sz w:val="17"/>
                <w:szCs w:val="17"/>
              </w:rPr>
              <w:t>.0</w:t>
            </w:r>
            <w:r w:rsidRPr="008A4558">
              <w:rPr>
                <w:rFonts w:eastAsiaTheme="minorEastAsia" w:cstheme="minorHAnsi"/>
                <w:bCs/>
                <w:color w:val="auto"/>
                <w:sz w:val="17"/>
                <w:szCs w:val="17"/>
              </w:rPr>
              <w:t>%)</w:t>
            </w:r>
          </w:p>
        </w:tc>
        <w:tc>
          <w:tcPr>
            <w:tcW w:w="524" w:type="pct"/>
            <w:tcBorders>
              <w:top w:val="single" w:sz="4" w:space="0" w:color="82C341" w:themeColor="background1"/>
              <w:left w:val="single" w:sz="2" w:space="0" w:color="82C341" w:themeColor="background1"/>
              <w:bottom w:val="single" w:sz="4" w:space="0" w:color="82C341" w:themeColor="background1"/>
            </w:tcBorders>
          </w:tcPr>
          <w:p w14:paraId="7C3CFC56" w14:textId="3815DD3B" w:rsidR="00C60B6B" w:rsidRPr="008A4558" w:rsidRDefault="00C60B6B" w:rsidP="00582215">
            <w:pPr>
              <w:spacing w:before="70" w:after="70" w:line="220" w:lineRule="atLeast"/>
              <w:jc w:val="right"/>
              <w:rPr>
                <w:rFonts w:eastAsiaTheme="minorEastAsia" w:cstheme="minorHAnsi"/>
                <w:bCs/>
                <w:color w:val="auto"/>
                <w:sz w:val="17"/>
                <w:szCs w:val="17"/>
              </w:rPr>
            </w:pPr>
            <w:r w:rsidRPr="00C55487">
              <w:rPr>
                <w:rFonts w:eastAsiaTheme="minorEastAsia" w:cstheme="minorHAnsi"/>
                <w:bCs/>
                <w:color w:val="auto"/>
                <w:sz w:val="17"/>
                <w:szCs w:val="17"/>
              </w:rPr>
              <w:t>827</w:t>
            </w:r>
            <w:r w:rsidR="00C1113B">
              <w:rPr>
                <w:rFonts w:eastAsiaTheme="minorEastAsia" w:cstheme="minorHAnsi"/>
                <w:bCs/>
                <w:color w:val="auto"/>
                <w:sz w:val="17"/>
                <w:szCs w:val="17"/>
              </w:rPr>
              <w:t>.0</w:t>
            </w:r>
          </w:p>
        </w:tc>
        <w:tc>
          <w:tcPr>
            <w:tcW w:w="550" w:type="pct"/>
            <w:tcBorders>
              <w:top w:val="single" w:sz="4" w:space="0" w:color="82C341" w:themeColor="background1"/>
              <w:bottom w:val="single" w:sz="4" w:space="0" w:color="82C341" w:themeColor="background1"/>
              <w:right w:val="single" w:sz="2" w:space="0" w:color="82C341" w:themeColor="background1"/>
            </w:tcBorders>
          </w:tcPr>
          <w:p w14:paraId="4AA96661" w14:textId="4C13B3B4" w:rsidR="00C60B6B" w:rsidRDefault="00C60B6B" w:rsidP="00582215">
            <w:pPr>
              <w:spacing w:before="70" w:after="70" w:line="220" w:lineRule="atLeast"/>
              <w:jc w:val="right"/>
              <w:rPr>
                <w:rFonts w:eastAsiaTheme="minorEastAsia" w:cstheme="minorHAnsi"/>
                <w:bCs/>
                <w:color w:val="auto"/>
                <w:sz w:val="17"/>
                <w:szCs w:val="17"/>
              </w:rPr>
            </w:pPr>
            <w:r w:rsidRPr="008A4558">
              <w:rPr>
                <w:rFonts w:eastAsiaTheme="minorEastAsia" w:cstheme="minorHAnsi"/>
                <w:bCs/>
                <w:color w:val="auto"/>
                <w:sz w:val="17"/>
                <w:szCs w:val="17"/>
              </w:rPr>
              <w:t>6,</w:t>
            </w:r>
            <w:r w:rsidRPr="00C55487">
              <w:rPr>
                <w:rFonts w:eastAsiaTheme="minorEastAsia" w:cstheme="minorHAnsi"/>
                <w:bCs/>
                <w:color w:val="auto"/>
                <w:sz w:val="17"/>
                <w:szCs w:val="17"/>
              </w:rPr>
              <w:t>32</w:t>
            </w:r>
            <w:r w:rsidR="00C1113B">
              <w:rPr>
                <w:rFonts w:eastAsiaTheme="minorEastAsia" w:cstheme="minorHAnsi"/>
                <w:bCs/>
                <w:color w:val="auto"/>
                <w:sz w:val="17"/>
                <w:szCs w:val="17"/>
              </w:rPr>
              <w:t>7.9</w:t>
            </w:r>
            <w:r w:rsidRPr="008A4558">
              <w:rPr>
                <w:rFonts w:eastAsiaTheme="minorEastAsia" w:cstheme="minorHAnsi"/>
                <w:bCs/>
                <w:color w:val="auto"/>
                <w:sz w:val="17"/>
                <w:szCs w:val="17"/>
              </w:rPr>
              <w:t xml:space="preserve"> </w:t>
            </w:r>
          </w:p>
          <w:p w14:paraId="5FC969E2" w14:textId="2CBC4977" w:rsidR="00C60B6B" w:rsidRPr="008A4558" w:rsidRDefault="00C60B6B" w:rsidP="00582215">
            <w:pPr>
              <w:spacing w:before="70" w:after="70" w:line="220" w:lineRule="atLeast"/>
              <w:jc w:val="right"/>
              <w:rPr>
                <w:rFonts w:eastAsiaTheme="minorEastAsia" w:cstheme="minorHAnsi"/>
                <w:bCs/>
                <w:color w:val="auto"/>
                <w:sz w:val="17"/>
                <w:szCs w:val="17"/>
              </w:rPr>
            </w:pPr>
            <w:r w:rsidRPr="008A4558">
              <w:rPr>
                <w:rFonts w:eastAsiaTheme="minorEastAsia" w:cstheme="minorHAnsi"/>
                <w:bCs/>
                <w:color w:val="auto"/>
                <w:sz w:val="17"/>
                <w:szCs w:val="17"/>
              </w:rPr>
              <w:t>(8</w:t>
            </w:r>
            <w:r w:rsidRPr="00C55487">
              <w:rPr>
                <w:rFonts w:eastAsiaTheme="minorEastAsia" w:cstheme="minorHAnsi"/>
                <w:bCs/>
                <w:color w:val="auto"/>
                <w:sz w:val="17"/>
                <w:szCs w:val="17"/>
              </w:rPr>
              <w:t>8</w:t>
            </w:r>
            <w:r w:rsidR="00F2249D">
              <w:rPr>
                <w:rFonts w:eastAsiaTheme="minorEastAsia" w:cstheme="minorHAnsi"/>
                <w:bCs/>
                <w:color w:val="auto"/>
                <w:sz w:val="17"/>
                <w:szCs w:val="17"/>
              </w:rPr>
              <w:t>.4</w:t>
            </w:r>
            <w:r w:rsidRPr="008A4558">
              <w:rPr>
                <w:rFonts w:eastAsiaTheme="minorEastAsia" w:cstheme="minorHAnsi"/>
                <w:bCs/>
                <w:color w:val="auto"/>
                <w:sz w:val="17"/>
                <w:szCs w:val="17"/>
              </w:rPr>
              <w:t>%)</w:t>
            </w:r>
          </w:p>
        </w:tc>
        <w:tc>
          <w:tcPr>
            <w:tcW w:w="522" w:type="pct"/>
            <w:tcBorders>
              <w:left w:val="single" w:sz="2" w:space="0" w:color="82C341" w:themeColor="background1"/>
            </w:tcBorders>
          </w:tcPr>
          <w:p w14:paraId="4CEFEA5A" w14:textId="0A75BD9B" w:rsidR="00C60B6B" w:rsidRPr="008A4558" w:rsidRDefault="00C60B6B" w:rsidP="00B57871">
            <w:pPr>
              <w:spacing w:before="70" w:after="70" w:line="220" w:lineRule="atLeast"/>
              <w:ind w:right="-27"/>
              <w:jc w:val="right"/>
              <w:rPr>
                <w:rFonts w:eastAsiaTheme="minorEastAsia" w:cstheme="minorHAnsi"/>
                <w:bCs/>
                <w:color w:val="auto"/>
                <w:sz w:val="17"/>
                <w:szCs w:val="17"/>
              </w:rPr>
            </w:pPr>
            <w:r w:rsidRPr="00C55487">
              <w:rPr>
                <w:rFonts w:eastAsiaTheme="minorEastAsia" w:cstheme="minorHAnsi"/>
                <w:bCs/>
                <w:color w:val="auto"/>
                <w:sz w:val="17"/>
                <w:szCs w:val="17"/>
              </w:rPr>
              <w:t>1,151</w:t>
            </w:r>
            <w:r w:rsidR="00ED418D">
              <w:rPr>
                <w:rFonts w:eastAsiaTheme="minorEastAsia" w:cstheme="minorHAnsi"/>
                <w:bCs/>
                <w:color w:val="auto"/>
                <w:sz w:val="17"/>
                <w:szCs w:val="17"/>
              </w:rPr>
              <w:t>.2</w:t>
            </w:r>
          </w:p>
        </w:tc>
        <w:tc>
          <w:tcPr>
            <w:tcW w:w="609" w:type="pct"/>
          </w:tcPr>
          <w:p w14:paraId="2AFE6413" w14:textId="78B88CBB" w:rsidR="00C60B6B" w:rsidRDefault="00C60B6B" w:rsidP="00582215">
            <w:pPr>
              <w:spacing w:before="70" w:after="70" w:line="220" w:lineRule="atLeast"/>
              <w:jc w:val="right"/>
              <w:rPr>
                <w:rFonts w:eastAsiaTheme="minorEastAsia" w:cstheme="minorHAnsi"/>
                <w:bCs/>
                <w:color w:val="auto"/>
                <w:sz w:val="17"/>
                <w:szCs w:val="17"/>
              </w:rPr>
            </w:pPr>
            <w:r w:rsidRPr="00C55487">
              <w:rPr>
                <w:rFonts w:eastAsiaTheme="minorEastAsia" w:cstheme="minorHAnsi"/>
                <w:bCs/>
                <w:color w:val="auto"/>
                <w:sz w:val="17"/>
                <w:szCs w:val="17"/>
              </w:rPr>
              <w:t>6,53</w:t>
            </w:r>
            <w:r w:rsidR="00ED418D">
              <w:rPr>
                <w:rFonts w:eastAsiaTheme="minorEastAsia" w:cstheme="minorHAnsi"/>
                <w:bCs/>
                <w:color w:val="auto"/>
                <w:sz w:val="17"/>
                <w:szCs w:val="17"/>
              </w:rPr>
              <w:t>8.7</w:t>
            </w:r>
            <w:r w:rsidRPr="008A4558">
              <w:rPr>
                <w:rFonts w:eastAsiaTheme="minorEastAsia" w:cstheme="minorHAnsi"/>
                <w:bCs/>
                <w:color w:val="auto"/>
                <w:sz w:val="17"/>
                <w:szCs w:val="17"/>
              </w:rPr>
              <w:t xml:space="preserve"> </w:t>
            </w:r>
          </w:p>
          <w:p w14:paraId="7C51FD86" w14:textId="093751B0" w:rsidR="00C60B6B" w:rsidRPr="008A4558" w:rsidRDefault="00C60B6B" w:rsidP="00582215">
            <w:pPr>
              <w:spacing w:before="70" w:after="70" w:line="220" w:lineRule="atLeast"/>
              <w:jc w:val="right"/>
              <w:rPr>
                <w:rFonts w:eastAsiaTheme="minorEastAsia" w:cstheme="minorHAnsi"/>
                <w:bCs/>
                <w:color w:val="auto"/>
                <w:sz w:val="17"/>
                <w:szCs w:val="17"/>
              </w:rPr>
            </w:pPr>
            <w:r w:rsidRPr="008A4558">
              <w:rPr>
                <w:rFonts w:eastAsiaTheme="minorEastAsia" w:cstheme="minorHAnsi"/>
                <w:bCs/>
                <w:color w:val="auto"/>
                <w:sz w:val="17"/>
                <w:szCs w:val="17"/>
              </w:rPr>
              <w:t>(85</w:t>
            </w:r>
            <w:r w:rsidR="00F2249D">
              <w:rPr>
                <w:rFonts w:eastAsiaTheme="minorEastAsia" w:cstheme="minorHAnsi"/>
                <w:bCs/>
                <w:color w:val="auto"/>
                <w:sz w:val="17"/>
                <w:szCs w:val="17"/>
              </w:rPr>
              <w:t>.0</w:t>
            </w:r>
            <w:r w:rsidRPr="008A4558">
              <w:rPr>
                <w:rFonts w:eastAsiaTheme="minorEastAsia" w:cstheme="minorHAnsi"/>
                <w:bCs/>
                <w:color w:val="auto"/>
                <w:sz w:val="17"/>
                <w:szCs w:val="17"/>
              </w:rPr>
              <w:t>%)</w:t>
            </w:r>
          </w:p>
        </w:tc>
      </w:tr>
      <w:tr w:rsidR="00C1113B" w:rsidRPr="008A4558" w14:paraId="19FC6C2F" w14:textId="77777777" w:rsidTr="00F2249D">
        <w:trPr>
          <w:trHeight w:val="137"/>
        </w:trPr>
        <w:tc>
          <w:tcPr>
            <w:tcW w:w="685" w:type="pct"/>
            <w:tcBorders>
              <w:right w:val="single" w:sz="2" w:space="0" w:color="82C341" w:themeColor="background1"/>
            </w:tcBorders>
          </w:tcPr>
          <w:p w14:paraId="43233D94" w14:textId="77777777" w:rsidR="00C60B6B" w:rsidRPr="008A4558" w:rsidRDefault="00C60B6B" w:rsidP="00582215">
            <w:pPr>
              <w:spacing w:before="70" w:after="70" w:line="220" w:lineRule="atLeast"/>
              <w:rPr>
                <w:bCs/>
                <w:color w:val="auto"/>
                <w:sz w:val="17"/>
                <w:szCs w:val="17"/>
              </w:rPr>
            </w:pPr>
            <w:r w:rsidRPr="008A4558">
              <w:rPr>
                <w:rFonts w:eastAsiaTheme="minorEastAsia" w:cstheme="minorHAnsi"/>
                <w:bCs/>
                <w:color w:val="auto"/>
                <w:sz w:val="17"/>
                <w:szCs w:val="17"/>
              </w:rPr>
              <w:t>Glass</w:t>
            </w:r>
          </w:p>
        </w:tc>
        <w:tc>
          <w:tcPr>
            <w:tcW w:w="516" w:type="pct"/>
            <w:tcBorders>
              <w:top w:val="single" w:sz="4" w:space="0" w:color="82C341" w:themeColor="background1"/>
              <w:left w:val="single" w:sz="2" w:space="0" w:color="82C341" w:themeColor="background1"/>
              <w:bottom w:val="single" w:sz="4" w:space="0" w:color="82C341" w:themeColor="background1"/>
            </w:tcBorders>
          </w:tcPr>
          <w:p w14:paraId="39FE2451" w14:textId="7563B4BB" w:rsidR="00C60B6B" w:rsidRPr="008A4558" w:rsidRDefault="00606971" w:rsidP="00582215">
            <w:pPr>
              <w:spacing w:before="70" w:after="70" w:line="220" w:lineRule="atLeast"/>
              <w:jc w:val="right"/>
              <w:rPr>
                <w:rFonts w:eastAsiaTheme="minorEastAsia" w:cstheme="minorHAnsi"/>
                <w:bCs/>
                <w:color w:val="auto"/>
                <w:sz w:val="17"/>
                <w:szCs w:val="17"/>
              </w:rPr>
            </w:pPr>
            <w:r>
              <w:rPr>
                <w:rFonts w:eastAsiaTheme="minorEastAsia" w:cstheme="minorHAnsi"/>
                <w:bCs/>
                <w:color w:val="auto"/>
                <w:sz w:val="17"/>
                <w:szCs w:val="17"/>
              </w:rPr>
              <w:t>39.8</w:t>
            </w:r>
          </w:p>
        </w:tc>
        <w:tc>
          <w:tcPr>
            <w:tcW w:w="516" w:type="pct"/>
            <w:tcBorders>
              <w:top w:val="single" w:sz="4" w:space="0" w:color="82C341" w:themeColor="background1"/>
              <w:bottom w:val="single" w:sz="4" w:space="0" w:color="82C341" w:themeColor="background1"/>
              <w:right w:val="single" w:sz="2" w:space="0" w:color="82C341" w:themeColor="background1"/>
            </w:tcBorders>
          </w:tcPr>
          <w:p w14:paraId="65C41130" w14:textId="1B43CD06" w:rsidR="00C60B6B" w:rsidRDefault="00C60B6B" w:rsidP="00582215">
            <w:pPr>
              <w:spacing w:before="70" w:after="70" w:line="220" w:lineRule="atLeast"/>
              <w:jc w:val="right"/>
              <w:rPr>
                <w:rFonts w:eastAsiaTheme="minorEastAsia" w:cstheme="minorHAnsi"/>
                <w:bCs/>
                <w:color w:val="auto"/>
                <w:sz w:val="17"/>
                <w:szCs w:val="17"/>
              </w:rPr>
            </w:pPr>
            <w:r w:rsidRPr="00C55487">
              <w:rPr>
                <w:rFonts w:eastAsiaTheme="minorEastAsia" w:cstheme="minorHAnsi"/>
                <w:bCs/>
                <w:color w:val="auto"/>
                <w:sz w:val="17"/>
                <w:szCs w:val="17"/>
              </w:rPr>
              <w:t>28</w:t>
            </w:r>
            <w:r w:rsidR="00606971">
              <w:rPr>
                <w:rFonts w:eastAsiaTheme="minorEastAsia" w:cstheme="minorHAnsi"/>
                <w:bCs/>
                <w:color w:val="auto"/>
                <w:sz w:val="17"/>
                <w:szCs w:val="17"/>
              </w:rPr>
              <w:t>7.5</w:t>
            </w:r>
            <w:r w:rsidRPr="008A4558">
              <w:rPr>
                <w:rFonts w:eastAsiaTheme="minorEastAsia" w:cstheme="minorHAnsi"/>
                <w:bCs/>
                <w:color w:val="auto"/>
                <w:sz w:val="17"/>
                <w:szCs w:val="17"/>
              </w:rPr>
              <w:t xml:space="preserve"> </w:t>
            </w:r>
          </w:p>
          <w:p w14:paraId="2DD44F81" w14:textId="789CA5BA" w:rsidR="00C60B6B" w:rsidRPr="008A4558" w:rsidRDefault="00C60B6B" w:rsidP="00582215">
            <w:pPr>
              <w:spacing w:before="70" w:after="70" w:line="220" w:lineRule="atLeast"/>
              <w:jc w:val="right"/>
              <w:rPr>
                <w:rFonts w:eastAsiaTheme="minorEastAsia" w:cstheme="minorHAnsi"/>
                <w:bCs/>
                <w:color w:val="auto"/>
                <w:sz w:val="17"/>
                <w:szCs w:val="17"/>
              </w:rPr>
            </w:pPr>
            <w:r w:rsidRPr="008A4558">
              <w:rPr>
                <w:rFonts w:eastAsiaTheme="minorEastAsia" w:cstheme="minorHAnsi"/>
                <w:bCs/>
                <w:color w:val="auto"/>
                <w:sz w:val="17"/>
                <w:szCs w:val="17"/>
              </w:rPr>
              <w:t>(8</w:t>
            </w:r>
            <w:r w:rsidR="00F2249D">
              <w:rPr>
                <w:rFonts w:eastAsiaTheme="minorEastAsia" w:cstheme="minorHAnsi"/>
                <w:bCs/>
                <w:color w:val="auto"/>
                <w:sz w:val="17"/>
                <w:szCs w:val="17"/>
              </w:rPr>
              <w:t>7.9</w:t>
            </w:r>
            <w:r w:rsidRPr="008A4558">
              <w:rPr>
                <w:rFonts w:eastAsiaTheme="minorEastAsia" w:cstheme="minorHAnsi"/>
                <w:bCs/>
                <w:color w:val="auto"/>
                <w:sz w:val="17"/>
                <w:szCs w:val="17"/>
              </w:rPr>
              <w:t>%)</w:t>
            </w:r>
          </w:p>
        </w:tc>
        <w:tc>
          <w:tcPr>
            <w:tcW w:w="539" w:type="pct"/>
            <w:tcBorders>
              <w:top w:val="single" w:sz="4" w:space="0" w:color="82C341" w:themeColor="background1"/>
              <w:left w:val="single" w:sz="2" w:space="0" w:color="82C341" w:themeColor="background1"/>
              <w:bottom w:val="single" w:sz="4" w:space="0" w:color="82C341" w:themeColor="background1"/>
            </w:tcBorders>
          </w:tcPr>
          <w:p w14:paraId="44FAE560" w14:textId="655E96CC" w:rsidR="00C60B6B" w:rsidRPr="008A4558" w:rsidRDefault="00C60B6B" w:rsidP="00582215">
            <w:pPr>
              <w:spacing w:before="70" w:after="70" w:line="220" w:lineRule="atLeast"/>
              <w:jc w:val="right"/>
              <w:rPr>
                <w:rFonts w:eastAsiaTheme="minorEastAsia" w:cstheme="minorHAnsi"/>
                <w:bCs/>
                <w:color w:val="auto"/>
                <w:sz w:val="17"/>
                <w:szCs w:val="17"/>
              </w:rPr>
            </w:pPr>
            <w:r w:rsidRPr="00C55487">
              <w:rPr>
                <w:rFonts w:eastAsiaTheme="minorEastAsia" w:cstheme="minorHAnsi"/>
                <w:bCs/>
                <w:color w:val="auto"/>
                <w:sz w:val="17"/>
                <w:szCs w:val="17"/>
              </w:rPr>
              <w:t>45</w:t>
            </w:r>
            <w:r w:rsidR="00ED418D">
              <w:rPr>
                <w:rFonts w:eastAsiaTheme="minorEastAsia" w:cstheme="minorHAnsi"/>
                <w:bCs/>
                <w:color w:val="auto"/>
                <w:sz w:val="17"/>
                <w:szCs w:val="17"/>
              </w:rPr>
              <w:t>.4</w:t>
            </w:r>
          </w:p>
        </w:tc>
        <w:tc>
          <w:tcPr>
            <w:tcW w:w="539" w:type="pct"/>
            <w:tcBorders>
              <w:top w:val="single" w:sz="4" w:space="0" w:color="82C341" w:themeColor="background1"/>
              <w:bottom w:val="single" w:sz="4" w:space="0" w:color="82C341" w:themeColor="background1"/>
              <w:right w:val="single" w:sz="2" w:space="0" w:color="82C341" w:themeColor="background1"/>
            </w:tcBorders>
          </w:tcPr>
          <w:p w14:paraId="683E61B9" w14:textId="3B40E6B4" w:rsidR="00C60B6B" w:rsidRDefault="00C60B6B" w:rsidP="00582215">
            <w:pPr>
              <w:spacing w:before="70" w:after="70" w:line="220" w:lineRule="atLeast"/>
              <w:jc w:val="right"/>
              <w:rPr>
                <w:rFonts w:eastAsiaTheme="minorEastAsia" w:cstheme="minorHAnsi"/>
                <w:bCs/>
                <w:color w:val="auto"/>
                <w:sz w:val="17"/>
                <w:szCs w:val="17"/>
              </w:rPr>
            </w:pPr>
            <w:r w:rsidRPr="00C55487">
              <w:rPr>
                <w:rFonts w:eastAsiaTheme="minorEastAsia" w:cstheme="minorHAnsi"/>
                <w:bCs/>
                <w:color w:val="auto"/>
                <w:sz w:val="17"/>
                <w:szCs w:val="17"/>
              </w:rPr>
              <w:t>12</w:t>
            </w:r>
            <w:r w:rsidR="00ED418D">
              <w:rPr>
                <w:rFonts w:eastAsiaTheme="minorEastAsia" w:cstheme="minorHAnsi"/>
                <w:bCs/>
                <w:color w:val="auto"/>
                <w:sz w:val="17"/>
                <w:szCs w:val="17"/>
              </w:rPr>
              <w:t>.3</w:t>
            </w:r>
            <w:r w:rsidRPr="008A4558">
              <w:rPr>
                <w:rFonts w:eastAsiaTheme="minorEastAsia" w:cstheme="minorHAnsi"/>
                <w:bCs/>
                <w:color w:val="auto"/>
                <w:sz w:val="17"/>
                <w:szCs w:val="17"/>
              </w:rPr>
              <w:t xml:space="preserve"> </w:t>
            </w:r>
          </w:p>
          <w:p w14:paraId="3C37EBD8" w14:textId="0660FA18" w:rsidR="00C60B6B" w:rsidRPr="008A4558" w:rsidRDefault="00C60B6B" w:rsidP="00582215">
            <w:pPr>
              <w:spacing w:before="70" w:after="70" w:line="220" w:lineRule="atLeast"/>
              <w:jc w:val="right"/>
              <w:rPr>
                <w:rFonts w:eastAsiaTheme="minorEastAsia" w:cstheme="minorHAnsi"/>
                <w:bCs/>
                <w:color w:val="auto"/>
                <w:sz w:val="17"/>
                <w:szCs w:val="17"/>
              </w:rPr>
            </w:pPr>
            <w:r w:rsidRPr="008A4558">
              <w:rPr>
                <w:rFonts w:eastAsiaTheme="minorEastAsia" w:cstheme="minorHAnsi"/>
                <w:bCs/>
                <w:color w:val="auto"/>
                <w:sz w:val="17"/>
                <w:szCs w:val="17"/>
              </w:rPr>
              <w:t>(2</w:t>
            </w:r>
            <w:r w:rsidRPr="00C55487">
              <w:rPr>
                <w:rFonts w:eastAsiaTheme="minorEastAsia" w:cstheme="minorHAnsi"/>
                <w:bCs/>
                <w:color w:val="auto"/>
                <w:sz w:val="17"/>
                <w:szCs w:val="17"/>
              </w:rPr>
              <w:t>1</w:t>
            </w:r>
            <w:r w:rsidR="00F2249D">
              <w:rPr>
                <w:rFonts w:eastAsiaTheme="minorEastAsia" w:cstheme="minorHAnsi"/>
                <w:bCs/>
                <w:color w:val="auto"/>
                <w:sz w:val="17"/>
                <w:szCs w:val="17"/>
              </w:rPr>
              <w:t>.3</w:t>
            </w:r>
            <w:r w:rsidRPr="008A4558">
              <w:rPr>
                <w:rFonts w:eastAsiaTheme="minorEastAsia" w:cstheme="minorHAnsi"/>
                <w:bCs/>
                <w:color w:val="auto"/>
                <w:sz w:val="17"/>
                <w:szCs w:val="17"/>
              </w:rPr>
              <w:t>%)</w:t>
            </w:r>
          </w:p>
        </w:tc>
        <w:tc>
          <w:tcPr>
            <w:tcW w:w="524" w:type="pct"/>
            <w:tcBorders>
              <w:top w:val="single" w:sz="4" w:space="0" w:color="82C341" w:themeColor="background1"/>
              <w:left w:val="single" w:sz="2" w:space="0" w:color="82C341" w:themeColor="background1"/>
              <w:bottom w:val="single" w:sz="4" w:space="0" w:color="82C341" w:themeColor="background1"/>
            </w:tcBorders>
          </w:tcPr>
          <w:p w14:paraId="485F9E0D" w14:textId="0241FBC0" w:rsidR="00C60B6B" w:rsidRPr="008A4558" w:rsidRDefault="00C60B6B" w:rsidP="00582215">
            <w:pPr>
              <w:spacing w:before="70" w:after="70" w:line="220" w:lineRule="atLeast"/>
              <w:jc w:val="right"/>
              <w:rPr>
                <w:rFonts w:eastAsiaTheme="minorEastAsia" w:cstheme="minorHAnsi"/>
                <w:bCs/>
                <w:color w:val="auto"/>
                <w:sz w:val="17"/>
                <w:szCs w:val="17"/>
              </w:rPr>
            </w:pPr>
            <w:r w:rsidRPr="00C55487">
              <w:rPr>
                <w:rFonts w:eastAsiaTheme="minorEastAsia" w:cstheme="minorHAnsi"/>
                <w:bCs/>
                <w:color w:val="auto"/>
                <w:sz w:val="17"/>
                <w:szCs w:val="17"/>
              </w:rPr>
              <w:t>2</w:t>
            </w:r>
            <w:r w:rsidR="00ED418D">
              <w:rPr>
                <w:rFonts w:eastAsiaTheme="minorEastAsia" w:cstheme="minorHAnsi"/>
                <w:bCs/>
                <w:color w:val="auto"/>
                <w:sz w:val="17"/>
                <w:szCs w:val="17"/>
              </w:rPr>
              <w:t>.4</w:t>
            </w:r>
          </w:p>
        </w:tc>
        <w:tc>
          <w:tcPr>
            <w:tcW w:w="550" w:type="pct"/>
            <w:tcBorders>
              <w:top w:val="single" w:sz="4" w:space="0" w:color="82C341" w:themeColor="background1"/>
              <w:bottom w:val="single" w:sz="4" w:space="0" w:color="82C341" w:themeColor="background1"/>
              <w:right w:val="single" w:sz="2" w:space="0" w:color="82C341" w:themeColor="background1"/>
            </w:tcBorders>
          </w:tcPr>
          <w:p w14:paraId="173F37BC" w14:textId="40B81C5A" w:rsidR="00C60B6B" w:rsidRDefault="00C1113B" w:rsidP="00582215">
            <w:pPr>
              <w:spacing w:before="70" w:after="70" w:line="220" w:lineRule="atLeast"/>
              <w:jc w:val="right"/>
              <w:rPr>
                <w:rFonts w:eastAsiaTheme="minorEastAsia" w:cstheme="minorHAnsi"/>
                <w:bCs/>
                <w:color w:val="auto"/>
                <w:sz w:val="17"/>
                <w:szCs w:val="17"/>
              </w:rPr>
            </w:pPr>
            <w:r>
              <w:rPr>
                <w:rFonts w:eastAsiaTheme="minorEastAsia" w:cstheme="minorHAnsi"/>
                <w:bCs/>
                <w:color w:val="auto"/>
                <w:sz w:val="17"/>
                <w:szCs w:val="17"/>
              </w:rPr>
              <w:t>0.9</w:t>
            </w:r>
            <w:r w:rsidR="00C60B6B" w:rsidRPr="008A4558">
              <w:rPr>
                <w:rFonts w:eastAsiaTheme="minorEastAsia" w:cstheme="minorHAnsi"/>
                <w:bCs/>
                <w:color w:val="auto"/>
                <w:sz w:val="17"/>
                <w:szCs w:val="17"/>
              </w:rPr>
              <w:t xml:space="preserve"> </w:t>
            </w:r>
          </w:p>
          <w:p w14:paraId="6F49E70F" w14:textId="45719F0D" w:rsidR="00C60B6B" w:rsidRPr="008A4558" w:rsidRDefault="00C60B6B" w:rsidP="00582215">
            <w:pPr>
              <w:spacing w:before="70" w:after="70" w:line="220" w:lineRule="atLeast"/>
              <w:jc w:val="right"/>
              <w:rPr>
                <w:rFonts w:eastAsiaTheme="minorEastAsia" w:cstheme="minorHAnsi"/>
                <w:bCs/>
                <w:color w:val="auto"/>
                <w:sz w:val="17"/>
                <w:szCs w:val="17"/>
              </w:rPr>
            </w:pPr>
            <w:r w:rsidRPr="008A4558">
              <w:rPr>
                <w:rFonts w:eastAsiaTheme="minorEastAsia" w:cstheme="minorHAnsi"/>
                <w:bCs/>
                <w:color w:val="auto"/>
                <w:sz w:val="17"/>
                <w:szCs w:val="17"/>
              </w:rPr>
              <w:t>(</w:t>
            </w:r>
            <w:r>
              <w:rPr>
                <w:rFonts w:eastAsiaTheme="minorEastAsia" w:cstheme="minorHAnsi"/>
                <w:bCs/>
                <w:color w:val="auto"/>
                <w:sz w:val="17"/>
                <w:szCs w:val="17"/>
              </w:rPr>
              <w:t>2</w:t>
            </w:r>
            <w:r w:rsidR="00F2249D">
              <w:rPr>
                <w:rFonts w:eastAsiaTheme="minorEastAsia" w:cstheme="minorHAnsi"/>
                <w:bCs/>
                <w:color w:val="auto"/>
                <w:sz w:val="17"/>
                <w:szCs w:val="17"/>
              </w:rPr>
              <w:t>7.6</w:t>
            </w:r>
            <w:r w:rsidRPr="008A4558">
              <w:rPr>
                <w:rFonts w:eastAsiaTheme="minorEastAsia" w:cstheme="minorHAnsi"/>
                <w:bCs/>
                <w:color w:val="auto"/>
                <w:sz w:val="17"/>
                <w:szCs w:val="17"/>
              </w:rPr>
              <w:t>%)</w:t>
            </w:r>
          </w:p>
        </w:tc>
        <w:tc>
          <w:tcPr>
            <w:tcW w:w="522" w:type="pct"/>
            <w:tcBorders>
              <w:left w:val="single" w:sz="2" w:space="0" w:color="82C341" w:themeColor="background1"/>
            </w:tcBorders>
          </w:tcPr>
          <w:p w14:paraId="01321A65" w14:textId="1800BE3F" w:rsidR="00C60B6B" w:rsidRPr="008A4558" w:rsidRDefault="00C60B6B" w:rsidP="00582215">
            <w:pPr>
              <w:spacing w:before="70" w:after="70" w:line="220" w:lineRule="atLeast"/>
              <w:jc w:val="right"/>
              <w:rPr>
                <w:rFonts w:eastAsiaTheme="minorEastAsia" w:cstheme="minorHAnsi"/>
                <w:bCs/>
                <w:color w:val="auto"/>
                <w:sz w:val="17"/>
                <w:szCs w:val="17"/>
              </w:rPr>
            </w:pPr>
            <w:r w:rsidRPr="008A4558">
              <w:rPr>
                <w:rFonts w:eastAsiaTheme="minorEastAsia" w:cstheme="minorHAnsi"/>
                <w:bCs/>
                <w:color w:val="auto"/>
                <w:sz w:val="17"/>
                <w:szCs w:val="17"/>
              </w:rPr>
              <w:t>8</w:t>
            </w:r>
            <w:r w:rsidR="00ED418D">
              <w:rPr>
                <w:rFonts w:eastAsiaTheme="minorEastAsia" w:cstheme="minorHAnsi"/>
                <w:bCs/>
                <w:color w:val="auto"/>
                <w:sz w:val="17"/>
                <w:szCs w:val="17"/>
              </w:rPr>
              <w:t>7.6</w:t>
            </w:r>
          </w:p>
        </w:tc>
        <w:tc>
          <w:tcPr>
            <w:tcW w:w="609" w:type="pct"/>
          </w:tcPr>
          <w:p w14:paraId="7A2B568D" w14:textId="147E7618" w:rsidR="00C60B6B" w:rsidRDefault="00C60B6B" w:rsidP="00582215">
            <w:pPr>
              <w:spacing w:before="70" w:after="70" w:line="220" w:lineRule="atLeast"/>
              <w:jc w:val="right"/>
              <w:rPr>
                <w:rFonts w:eastAsiaTheme="minorEastAsia" w:cstheme="minorHAnsi"/>
                <w:bCs/>
                <w:color w:val="auto"/>
                <w:sz w:val="17"/>
                <w:szCs w:val="17"/>
              </w:rPr>
            </w:pPr>
            <w:r w:rsidRPr="00C55487">
              <w:rPr>
                <w:rFonts w:eastAsiaTheme="minorEastAsia" w:cstheme="minorHAnsi"/>
                <w:bCs/>
                <w:color w:val="auto"/>
                <w:sz w:val="17"/>
                <w:szCs w:val="17"/>
              </w:rPr>
              <w:t>30</w:t>
            </w:r>
            <w:r w:rsidR="00ED418D">
              <w:rPr>
                <w:rFonts w:eastAsiaTheme="minorEastAsia" w:cstheme="minorHAnsi"/>
                <w:bCs/>
                <w:color w:val="auto"/>
                <w:sz w:val="17"/>
                <w:szCs w:val="17"/>
              </w:rPr>
              <w:t>0.7</w:t>
            </w:r>
            <w:r w:rsidRPr="008A4558">
              <w:rPr>
                <w:rFonts w:eastAsiaTheme="minorEastAsia" w:cstheme="minorHAnsi"/>
                <w:bCs/>
                <w:color w:val="auto"/>
                <w:sz w:val="17"/>
                <w:szCs w:val="17"/>
              </w:rPr>
              <w:t xml:space="preserve"> </w:t>
            </w:r>
          </w:p>
          <w:p w14:paraId="6BA45276" w14:textId="45372CE2" w:rsidR="00C60B6B" w:rsidRPr="008A4558" w:rsidRDefault="00C60B6B" w:rsidP="00582215">
            <w:pPr>
              <w:spacing w:before="70" w:after="70" w:line="220" w:lineRule="atLeast"/>
              <w:jc w:val="right"/>
              <w:rPr>
                <w:rFonts w:eastAsiaTheme="minorEastAsia" w:cstheme="minorHAnsi"/>
                <w:bCs/>
                <w:color w:val="auto"/>
                <w:sz w:val="17"/>
                <w:szCs w:val="17"/>
              </w:rPr>
            </w:pPr>
            <w:r w:rsidRPr="008A4558">
              <w:rPr>
                <w:rFonts w:eastAsiaTheme="minorEastAsia" w:cstheme="minorHAnsi"/>
                <w:bCs/>
                <w:color w:val="auto"/>
                <w:sz w:val="17"/>
                <w:szCs w:val="17"/>
              </w:rPr>
              <w:t>(7</w:t>
            </w:r>
            <w:r w:rsidRPr="00C55487">
              <w:rPr>
                <w:rFonts w:eastAsiaTheme="minorEastAsia" w:cstheme="minorHAnsi"/>
                <w:bCs/>
                <w:color w:val="auto"/>
                <w:sz w:val="17"/>
                <w:szCs w:val="17"/>
              </w:rPr>
              <w:t>7</w:t>
            </w:r>
            <w:r w:rsidR="00F2249D">
              <w:rPr>
                <w:rFonts w:eastAsiaTheme="minorEastAsia" w:cstheme="minorHAnsi"/>
                <w:bCs/>
                <w:color w:val="auto"/>
                <w:sz w:val="17"/>
                <w:szCs w:val="17"/>
              </w:rPr>
              <w:t>.5</w:t>
            </w:r>
            <w:r w:rsidRPr="008A4558">
              <w:rPr>
                <w:rFonts w:eastAsiaTheme="minorEastAsia" w:cstheme="minorHAnsi"/>
                <w:bCs/>
                <w:color w:val="auto"/>
                <w:sz w:val="17"/>
                <w:szCs w:val="17"/>
              </w:rPr>
              <w:t>%)</w:t>
            </w:r>
          </w:p>
        </w:tc>
      </w:tr>
      <w:tr w:rsidR="00C1113B" w:rsidRPr="008A4558" w14:paraId="09493A73" w14:textId="77777777" w:rsidTr="00F2249D">
        <w:tc>
          <w:tcPr>
            <w:tcW w:w="685" w:type="pct"/>
            <w:tcBorders>
              <w:right w:val="single" w:sz="2" w:space="0" w:color="82C341" w:themeColor="background1"/>
            </w:tcBorders>
          </w:tcPr>
          <w:p w14:paraId="03CF0F89" w14:textId="77777777" w:rsidR="00C60B6B" w:rsidRPr="008A4558" w:rsidRDefault="00C60B6B" w:rsidP="00582215">
            <w:pPr>
              <w:spacing w:before="70" w:after="70" w:line="220" w:lineRule="atLeast"/>
              <w:rPr>
                <w:bCs/>
                <w:color w:val="auto"/>
                <w:sz w:val="17"/>
                <w:szCs w:val="17"/>
              </w:rPr>
            </w:pPr>
            <w:r w:rsidRPr="008A4558">
              <w:rPr>
                <w:rFonts w:eastAsiaTheme="minorEastAsia" w:cstheme="minorHAnsi"/>
                <w:bCs/>
                <w:color w:val="auto"/>
                <w:sz w:val="17"/>
                <w:szCs w:val="17"/>
              </w:rPr>
              <w:t>Metals</w:t>
            </w:r>
          </w:p>
        </w:tc>
        <w:tc>
          <w:tcPr>
            <w:tcW w:w="516" w:type="pct"/>
            <w:tcBorders>
              <w:top w:val="single" w:sz="4" w:space="0" w:color="82C341" w:themeColor="background1"/>
              <w:left w:val="single" w:sz="2" w:space="0" w:color="82C341" w:themeColor="background1"/>
              <w:bottom w:val="single" w:sz="4" w:space="0" w:color="82C341" w:themeColor="background1"/>
            </w:tcBorders>
          </w:tcPr>
          <w:p w14:paraId="3993A0AF" w14:textId="6A465274" w:rsidR="00C60B6B" w:rsidRPr="008A4558" w:rsidRDefault="00C60B6B" w:rsidP="00582215">
            <w:pPr>
              <w:spacing w:before="70" w:after="70" w:line="220" w:lineRule="atLeast"/>
              <w:jc w:val="right"/>
              <w:rPr>
                <w:rFonts w:eastAsiaTheme="minorEastAsia" w:cstheme="minorHAnsi"/>
                <w:bCs/>
                <w:color w:val="auto"/>
                <w:sz w:val="17"/>
                <w:szCs w:val="17"/>
              </w:rPr>
            </w:pPr>
            <w:r w:rsidRPr="00C55487">
              <w:rPr>
                <w:rFonts w:eastAsiaTheme="minorEastAsia" w:cstheme="minorHAnsi"/>
                <w:bCs/>
                <w:color w:val="auto"/>
                <w:sz w:val="17"/>
                <w:szCs w:val="17"/>
              </w:rPr>
              <w:t>35</w:t>
            </w:r>
            <w:r w:rsidR="00C1113B">
              <w:rPr>
                <w:rFonts w:eastAsiaTheme="minorEastAsia" w:cstheme="minorHAnsi"/>
                <w:bCs/>
                <w:color w:val="auto"/>
                <w:sz w:val="17"/>
                <w:szCs w:val="17"/>
              </w:rPr>
              <w:t>.0</w:t>
            </w:r>
          </w:p>
        </w:tc>
        <w:tc>
          <w:tcPr>
            <w:tcW w:w="516" w:type="pct"/>
            <w:tcBorders>
              <w:top w:val="single" w:sz="4" w:space="0" w:color="82C341" w:themeColor="background1"/>
              <w:bottom w:val="single" w:sz="4" w:space="0" w:color="82C341" w:themeColor="background1"/>
              <w:right w:val="single" w:sz="2" w:space="0" w:color="82C341" w:themeColor="background1"/>
            </w:tcBorders>
          </w:tcPr>
          <w:p w14:paraId="6F882FF7" w14:textId="5E391F01" w:rsidR="00C60B6B" w:rsidRDefault="00C60B6B" w:rsidP="00582215">
            <w:pPr>
              <w:spacing w:before="70" w:after="70" w:line="220" w:lineRule="atLeast"/>
              <w:jc w:val="right"/>
              <w:rPr>
                <w:rFonts w:eastAsiaTheme="minorEastAsia" w:cstheme="minorHAnsi"/>
                <w:bCs/>
                <w:color w:val="auto"/>
                <w:sz w:val="17"/>
                <w:szCs w:val="17"/>
              </w:rPr>
            </w:pPr>
            <w:r w:rsidRPr="00C55487">
              <w:rPr>
                <w:rFonts w:eastAsiaTheme="minorEastAsia" w:cstheme="minorHAnsi"/>
                <w:bCs/>
                <w:color w:val="auto"/>
                <w:sz w:val="17"/>
                <w:szCs w:val="17"/>
              </w:rPr>
              <w:t>347</w:t>
            </w:r>
            <w:r w:rsidR="00606971">
              <w:rPr>
                <w:rFonts w:eastAsiaTheme="minorEastAsia" w:cstheme="minorHAnsi"/>
                <w:bCs/>
                <w:color w:val="auto"/>
                <w:sz w:val="17"/>
                <w:szCs w:val="17"/>
              </w:rPr>
              <w:t>.1</w:t>
            </w:r>
            <w:r w:rsidRPr="008A4558">
              <w:rPr>
                <w:rFonts w:eastAsiaTheme="minorEastAsia" w:cstheme="minorHAnsi"/>
                <w:bCs/>
                <w:color w:val="auto"/>
                <w:sz w:val="17"/>
                <w:szCs w:val="17"/>
              </w:rPr>
              <w:t xml:space="preserve"> </w:t>
            </w:r>
          </w:p>
          <w:p w14:paraId="56A50121" w14:textId="2AEFB152" w:rsidR="00C60B6B" w:rsidRPr="008A4558" w:rsidRDefault="00C60B6B" w:rsidP="00582215">
            <w:pPr>
              <w:spacing w:before="70" w:after="70" w:line="220" w:lineRule="atLeast"/>
              <w:jc w:val="right"/>
              <w:rPr>
                <w:rFonts w:eastAsiaTheme="minorEastAsia" w:cstheme="minorHAnsi"/>
                <w:bCs/>
                <w:color w:val="auto"/>
                <w:sz w:val="17"/>
                <w:szCs w:val="17"/>
              </w:rPr>
            </w:pPr>
            <w:r w:rsidRPr="008A4558">
              <w:rPr>
                <w:rFonts w:eastAsiaTheme="minorEastAsia" w:cstheme="minorHAnsi"/>
                <w:bCs/>
                <w:color w:val="auto"/>
                <w:sz w:val="17"/>
                <w:szCs w:val="17"/>
              </w:rPr>
              <w:t>(9</w:t>
            </w:r>
            <w:r w:rsidR="00F2249D">
              <w:rPr>
                <w:rFonts w:eastAsiaTheme="minorEastAsia" w:cstheme="minorHAnsi"/>
                <w:bCs/>
                <w:color w:val="auto"/>
                <w:sz w:val="17"/>
                <w:szCs w:val="17"/>
              </w:rPr>
              <w:t>0.8</w:t>
            </w:r>
            <w:r w:rsidRPr="008A4558">
              <w:rPr>
                <w:rFonts w:eastAsiaTheme="minorEastAsia" w:cstheme="minorHAnsi"/>
                <w:bCs/>
                <w:color w:val="auto"/>
                <w:sz w:val="17"/>
                <w:szCs w:val="17"/>
              </w:rPr>
              <w:t>%)</w:t>
            </w:r>
          </w:p>
        </w:tc>
        <w:tc>
          <w:tcPr>
            <w:tcW w:w="539" w:type="pct"/>
            <w:tcBorders>
              <w:top w:val="single" w:sz="4" w:space="0" w:color="82C341" w:themeColor="background1"/>
              <w:left w:val="single" w:sz="2" w:space="0" w:color="82C341" w:themeColor="background1"/>
              <w:bottom w:val="single" w:sz="4" w:space="0" w:color="82C341" w:themeColor="background1"/>
            </w:tcBorders>
          </w:tcPr>
          <w:p w14:paraId="13292622" w14:textId="47052576" w:rsidR="00C60B6B" w:rsidRPr="008A4558" w:rsidRDefault="00C60B6B" w:rsidP="00582215">
            <w:pPr>
              <w:spacing w:before="70" w:after="70" w:line="220" w:lineRule="atLeast"/>
              <w:jc w:val="right"/>
              <w:rPr>
                <w:rFonts w:eastAsiaTheme="minorEastAsia" w:cstheme="minorHAnsi"/>
                <w:bCs/>
                <w:color w:val="auto"/>
                <w:sz w:val="17"/>
                <w:szCs w:val="17"/>
              </w:rPr>
            </w:pPr>
            <w:r w:rsidRPr="00C55487">
              <w:rPr>
                <w:rFonts w:eastAsiaTheme="minorEastAsia" w:cstheme="minorHAnsi"/>
                <w:bCs/>
                <w:color w:val="auto"/>
                <w:sz w:val="17"/>
                <w:szCs w:val="17"/>
              </w:rPr>
              <w:t>91</w:t>
            </w:r>
            <w:r w:rsidR="00ED418D">
              <w:rPr>
                <w:rFonts w:eastAsiaTheme="minorEastAsia" w:cstheme="minorHAnsi"/>
                <w:bCs/>
                <w:color w:val="auto"/>
                <w:sz w:val="17"/>
                <w:szCs w:val="17"/>
              </w:rPr>
              <w:t>.1</w:t>
            </w:r>
          </w:p>
        </w:tc>
        <w:tc>
          <w:tcPr>
            <w:tcW w:w="539" w:type="pct"/>
            <w:tcBorders>
              <w:top w:val="single" w:sz="4" w:space="0" w:color="82C341" w:themeColor="background1"/>
              <w:bottom w:val="single" w:sz="4" w:space="0" w:color="82C341" w:themeColor="background1"/>
              <w:right w:val="single" w:sz="2" w:space="0" w:color="82C341" w:themeColor="background1"/>
            </w:tcBorders>
          </w:tcPr>
          <w:p w14:paraId="2CA8A358" w14:textId="18B908C5" w:rsidR="00C60B6B" w:rsidRDefault="00C60B6B" w:rsidP="00582215">
            <w:pPr>
              <w:spacing w:before="70" w:after="70" w:line="220" w:lineRule="atLeast"/>
              <w:jc w:val="right"/>
              <w:rPr>
                <w:rFonts w:eastAsiaTheme="minorEastAsia" w:cstheme="minorHAnsi"/>
                <w:bCs/>
                <w:color w:val="auto"/>
                <w:sz w:val="17"/>
                <w:szCs w:val="17"/>
              </w:rPr>
            </w:pPr>
            <w:r w:rsidRPr="00C55487">
              <w:rPr>
                <w:rFonts w:eastAsiaTheme="minorEastAsia" w:cstheme="minorHAnsi"/>
                <w:bCs/>
                <w:color w:val="auto"/>
                <w:sz w:val="17"/>
                <w:szCs w:val="17"/>
              </w:rPr>
              <w:t>97</w:t>
            </w:r>
            <w:r w:rsidR="00ED418D">
              <w:rPr>
                <w:rFonts w:eastAsiaTheme="minorEastAsia" w:cstheme="minorHAnsi"/>
                <w:bCs/>
                <w:color w:val="auto"/>
                <w:sz w:val="17"/>
                <w:szCs w:val="17"/>
              </w:rPr>
              <w:t>2.9</w:t>
            </w:r>
            <w:r w:rsidRPr="008A4558">
              <w:rPr>
                <w:rFonts w:eastAsiaTheme="minorEastAsia" w:cstheme="minorHAnsi"/>
                <w:bCs/>
                <w:color w:val="auto"/>
                <w:sz w:val="17"/>
                <w:szCs w:val="17"/>
              </w:rPr>
              <w:t xml:space="preserve"> </w:t>
            </w:r>
          </w:p>
          <w:p w14:paraId="5C8F3B43" w14:textId="7C4332BB" w:rsidR="00C60B6B" w:rsidRPr="008A4558" w:rsidRDefault="00C60B6B" w:rsidP="00582215">
            <w:pPr>
              <w:spacing w:before="70" w:after="70" w:line="220" w:lineRule="atLeast"/>
              <w:jc w:val="right"/>
              <w:rPr>
                <w:rFonts w:eastAsiaTheme="minorEastAsia" w:cstheme="minorHAnsi"/>
                <w:bCs/>
                <w:color w:val="auto"/>
                <w:sz w:val="17"/>
                <w:szCs w:val="17"/>
              </w:rPr>
            </w:pPr>
            <w:r w:rsidRPr="008A4558">
              <w:rPr>
                <w:rFonts w:eastAsiaTheme="minorEastAsia" w:cstheme="minorHAnsi"/>
                <w:bCs/>
                <w:color w:val="auto"/>
                <w:sz w:val="17"/>
                <w:szCs w:val="17"/>
              </w:rPr>
              <w:t>(9</w:t>
            </w:r>
            <w:r w:rsidRPr="00C55487">
              <w:rPr>
                <w:rFonts w:eastAsiaTheme="minorEastAsia" w:cstheme="minorHAnsi"/>
                <w:bCs/>
                <w:color w:val="auto"/>
                <w:sz w:val="17"/>
                <w:szCs w:val="17"/>
              </w:rPr>
              <w:t>1</w:t>
            </w:r>
            <w:r w:rsidR="00F2249D">
              <w:rPr>
                <w:rFonts w:eastAsiaTheme="minorEastAsia" w:cstheme="minorHAnsi"/>
                <w:bCs/>
                <w:color w:val="auto"/>
                <w:sz w:val="17"/>
                <w:szCs w:val="17"/>
              </w:rPr>
              <w:t>.4</w:t>
            </w:r>
            <w:r w:rsidRPr="008A4558">
              <w:rPr>
                <w:rFonts w:eastAsiaTheme="minorEastAsia" w:cstheme="minorHAnsi"/>
                <w:bCs/>
                <w:color w:val="auto"/>
                <w:sz w:val="17"/>
                <w:szCs w:val="17"/>
              </w:rPr>
              <w:t>%)</w:t>
            </w:r>
          </w:p>
        </w:tc>
        <w:tc>
          <w:tcPr>
            <w:tcW w:w="524" w:type="pct"/>
            <w:tcBorders>
              <w:top w:val="single" w:sz="4" w:space="0" w:color="82C341" w:themeColor="background1"/>
              <w:left w:val="single" w:sz="2" w:space="0" w:color="82C341" w:themeColor="background1"/>
              <w:bottom w:val="single" w:sz="4" w:space="0" w:color="82C341" w:themeColor="background1"/>
            </w:tcBorders>
          </w:tcPr>
          <w:p w14:paraId="7DE16070" w14:textId="495B0751" w:rsidR="00C60B6B" w:rsidRPr="008A4558" w:rsidRDefault="00C60B6B" w:rsidP="00582215">
            <w:pPr>
              <w:spacing w:before="70" w:after="70" w:line="220" w:lineRule="atLeast"/>
              <w:jc w:val="right"/>
              <w:rPr>
                <w:rFonts w:eastAsiaTheme="minorEastAsia" w:cstheme="minorHAnsi"/>
                <w:bCs/>
                <w:color w:val="auto"/>
                <w:sz w:val="17"/>
                <w:szCs w:val="17"/>
              </w:rPr>
            </w:pPr>
            <w:r w:rsidRPr="00C55487">
              <w:rPr>
                <w:rFonts w:eastAsiaTheme="minorEastAsia" w:cstheme="minorHAnsi"/>
                <w:bCs/>
                <w:color w:val="auto"/>
                <w:sz w:val="17"/>
                <w:szCs w:val="17"/>
              </w:rPr>
              <w:t>2</w:t>
            </w:r>
            <w:r w:rsidR="00ED418D">
              <w:rPr>
                <w:rFonts w:eastAsiaTheme="minorEastAsia" w:cstheme="minorHAnsi"/>
                <w:bCs/>
                <w:color w:val="auto"/>
                <w:sz w:val="17"/>
                <w:szCs w:val="17"/>
              </w:rPr>
              <w:t>0.7</w:t>
            </w:r>
          </w:p>
        </w:tc>
        <w:tc>
          <w:tcPr>
            <w:tcW w:w="550" w:type="pct"/>
            <w:tcBorders>
              <w:top w:val="single" w:sz="4" w:space="0" w:color="82C341" w:themeColor="background1"/>
              <w:bottom w:val="single" w:sz="4" w:space="0" w:color="82C341" w:themeColor="background1"/>
              <w:right w:val="single" w:sz="2" w:space="0" w:color="82C341" w:themeColor="background1"/>
            </w:tcBorders>
          </w:tcPr>
          <w:p w14:paraId="4A3DA67E" w14:textId="69B7FE99" w:rsidR="00C60B6B" w:rsidRDefault="00C60B6B" w:rsidP="00582215">
            <w:pPr>
              <w:spacing w:before="70" w:after="70" w:line="220" w:lineRule="atLeast"/>
              <w:jc w:val="right"/>
              <w:rPr>
                <w:rFonts w:eastAsiaTheme="minorEastAsia" w:cstheme="minorHAnsi"/>
                <w:bCs/>
                <w:color w:val="auto"/>
                <w:sz w:val="17"/>
                <w:szCs w:val="17"/>
              </w:rPr>
            </w:pPr>
            <w:r w:rsidRPr="00C55487">
              <w:rPr>
                <w:rFonts w:eastAsiaTheme="minorEastAsia" w:cstheme="minorHAnsi"/>
                <w:bCs/>
                <w:color w:val="auto"/>
                <w:sz w:val="17"/>
                <w:szCs w:val="17"/>
              </w:rPr>
              <w:t>162</w:t>
            </w:r>
            <w:r w:rsidR="00C1113B">
              <w:rPr>
                <w:rFonts w:eastAsiaTheme="minorEastAsia" w:cstheme="minorHAnsi"/>
                <w:bCs/>
                <w:color w:val="auto"/>
                <w:sz w:val="17"/>
                <w:szCs w:val="17"/>
              </w:rPr>
              <w:t>.4</w:t>
            </w:r>
            <w:r w:rsidRPr="008A4558">
              <w:rPr>
                <w:rFonts w:eastAsiaTheme="minorEastAsia" w:cstheme="minorHAnsi"/>
                <w:bCs/>
                <w:color w:val="auto"/>
                <w:sz w:val="17"/>
                <w:szCs w:val="17"/>
              </w:rPr>
              <w:t xml:space="preserve"> </w:t>
            </w:r>
          </w:p>
          <w:p w14:paraId="3A2908B7" w14:textId="7539E665" w:rsidR="00C60B6B" w:rsidRPr="008A4558" w:rsidRDefault="00C60B6B" w:rsidP="00582215">
            <w:pPr>
              <w:spacing w:before="70" w:after="70" w:line="220" w:lineRule="atLeast"/>
              <w:jc w:val="right"/>
              <w:rPr>
                <w:rFonts w:eastAsiaTheme="minorEastAsia" w:cstheme="minorHAnsi"/>
                <w:bCs/>
                <w:color w:val="auto"/>
                <w:sz w:val="17"/>
                <w:szCs w:val="17"/>
              </w:rPr>
            </w:pPr>
            <w:r w:rsidRPr="008A4558">
              <w:rPr>
                <w:rFonts w:eastAsiaTheme="minorEastAsia" w:cstheme="minorHAnsi"/>
                <w:bCs/>
                <w:color w:val="auto"/>
                <w:sz w:val="17"/>
                <w:szCs w:val="17"/>
              </w:rPr>
              <w:t>(</w:t>
            </w:r>
            <w:r w:rsidRPr="00C55487">
              <w:rPr>
                <w:rFonts w:eastAsiaTheme="minorEastAsia" w:cstheme="minorHAnsi"/>
                <w:bCs/>
                <w:color w:val="auto"/>
                <w:sz w:val="17"/>
                <w:szCs w:val="17"/>
              </w:rPr>
              <w:t>8</w:t>
            </w:r>
            <w:r w:rsidR="00F2249D">
              <w:rPr>
                <w:rFonts w:eastAsiaTheme="minorEastAsia" w:cstheme="minorHAnsi"/>
                <w:bCs/>
                <w:color w:val="auto"/>
                <w:sz w:val="17"/>
                <w:szCs w:val="17"/>
              </w:rPr>
              <w:t>8.7</w:t>
            </w:r>
            <w:r w:rsidRPr="008A4558">
              <w:rPr>
                <w:rFonts w:eastAsiaTheme="minorEastAsia" w:cstheme="minorHAnsi"/>
                <w:bCs/>
                <w:color w:val="auto"/>
                <w:sz w:val="17"/>
                <w:szCs w:val="17"/>
              </w:rPr>
              <w:t>%)</w:t>
            </w:r>
          </w:p>
        </w:tc>
        <w:tc>
          <w:tcPr>
            <w:tcW w:w="522" w:type="pct"/>
            <w:tcBorders>
              <w:left w:val="single" w:sz="2" w:space="0" w:color="82C341" w:themeColor="background1"/>
            </w:tcBorders>
          </w:tcPr>
          <w:p w14:paraId="53401F42" w14:textId="2A700085" w:rsidR="00C60B6B" w:rsidRPr="008A4558" w:rsidRDefault="00C60B6B" w:rsidP="00582215">
            <w:pPr>
              <w:spacing w:before="70" w:after="70" w:line="220" w:lineRule="atLeast"/>
              <w:jc w:val="right"/>
              <w:rPr>
                <w:rFonts w:eastAsiaTheme="minorEastAsia" w:cstheme="minorHAnsi"/>
                <w:bCs/>
                <w:color w:val="auto"/>
                <w:sz w:val="17"/>
                <w:szCs w:val="17"/>
              </w:rPr>
            </w:pPr>
            <w:r w:rsidRPr="008A4558">
              <w:rPr>
                <w:rFonts w:eastAsiaTheme="minorEastAsia" w:cstheme="minorHAnsi"/>
                <w:bCs/>
                <w:color w:val="auto"/>
                <w:sz w:val="17"/>
                <w:szCs w:val="17"/>
              </w:rPr>
              <w:t>14</w:t>
            </w:r>
            <w:r w:rsidR="00ED418D">
              <w:rPr>
                <w:rFonts w:eastAsiaTheme="minorEastAsia" w:cstheme="minorHAnsi"/>
                <w:bCs/>
                <w:color w:val="auto"/>
                <w:sz w:val="17"/>
                <w:szCs w:val="17"/>
              </w:rPr>
              <w:t>6.8</w:t>
            </w:r>
          </w:p>
        </w:tc>
        <w:tc>
          <w:tcPr>
            <w:tcW w:w="609" w:type="pct"/>
          </w:tcPr>
          <w:p w14:paraId="5DFC0B74" w14:textId="428B44D8" w:rsidR="00C60B6B" w:rsidRDefault="00C60B6B" w:rsidP="00582215">
            <w:pPr>
              <w:spacing w:before="70" w:after="70" w:line="220" w:lineRule="atLeast"/>
              <w:jc w:val="right"/>
              <w:rPr>
                <w:rFonts w:eastAsiaTheme="minorEastAsia" w:cstheme="minorHAnsi"/>
                <w:bCs/>
                <w:color w:val="auto"/>
                <w:sz w:val="17"/>
                <w:szCs w:val="17"/>
              </w:rPr>
            </w:pPr>
            <w:r w:rsidRPr="008A4558">
              <w:rPr>
                <w:rFonts w:eastAsiaTheme="minorEastAsia" w:cstheme="minorHAnsi"/>
                <w:bCs/>
                <w:color w:val="auto"/>
                <w:sz w:val="17"/>
                <w:szCs w:val="17"/>
              </w:rPr>
              <w:t>1,4</w:t>
            </w:r>
            <w:r w:rsidRPr="00C55487">
              <w:rPr>
                <w:rFonts w:eastAsiaTheme="minorEastAsia" w:cstheme="minorHAnsi"/>
                <w:bCs/>
                <w:color w:val="auto"/>
                <w:sz w:val="17"/>
                <w:szCs w:val="17"/>
              </w:rPr>
              <w:t>82</w:t>
            </w:r>
            <w:r w:rsidR="00ED418D">
              <w:rPr>
                <w:rFonts w:eastAsiaTheme="minorEastAsia" w:cstheme="minorHAnsi"/>
                <w:bCs/>
                <w:color w:val="auto"/>
                <w:sz w:val="17"/>
                <w:szCs w:val="17"/>
              </w:rPr>
              <w:t>.4</w:t>
            </w:r>
            <w:r w:rsidRPr="008A4558">
              <w:rPr>
                <w:rFonts w:eastAsiaTheme="minorEastAsia" w:cstheme="minorHAnsi"/>
                <w:bCs/>
                <w:color w:val="auto"/>
                <w:sz w:val="17"/>
                <w:szCs w:val="17"/>
              </w:rPr>
              <w:t xml:space="preserve"> </w:t>
            </w:r>
          </w:p>
          <w:p w14:paraId="2950513C" w14:textId="4F49B6F1" w:rsidR="00C60B6B" w:rsidRPr="008A4558" w:rsidRDefault="00C60B6B" w:rsidP="00582215">
            <w:pPr>
              <w:spacing w:before="70" w:after="70" w:line="220" w:lineRule="atLeast"/>
              <w:jc w:val="right"/>
              <w:rPr>
                <w:rFonts w:eastAsiaTheme="minorEastAsia" w:cstheme="minorHAnsi"/>
                <w:bCs/>
                <w:color w:val="auto"/>
                <w:sz w:val="17"/>
                <w:szCs w:val="17"/>
              </w:rPr>
            </w:pPr>
            <w:r w:rsidRPr="008A4558">
              <w:rPr>
                <w:rFonts w:eastAsiaTheme="minorEastAsia" w:cstheme="minorHAnsi"/>
                <w:bCs/>
                <w:color w:val="auto"/>
                <w:sz w:val="17"/>
                <w:szCs w:val="17"/>
              </w:rPr>
              <w:t>(91</w:t>
            </w:r>
            <w:r w:rsidR="00F2249D">
              <w:rPr>
                <w:rFonts w:eastAsiaTheme="minorEastAsia" w:cstheme="minorHAnsi"/>
                <w:bCs/>
                <w:color w:val="auto"/>
                <w:sz w:val="17"/>
                <w:szCs w:val="17"/>
              </w:rPr>
              <w:t>.0</w:t>
            </w:r>
            <w:r w:rsidRPr="008A4558">
              <w:rPr>
                <w:rFonts w:eastAsiaTheme="minorEastAsia" w:cstheme="minorHAnsi"/>
                <w:bCs/>
                <w:color w:val="auto"/>
                <w:sz w:val="17"/>
                <w:szCs w:val="17"/>
              </w:rPr>
              <w:t>%)</w:t>
            </w:r>
          </w:p>
        </w:tc>
      </w:tr>
      <w:tr w:rsidR="00C1113B" w:rsidRPr="008A4558" w14:paraId="4680A70C" w14:textId="77777777" w:rsidTr="00596C47">
        <w:tc>
          <w:tcPr>
            <w:tcW w:w="685" w:type="pct"/>
            <w:tcBorders>
              <w:right w:val="single" w:sz="2" w:space="0" w:color="82C341" w:themeColor="background1"/>
            </w:tcBorders>
          </w:tcPr>
          <w:p w14:paraId="59540479" w14:textId="77777777" w:rsidR="00C60B6B" w:rsidRPr="008A4558" w:rsidRDefault="00C60B6B" w:rsidP="00582215">
            <w:pPr>
              <w:spacing w:before="70" w:after="70" w:line="220" w:lineRule="atLeast"/>
              <w:ind w:left="227" w:hanging="227"/>
              <w:rPr>
                <w:bCs/>
                <w:color w:val="auto"/>
                <w:sz w:val="17"/>
                <w:szCs w:val="17"/>
              </w:rPr>
            </w:pPr>
            <w:r w:rsidRPr="008A4558">
              <w:rPr>
                <w:rFonts w:eastAsiaTheme="minorEastAsia" w:cstheme="minorHAnsi"/>
                <w:bCs/>
                <w:color w:val="auto"/>
                <w:sz w:val="17"/>
                <w:szCs w:val="17"/>
              </w:rPr>
              <w:t>Organics</w:t>
            </w:r>
          </w:p>
        </w:tc>
        <w:tc>
          <w:tcPr>
            <w:tcW w:w="516" w:type="pct"/>
            <w:tcBorders>
              <w:top w:val="single" w:sz="4" w:space="0" w:color="82C341" w:themeColor="background1"/>
              <w:left w:val="single" w:sz="2" w:space="0" w:color="82C341" w:themeColor="background1"/>
              <w:bottom w:val="single" w:sz="4" w:space="0" w:color="82C341" w:themeColor="background1"/>
            </w:tcBorders>
            <w:shd w:val="clear" w:color="auto" w:fill="auto"/>
          </w:tcPr>
          <w:p w14:paraId="073C86BA" w14:textId="2182A40D" w:rsidR="00C60B6B" w:rsidRPr="008A4558" w:rsidRDefault="00C60B6B" w:rsidP="00582215">
            <w:pPr>
              <w:spacing w:before="70" w:after="70" w:line="220" w:lineRule="atLeast"/>
              <w:jc w:val="right"/>
              <w:rPr>
                <w:rFonts w:eastAsiaTheme="minorEastAsia" w:cstheme="minorHAnsi"/>
                <w:bCs/>
                <w:color w:val="auto"/>
                <w:sz w:val="17"/>
                <w:szCs w:val="17"/>
              </w:rPr>
            </w:pPr>
            <w:r w:rsidRPr="00596C47">
              <w:rPr>
                <w:rFonts w:eastAsiaTheme="minorEastAsia" w:cstheme="minorHAnsi"/>
                <w:color w:val="auto"/>
                <w:sz w:val="17"/>
                <w:szCs w:val="17"/>
              </w:rPr>
              <w:t>6</w:t>
            </w:r>
            <w:r w:rsidR="00606971" w:rsidRPr="00596C47">
              <w:rPr>
                <w:rFonts w:eastAsiaTheme="minorEastAsia" w:cstheme="minorHAnsi"/>
                <w:color w:val="auto"/>
                <w:sz w:val="17"/>
                <w:szCs w:val="17"/>
              </w:rPr>
              <w:t>79</w:t>
            </w:r>
            <w:r w:rsidR="00606971">
              <w:rPr>
                <w:rFonts w:eastAsiaTheme="minorEastAsia" w:cstheme="minorHAnsi"/>
                <w:bCs/>
                <w:color w:val="auto"/>
                <w:sz w:val="17"/>
                <w:szCs w:val="17"/>
              </w:rPr>
              <w:t>.4</w:t>
            </w:r>
          </w:p>
        </w:tc>
        <w:tc>
          <w:tcPr>
            <w:tcW w:w="516" w:type="pct"/>
            <w:tcBorders>
              <w:top w:val="single" w:sz="4" w:space="0" w:color="82C341" w:themeColor="background1"/>
              <w:bottom w:val="single" w:sz="4" w:space="0" w:color="82C341" w:themeColor="background1"/>
              <w:right w:val="single" w:sz="2" w:space="0" w:color="82C341" w:themeColor="background1"/>
            </w:tcBorders>
            <w:shd w:val="clear" w:color="auto" w:fill="auto"/>
          </w:tcPr>
          <w:p w14:paraId="38094F35" w14:textId="24255817" w:rsidR="00C60B6B" w:rsidRDefault="00C60B6B" w:rsidP="00582215">
            <w:pPr>
              <w:spacing w:before="70" w:after="70" w:line="220" w:lineRule="atLeast"/>
              <w:jc w:val="right"/>
              <w:rPr>
                <w:rFonts w:eastAsiaTheme="minorEastAsia" w:cstheme="minorHAnsi"/>
                <w:bCs/>
                <w:color w:val="auto"/>
                <w:sz w:val="17"/>
                <w:szCs w:val="17"/>
              </w:rPr>
            </w:pPr>
            <w:r w:rsidRPr="00C55487">
              <w:rPr>
                <w:rFonts w:eastAsiaTheme="minorEastAsia" w:cstheme="minorHAnsi"/>
                <w:bCs/>
                <w:color w:val="auto"/>
                <w:sz w:val="17"/>
                <w:szCs w:val="17"/>
              </w:rPr>
              <w:t>645</w:t>
            </w:r>
            <w:r w:rsidR="00606971">
              <w:rPr>
                <w:rFonts w:eastAsiaTheme="minorEastAsia" w:cstheme="minorHAnsi"/>
                <w:bCs/>
                <w:color w:val="auto"/>
                <w:sz w:val="17"/>
                <w:szCs w:val="17"/>
              </w:rPr>
              <w:t>.4</w:t>
            </w:r>
            <w:r w:rsidRPr="008A4558">
              <w:rPr>
                <w:rFonts w:eastAsiaTheme="minorEastAsia" w:cstheme="minorHAnsi"/>
                <w:bCs/>
                <w:color w:val="auto"/>
                <w:sz w:val="17"/>
                <w:szCs w:val="17"/>
              </w:rPr>
              <w:t xml:space="preserve"> </w:t>
            </w:r>
          </w:p>
          <w:p w14:paraId="58308296" w14:textId="432A59FA" w:rsidR="00C60B6B" w:rsidRPr="008A4558" w:rsidRDefault="00C60B6B" w:rsidP="00582215">
            <w:pPr>
              <w:spacing w:before="70" w:after="70" w:line="220" w:lineRule="atLeast"/>
              <w:jc w:val="right"/>
              <w:rPr>
                <w:rFonts w:eastAsiaTheme="minorEastAsia" w:cstheme="minorHAnsi"/>
                <w:bCs/>
                <w:color w:val="auto"/>
                <w:sz w:val="17"/>
                <w:szCs w:val="17"/>
              </w:rPr>
            </w:pPr>
            <w:r w:rsidRPr="008A4558">
              <w:rPr>
                <w:rFonts w:eastAsiaTheme="minorEastAsia" w:cstheme="minorHAnsi"/>
                <w:bCs/>
                <w:color w:val="auto"/>
                <w:sz w:val="17"/>
                <w:szCs w:val="17"/>
              </w:rPr>
              <w:t>(</w:t>
            </w:r>
            <w:r w:rsidRPr="00C55487">
              <w:rPr>
                <w:rFonts w:eastAsiaTheme="minorEastAsia" w:cstheme="minorHAnsi"/>
                <w:bCs/>
                <w:color w:val="auto"/>
                <w:sz w:val="17"/>
                <w:szCs w:val="17"/>
              </w:rPr>
              <w:t>4</w:t>
            </w:r>
            <w:r w:rsidR="00F2249D">
              <w:rPr>
                <w:rFonts w:eastAsiaTheme="minorEastAsia" w:cstheme="minorHAnsi"/>
                <w:bCs/>
                <w:color w:val="auto"/>
                <w:sz w:val="17"/>
                <w:szCs w:val="17"/>
              </w:rPr>
              <w:t>8.7</w:t>
            </w:r>
            <w:r w:rsidRPr="008A4558">
              <w:rPr>
                <w:rFonts w:eastAsiaTheme="minorEastAsia" w:cstheme="minorHAnsi"/>
                <w:bCs/>
                <w:color w:val="auto"/>
                <w:sz w:val="17"/>
                <w:szCs w:val="17"/>
              </w:rPr>
              <w:t>%)</w:t>
            </w:r>
          </w:p>
        </w:tc>
        <w:tc>
          <w:tcPr>
            <w:tcW w:w="539" w:type="pct"/>
            <w:tcBorders>
              <w:top w:val="single" w:sz="4" w:space="0" w:color="82C341" w:themeColor="background1"/>
              <w:left w:val="single" w:sz="2" w:space="0" w:color="82C341" w:themeColor="background1"/>
              <w:bottom w:val="single" w:sz="4" w:space="0" w:color="82C341" w:themeColor="background1"/>
            </w:tcBorders>
          </w:tcPr>
          <w:p w14:paraId="580EA8A1" w14:textId="605B9CDD" w:rsidR="00C60B6B" w:rsidRPr="008A4558" w:rsidRDefault="00ED418D" w:rsidP="00582215">
            <w:pPr>
              <w:spacing w:before="70" w:after="70" w:line="220" w:lineRule="atLeast"/>
              <w:jc w:val="right"/>
              <w:rPr>
                <w:rFonts w:eastAsiaTheme="minorEastAsia" w:cstheme="minorHAnsi"/>
                <w:bCs/>
                <w:color w:val="auto"/>
                <w:sz w:val="17"/>
                <w:szCs w:val="17"/>
              </w:rPr>
            </w:pPr>
            <w:r>
              <w:rPr>
                <w:rFonts w:eastAsiaTheme="minorEastAsia" w:cstheme="minorHAnsi"/>
                <w:bCs/>
                <w:color w:val="auto"/>
                <w:sz w:val="17"/>
                <w:szCs w:val="17"/>
              </w:rPr>
              <w:t>689.9</w:t>
            </w:r>
          </w:p>
        </w:tc>
        <w:tc>
          <w:tcPr>
            <w:tcW w:w="539" w:type="pct"/>
            <w:tcBorders>
              <w:top w:val="single" w:sz="4" w:space="0" w:color="82C341" w:themeColor="background1"/>
              <w:bottom w:val="single" w:sz="4" w:space="0" w:color="82C341" w:themeColor="background1"/>
              <w:right w:val="single" w:sz="2" w:space="0" w:color="82C341" w:themeColor="background1"/>
            </w:tcBorders>
          </w:tcPr>
          <w:p w14:paraId="45681728" w14:textId="586E6437" w:rsidR="00C60B6B" w:rsidRDefault="00C60B6B" w:rsidP="00582215">
            <w:pPr>
              <w:spacing w:before="70" w:after="70" w:line="220" w:lineRule="atLeast"/>
              <w:jc w:val="right"/>
              <w:rPr>
                <w:rFonts w:eastAsiaTheme="minorEastAsia" w:cstheme="minorHAnsi"/>
                <w:bCs/>
                <w:color w:val="auto"/>
                <w:sz w:val="17"/>
                <w:szCs w:val="17"/>
              </w:rPr>
            </w:pPr>
            <w:r w:rsidRPr="00C55487">
              <w:rPr>
                <w:rFonts w:eastAsiaTheme="minorEastAsia" w:cstheme="minorHAnsi"/>
                <w:bCs/>
                <w:color w:val="auto"/>
                <w:sz w:val="17"/>
                <w:szCs w:val="17"/>
              </w:rPr>
              <w:t>634</w:t>
            </w:r>
            <w:r w:rsidR="00ED418D">
              <w:rPr>
                <w:rFonts w:eastAsiaTheme="minorEastAsia" w:cstheme="minorHAnsi"/>
                <w:bCs/>
                <w:color w:val="auto"/>
                <w:sz w:val="17"/>
                <w:szCs w:val="17"/>
              </w:rPr>
              <w:t>.5</w:t>
            </w:r>
            <w:r w:rsidRPr="008A4558">
              <w:rPr>
                <w:rFonts w:eastAsiaTheme="minorEastAsia" w:cstheme="minorHAnsi"/>
                <w:bCs/>
                <w:color w:val="auto"/>
                <w:sz w:val="17"/>
                <w:szCs w:val="17"/>
              </w:rPr>
              <w:t xml:space="preserve"> </w:t>
            </w:r>
          </w:p>
          <w:p w14:paraId="454D3E3C" w14:textId="07256786" w:rsidR="00C60B6B" w:rsidRPr="008A4558" w:rsidRDefault="00C60B6B" w:rsidP="00582215">
            <w:pPr>
              <w:spacing w:before="70" w:after="70" w:line="220" w:lineRule="atLeast"/>
              <w:jc w:val="right"/>
              <w:rPr>
                <w:rFonts w:eastAsiaTheme="minorEastAsia" w:cstheme="minorHAnsi"/>
                <w:bCs/>
                <w:color w:val="auto"/>
                <w:sz w:val="17"/>
                <w:szCs w:val="17"/>
              </w:rPr>
            </w:pPr>
            <w:r w:rsidRPr="008A4558">
              <w:rPr>
                <w:rFonts w:eastAsiaTheme="minorEastAsia" w:cstheme="minorHAnsi"/>
                <w:bCs/>
                <w:color w:val="auto"/>
                <w:sz w:val="17"/>
                <w:szCs w:val="17"/>
              </w:rPr>
              <w:t>(</w:t>
            </w:r>
            <w:r w:rsidRPr="00C55487">
              <w:rPr>
                <w:rFonts w:eastAsiaTheme="minorEastAsia" w:cstheme="minorHAnsi"/>
                <w:bCs/>
                <w:color w:val="auto"/>
                <w:sz w:val="17"/>
                <w:szCs w:val="17"/>
              </w:rPr>
              <w:t>4</w:t>
            </w:r>
            <w:r w:rsidR="00CC7227">
              <w:rPr>
                <w:rFonts w:eastAsiaTheme="minorEastAsia" w:cstheme="minorHAnsi"/>
                <w:bCs/>
                <w:color w:val="auto"/>
                <w:sz w:val="17"/>
                <w:szCs w:val="17"/>
              </w:rPr>
              <w:t>7</w:t>
            </w:r>
            <w:r w:rsidR="00F2249D">
              <w:rPr>
                <w:rFonts w:eastAsiaTheme="minorEastAsia" w:cstheme="minorHAnsi"/>
                <w:bCs/>
                <w:color w:val="auto"/>
                <w:sz w:val="17"/>
                <w:szCs w:val="17"/>
              </w:rPr>
              <w:t>.9</w:t>
            </w:r>
            <w:r w:rsidRPr="008A4558">
              <w:rPr>
                <w:rFonts w:eastAsiaTheme="minorEastAsia" w:cstheme="minorHAnsi"/>
                <w:bCs/>
                <w:color w:val="auto"/>
                <w:sz w:val="17"/>
                <w:szCs w:val="17"/>
              </w:rPr>
              <w:t>%)</w:t>
            </w:r>
          </w:p>
        </w:tc>
        <w:tc>
          <w:tcPr>
            <w:tcW w:w="524" w:type="pct"/>
            <w:tcBorders>
              <w:top w:val="single" w:sz="4" w:space="0" w:color="82C341" w:themeColor="background1"/>
              <w:left w:val="single" w:sz="2" w:space="0" w:color="82C341" w:themeColor="background1"/>
              <w:bottom w:val="single" w:sz="4" w:space="0" w:color="82C341" w:themeColor="background1"/>
            </w:tcBorders>
          </w:tcPr>
          <w:p w14:paraId="3F59626F" w14:textId="2CCCDC5A" w:rsidR="00C60B6B" w:rsidRPr="008A4558" w:rsidRDefault="00C60B6B" w:rsidP="00582215">
            <w:pPr>
              <w:spacing w:before="70" w:after="70" w:line="220" w:lineRule="atLeast"/>
              <w:jc w:val="right"/>
              <w:rPr>
                <w:rFonts w:eastAsiaTheme="minorEastAsia" w:cstheme="minorHAnsi"/>
                <w:bCs/>
                <w:color w:val="auto"/>
                <w:sz w:val="17"/>
                <w:szCs w:val="17"/>
              </w:rPr>
            </w:pPr>
            <w:r w:rsidRPr="00C55487">
              <w:rPr>
                <w:rFonts w:eastAsiaTheme="minorEastAsia" w:cstheme="minorHAnsi"/>
                <w:bCs/>
                <w:color w:val="auto"/>
                <w:sz w:val="17"/>
                <w:szCs w:val="17"/>
              </w:rPr>
              <w:t>146</w:t>
            </w:r>
            <w:r w:rsidR="00ED418D">
              <w:rPr>
                <w:rFonts w:eastAsiaTheme="minorEastAsia" w:cstheme="minorHAnsi"/>
                <w:bCs/>
                <w:color w:val="auto"/>
                <w:sz w:val="17"/>
                <w:szCs w:val="17"/>
              </w:rPr>
              <w:t>.1</w:t>
            </w:r>
          </w:p>
        </w:tc>
        <w:tc>
          <w:tcPr>
            <w:tcW w:w="550" w:type="pct"/>
            <w:tcBorders>
              <w:top w:val="single" w:sz="4" w:space="0" w:color="82C341" w:themeColor="background1"/>
              <w:bottom w:val="single" w:sz="4" w:space="0" w:color="82C341" w:themeColor="background1"/>
              <w:right w:val="single" w:sz="2" w:space="0" w:color="82C341" w:themeColor="background1"/>
            </w:tcBorders>
          </w:tcPr>
          <w:p w14:paraId="6321FF9C" w14:textId="299FEF70" w:rsidR="00C60B6B" w:rsidRDefault="00C60B6B" w:rsidP="00582215">
            <w:pPr>
              <w:spacing w:before="70" w:after="70" w:line="220" w:lineRule="atLeast"/>
              <w:jc w:val="right"/>
              <w:rPr>
                <w:rFonts w:eastAsiaTheme="minorEastAsia" w:cstheme="minorHAnsi"/>
                <w:bCs/>
                <w:color w:val="auto"/>
                <w:sz w:val="17"/>
                <w:szCs w:val="17"/>
              </w:rPr>
            </w:pPr>
            <w:r w:rsidRPr="00C55487">
              <w:rPr>
                <w:rFonts w:eastAsiaTheme="minorEastAsia" w:cstheme="minorHAnsi"/>
                <w:bCs/>
                <w:color w:val="auto"/>
                <w:sz w:val="17"/>
                <w:szCs w:val="17"/>
              </w:rPr>
              <w:t>10</w:t>
            </w:r>
            <w:r w:rsidR="00C1113B">
              <w:rPr>
                <w:rFonts w:eastAsiaTheme="minorEastAsia" w:cstheme="minorHAnsi"/>
                <w:bCs/>
                <w:color w:val="auto"/>
                <w:sz w:val="17"/>
                <w:szCs w:val="17"/>
              </w:rPr>
              <w:t>3.6</w:t>
            </w:r>
            <w:r w:rsidRPr="008A4558">
              <w:rPr>
                <w:rFonts w:eastAsiaTheme="minorEastAsia" w:cstheme="minorHAnsi"/>
                <w:bCs/>
                <w:color w:val="auto"/>
                <w:sz w:val="17"/>
                <w:szCs w:val="17"/>
              </w:rPr>
              <w:t xml:space="preserve"> </w:t>
            </w:r>
          </w:p>
          <w:p w14:paraId="2A57E1DC" w14:textId="5FA53CED" w:rsidR="00C60B6B" w:rsidRPr="008A4558" w:rsidRDefault="00C60B6B" w:rsidP="00582215">
            <w:pPr>
              <w:spacing w:before="70" w:after="70" w:line="220" w:lineRule="atLeast"/>
              <w:jc w:val="right"/>
              <w:rPr>
                <w:rFonts w:eastAsiaTheme="minorEastAsia" w:cstheme="minorHAnsi"/>
                <w:bCs/>
                <w:color w:val="auto"/>
                <w:sz w:val="17"/>
                <w:szCs w:val="17"/>
              </w:rPr>
            </w:pPr>
            <w:r w:rsidRPr="008A4558">
              <w:rPr>
                <w:rFonts w:eastAsiaTheme="minorEastAsia" w:cstheme="minorHAnsi"/>
                <w:bCs/>
                <w:color w:val="auto"/>
                <w:sz w:val="17"/>
                <w:szCs w:val="17"/>
              </w:rPr>
              <w:t>(</w:t>
            </w:r>
            <w:r w:rsidRPr="00C55487">
              <w:rPr>
                <w:rFonts w:eastAsiaTheme="minorEastAsia" w:cstheme="minorHAnsi"/>
                <w:bCs/>
                <w:color w:val="auto"/>
                <w:sz w:val="17"/>
                <w:szCs w:val="17"/>
              </w:rPr>
              <w:t>4</w:t>
            </w:r>
            <w:r w:rsidR="00CC7227">
              <w:rPr>
                <w:rFonts w:eastAsiaTheme="minorEastAsia" w:cstheme="minorHAnsi"/>
                <w:bCs/>
                <w:color w:val="auto"/>
                <w:sz w:val="17"/>
                <w:szCs w:val="17"/>
              </w:rPr>
              <w:t>1</w:t>
            </w:r>
            <w:r w:rsidR="00F2249D">
              <w:rPr>
                <w:rFonts w:eastAsiaTheme="minorEastAsia" w:cstheme="minorHAnsi"/>
                <w:bCs/>
                <w:color w:val="auto"/>
                <w:sz w:val="17"/>
                <w:szCs w:val="17"/>
              </w:rPr>
              <w:t>.5</w:t>
            </w:r>
            <w:r w:rsidRPr="008A4558">
              <w:rPr>
                <w:rFonts w:eastAsiaTheme="minorEastAsia" w:cstheme="minorHAnsi"/>
                <w:bCs/>
                <w:color w:val="auto"/>
                <w:sz w:val="17"/>
                <w:szCs w:val="17"/>
              </w:rPr>
              <w:t>%)</w:t>
            </w:r>
          </w:p>
        </w:tc>
        <w:tc>
          <w:tcPr>
            <w:tcW w:w="522" w:type="pct"/>
            <w:tcBorders>
              <w:left w:val="single" w:sz="2" w:space="0" w:color="82C341" w:themeColor="background1"/>
            </w:tcBorders>
          </w:tcPr>
          <w:p w14:paraId="088074C4" w14:textId="6F581510" w:rsidR="00C60B6B" w:rsidRPr="008A4558" w:rsidRDefault="00C60B6B" w:rsidP="00582215">
            <w:pPr>
              <w:spacing w:before="70" w:after="70" w:line="220" w:lineRule="atLeast"/>
              <w:jc w:val="right"/>
              <w:rPr>
                <w:rFonts w:eastAsiaTheme="minorEastAsia" w:cstheme="minorHAnsi"/>
                <w:bCs/>
                <w:color w:val="auto"/>
                <w:sz w:val="17"/>
                <w:szCs w:val="17"/>
              </w:rPr>
            </w:pPr>
            <w:r w:rsidRPr="00596C47">
              <w:rPr>
                <w:rFonts w:eastAsiaTheme="minorEastAsia" w:cstheme="minorHAnsi"/>
                <w:color w:val="auto"/>
                <w:sz w:val="17"/>
                <w:szCs w:val="17"/>
              </w:rPr>
              <w:t>1,5</w:t>
            </w:r>
            <w:r w:rsidR="00ED418D" w:rsidRPr="00596C47">
              <w:rPr>
                <w:rFonts w:eastAsiaTheme="minorEastAsia" w:cstheme="minorHAnsi"/>
                <w:color w:val="auto"/>
                <w:sz w:val="17"/>
                <w:szCs w:val="17"/>
              </w:rPr>
              <w:t>15.3</w:t>
            </w:r>
          </w:p>
        </w:tc>
        <w:tc>
          <w:tcPr>
            <w:tcW w:w="609" w:type="pct"/>
          </w:tcPr>
          <w:p w14:paraId="430C2D63" w14:textId="53B2E165" w:rsidR="00C60B6B" w:rsidRDefault="00C60B6B" w:rsidP="00582215">
            <w:pPr>
              <w:spacing w:before="70" w:after="70" w:line="220" w:lineRule="atLeast"/>
              <w:jc w:val="right"/>
              <w:rPr>
                <w:rFonts w:eastAsiaTheme="minorEastAsia" w:cstheme="minorHAnsi"/>
                <w:bCs/>
                <w:color w:val="auto"/>
                <w:sz w:val="17"/>
                <w:szCs w:val="17"/>
              </w:rPr>
            </w:pPr>
            <w:r w:rsidRPr="00C55487">
              <w:rPr>
                <w:rFonts w:eastAsiaTheme="minorEastAsia" w:cstheme="minorHAnsi"/>
                <w:bCs/>
                <w:color w:val="auto"/>
                <w:sz w:val="17"/>
                <w:szCs w:val="17"/>
              </w:rPr>
              <w:t>1,383</w:t>
            </w:r>
            <w:r w:rsidR="00ED418D">
              <w:rPr>
                <w:rFonts w:eastAsiaTheme="minorEastAsia" w:cstheme="minorHAnsi"/>
                <w:bCs/>
                <w:color w:val="auto"/>
                <w:sz w:val="17"/>
                <w:szCs w:val="17"/>
              </w:rPr>
              <w:t>.5</w:t>
            </w:r>
            <w:r w:rsidRPr="008A4558">
              <w:rPr>
                <w:rFonts w:eastAsiaTheme="minorEastAsia" w:cstheme="minorHAnsi"/>
                <w:bCs/>
                <w:color w:val="auto"/>
                <w:sz w:val="17"/>
                <w:szCs w:val="17"/>
              </w:rPr>
              <w:t xml:space="preserve"> </w:t>
            </w:r>
          </w:p>
          <w:p w14:paraId="453612EB" w14:textId="37C4A3E1" w:rsidR="00C60B6B" w:rsidRPr="008A4558" w:rsidRDefault="00C60B6B" w:rsidP="00582215">
            <w:pPr>
              <w:spacing w:before="70" w:after="70" w:line="220" w:lineRule="atLeast"/>
              <w:jc w:val="right"/>
              <w:rPr>
                <w:rFonts w:eastAsiaTheme="minorEastAsia" w:cstheme="minorHAnsi"/>
                <w:bCs/>
                <w:color w:val="auto"/>
                <w:sz w:val="17"/>
                <w:szCs w:val="17"/>
              </w:rPr>
            </w:pPr>
            <w:r w:rsidRPr="008A4558">
              <w:rPr>
                <w:rFonts w:eastAsiaTheme="minorEastAsia" w:cstheme="minorHAnsi"/>
                <w:bCs/>
                <w:color w:val="auto"/>
                <w:sz w:val="17"/>
                <w:szCs w:val="17"/>
              </w:rPr>
              <w:t>(4</w:t>
            </w:r>
            <w:r w:rsidR="00CC7227">
              <w:rPr>
                <w:rFonts w:eastAsiaTheme="minorEastAsia" w:cstheme="minorHAnsi"/>
                <w:bCs/>
                <w:color w:val="auto"/>
                <w:sz w:val="17"/>
                <w:szCs w:val="17"/>
              </w:rPr>
              <w:t>7</w:t>
            </w:r>
            <w:r w:rsidR="00F2249D">
              <w:rPr>
                <w:rFonts w:eastAsiaTheme="minorEastAsia" w:cstheme="minorHAnsi"/>
                <w:bCs/>
                <w:color w:val="auto"/>
                <w:sz w:val="17"/>
                <w:szCs w:val="17"/>
              </w:rPr>
              <w:t>.7</w:t>
            </w:r>
            <w:r w:rsidRPr="008A4558">
              <w:rPr>
                <w:rFonts w:eastAsiaTheme="minorEastAsia" w:cstheme="minorHAnsi"/>
                <w:bCs/>
                <w:color w:val="auto"/>
                <w:sz w:val="17"/>
                <w:szCs w:val="17"/>
              </w:rPr>
              <w:t>%)</w:t>
            </w:r>
          </w:p>
        </w:tc>
      </w:tr>
      <w:tr w:rsidR="00C1113B" w:rsidRPr="008A4558" w14:paraId="721B63AB" w14:textId="77777777" w:rsidTr="00F2249D">
        <w:tc>
          <w:tcPr>
            <w:tcW w:w="685" w:type="pct"/>
            <w:tcBorders>
              <w:right w:val="single" w:sz="2" w:space="0" w:color="82C341" w:themeColor="background1"/>
            </w:tcBorders>
          </w:tcPr>
          <w:p w14:paraId="509563DB" w14:textId="77777777" w:rsidR="00C60B6B" w:rsidRPr="008A4558" w:rsidRDefault="00C60B6B" w:rsidP="00582215">
            <w:pPr>
              <w:spacing w:before="70" w:after="70" w:line="220" w:lineRule="atLeast"/>
              <w:rPr>
                <w:bCs/>
                <w:color w:val="auto"/>
                <w:sz w:val="17"/>
                <w:szCs w:val="17"/>
              </w:rPr>
            </w:pPr>
            <w:r w:rsidRPr="008A4558">
              <w:rPr>
                <w:rFonts w:eastAsiaTheme="minorEastAsia" w:cstheme="minorHAnsi"/>
                <w:bCs/>
                <w:color w:val="auto"/>
                <w:sz w:val="17"/>
                <w:szCs w:val="17"/>
              </w:rPr>
              <w:t xml:space="preserve">Paper </w:t>
            </w:r>
            <w:r>
              <w:rPr>
                <w:rFonts w:eastAsiaTheme="minorEastAsia" w:cstheme="minorHAnsi"/>
                <w:bCs/>
                <w:color w:val="auto"/>
                <w:sz w:val="17"/>
                <w:szCs w:val="17"/>
              </w:rPr>
              <w:t>/</w:t>
            </w:r>
            <w:r w:rsidRPr="008A4558">
              <w:rPr>
                <w:rFonts w:eastAsiaTheme="minorEastAsia" w:cstheme="minorHAnsi"/>
                <w:bCs/>
                <w:color w:val="auto"/>
                <w:sz w:val="17"/>
                <w:szCs w:val="17"/>
              </w:rPr>
              <w:t xml:space="preserve"> cardboard</w:t>
            </w:r>
            <w:r w:rsidRPr="00C10D9B">
              <w:rPr>
                <w:rFonts w:eastAsiaTheme="minorEastAsia" w:cstheme="minorHAnsi"/>
                <w:bCs/>
                <w:color w:val="auto"/>
                <w:sz w:val="17"/>
                <w:szCs w:val="17"/>
                <w:vertAlign w:val="superscript"/>
              </w:rPr>
              <w:t>†</w:t>
            </w:r>
          </w:p>
        </w:tc>
        <w:tc>
          <w:tcPr>
            <w:tcW w:w="516" w:type="pct"/>
            <w:tcBorders>
              <w:top w:val="single" w:sz="4" w:space="0" w:color="82C341" w:themeColor="background1"/>
              <w:left w:val="single" w:sz="2" w:space="0" w:color="82C341" w:themeColor="background1"/>
              <w:bottom w:val="single" w:sz="4" w:space="0" w:color="82C341" w:themeColor="background1"/>
            </w:tcBorders>
          </w:tcPr>
          <w:p w14:paraId="0E24A300" w14:textId="3F2C7499" w:rsidR="00C60B6B" w:rsidRPr="008A4558" w:rsidRDefault="00C60B6B" w:rsidP="00582215">
            <w:pPr>
              <w:spacing w:before="70" w:after="70" w:line="220" w:lineRule="atLeast"/>
              <w:jc w:val="right"/>
              <w:rPr>
                <w:rFonts w:eastAsiaTheme="minorEastAsia" w:cstheme="minorHAnsi"/>
                <w:bCs/>
                <w:color w:val="auto"/>
                <w:sz w:val="17"/>
                <w:szCs w:val="17"/>
              </w:rPr>
            </w:pPr>
            <w:r w:rsidRPr="00C55487">
              <w:rPr>
                <w:rFonts w:eastAsiaTheme="minorEastAsia" w:cstheme="minorHAnsi"/>
                <w:bCs/>
                <w:color w:val="auto"/>
                <w:sz w:val="17"/>
                <w:szCs w:val="17"/>
              </w:rPr>
              <w:t>201</w:t>
            </w:r>
            <w:r w:rsidR="00606971">
              <w:rPr>
                <w:rFonts w:eastAsiaTheme="minorEastAsia" w:cstheme="minorHAnsi"/>
                <w:bCs/>
                <w:color w:val="auto"/>
                <w:sz w:val="17"/>
                <w:szCs w:val="17"/>
              </w:rPr>
              <w:t>.3</w:t>
            </w:r>
          </w:p>
        </w:tc>
        <w:tc>
          <w:tcPr>
            <w:tcW w:w="516" w:type="pct"/>
            <w:tcBorders>
              <w:top w:val="single" w:sz="4" w:space="0" w:color="82C341" w:themeColor="background1"/>
              <w:bottom w:val="single" w:sz="4" w:space="0" w:color="82C341" w:themeColor="background1"/>
              <w:right w:val="single" w:sz="2" w:space="0" w:color="82C341" w:themeColor="background1"/>
            </w:tcBorders>
          </w:tcPr>
          <w:p w14:paraId="2E8DF3B1" w14:textId="1DAC366C" w:rsidR="00C60B6B" w:rsidRDefault="00C60B6B" w:rsidP="00582215">
            <w:pPr>
              <w:spacing w:before="70" w:after="70" w:line="220" w:lineRule="atLeast"/>
              <w:jc w:val="right"/>
              <w:rPr>
                <w:rFonts w:eastAsiaTheme="minorEastAsia" w:cstheme="minorHAnsi"/>
                <w:bCs/>
                <w:color w:val="auto"/>
                <w:sz w:val="17"/>
                <w:szCs w:val="17"/>
              </w:rPr>
            </w:pPr>
            <w:r w:rsidRPr="00C55487">
              <w:rPr>
                <w:rFonts w:eastAsiaTheme="minorEastAsia" w:cstheme="minorHAnsi"/>
                <w:bCs/>
                <w:color w:val="auto"/>
                <w:sz w:val="17"/>
                <w:szCs w:val="17"/>
              </w:rPr>
              <w:t>2</w:t>
            </w:r>
            <w:r w:rsidR="00CC7227">
              <w:rPr>
                <w:rFonts w:eastAsiaTheme="minorEastAsia" w:cstheme="minorHAnsi"/>
                <w:bCs/>
                <w:color w:val="auto"/>
                <w:sz w:val="17"/>
                <w:szCs w:val="17"/>
              </w:rPr>
              <w:t>0</w:t>
            </w:r>
            <w:r w:rsidR="00606971">
              <w:rPr>
                <w:rFonts w:eastAsiaTheme="minorEastAsia" w:cstheme="minorHAnsi"/>
                <w:bCs/>
                <w:color w:val="auto"/>
                <w:sz w:val="17"/>
                <w:szCs w:val="17"/>
              </w:rPr>
              <w:t>3.5</w:t>
            </w:r>
            <w:r w:rsidRPr="008A4558">
              <w:rPr>
                <w:rFonts w:eastAsiaTheme="minorEastAsia" w:cstheme="minorHAnsi"/>
                <w:bCs/>
                <w:color w:val="auto"/>
                <w:sz w:val="17"/>
                <w:szCs w:val="17"/>
              </w:rPr>
              <w:t xml:space="preserve"> </w:t>
            </w:r>
          </w:p>
          <w:p w14:paraId="16CAAC17" w14:textId="2DBFDE0A" w:rsidR="00C60B6B" w:rsidRPr="008A4558" w:rsidRDefault="00C60B6B" w:rsidP="00582215">
            <w:pPr>
              <w:spacing w:before="70" w:after="70" w:line="220" w:lineRule="atLeast"/>
              <w:jc w:val="right"/>
              <w:rPr>
                <w:rFonts w:eastAsiaTheme="minorEastAsia" w:cstheme="minorHAnsi"/>
                <w:bCs/>
                <w:color w:val="auto"/>
                <w:sz w:val="17"/>
                <w:szCs w:val="17"/>
              </w:rPr>
            </w:pPr>
            <w:r w:rsidRPr="008A4558">
              <w:rPr>
                <w:rFonts w:eastAsiaTheme="minorEastAsia" w:cstheme="minorHAnsi"/>
                <w:bCs/>
                <w:color w:val="auto"/>
                <w:sz w:val="17"/>
                <w:szCs w:val="17"/>
              </w:rPr>
              <w:t>(</w:t>
            </w:r>
            <w:r w:rsidRPr="00C55487">
              <w:rPr>
                <w:rFonts w:eastAsiaTheme="minorEastAsia" w:cstheme="minorHAnsi"/>
                <w:bCs/>
                <w:color w:val="auto"/>
                <w:sz w:val="17"/>
                <w:szCs w:val="17"/>
              </w:rPr>
              <w:t>5</w:t>
            </w:r>
            <w:r w:rsidR="00CC7227">
              <w:rPr>
                <w:rFonts w:eastAsiaTheme="minorEastAsia" w:cstheme="minorHAnsi"/>
                <w:bCs/>
                <w:color w:val="auto"/>
                <w:sz w:val="17"/>
                <w:szCs w:val="17"/>
              </w:rPr>
              <w:t>0</w:t>
            </w:r>
            <w:r w:rsidR="00F2249D">
              <w:rPr>
                <w:rFonts w:eastAsiaTheme="minorEastAsia" w:cstheme="minorHAnsi"/>
                <w:bCs/>
                <w:color w:val="auto"/>
                <w:sz w:val="17"/>
                <w:szCs w:val="17"/>
              </w:rPr>
              <w:t>.3</w:t>
            </w:r>
            <w:r w:rsidRPr="008A4558">
              <w:rPr>
                <w:rFonts w:eastAsiaTheme="minorEastAsia" w:cstheme="minorHAnsi"/>
                <w:bCs/>
                <w:color w:val="auto"/>
                <w:sz w:val="17"/>
                <w:szCs w:val="17"/>
              </w:rPr>
              <w:t>%)</w:t>
            </w:r>
          </w:p>
        </w:tc>
        <w:tc>
          <w:tcPr>
            <w:tcW w:w="539" w:type="pct"/>
            <w:tcBorders>
              <w:top w:val="single" w:sz="4" w:space="0" w:color="82C341" w:themeColor="background1"/>
              <w:left w:val="single" w:sz="2" w:space="0" w:color="82C341" w:themeColor="background1"/>
              <w:bottom w:val="single" w:sz="4" w:space="0" w:color="82C341" w:themeColor="background1"/>
            </w:tcBorders>
          </w:tcPr>
          <w:p w14:paraId="78389936" w14:textId="5A76B067" w:rsidR="00C60B6B" w:rsidRPr="008A4558" w:rsidRDefault="00C60B6B" w:rsidP="00582215">
            <w:pPr>
              <w:spacing w:before="70" w:after="70" w:line="220" w:lineRule="atLeast"/>
              <w:jc w:val="right"/>
              <w:rPr>
                <w:rFonts w:eastAsiaTheme="minorEastAsia" w:cstheme="minorHAnsi"/>
                <w:bCs/>
                <w:color w:val="auto"/>
                <w:sz w:val="17"/>
                <w:szCs w:val="17"/>
              </w:rPr>
            </w:pPr>
            <w:r w:rsidRPr="00C55487">
              <w:rPr>
                <w:rFonts w:eastAsiaTheme="minorEastAsia" w:cstheme="minorHAnsi"/>
                <w:bCs/>
                <w:color w:val="auto"/>
                <w:sz w:val="17"/>
                <w:szCs w:val="17"/>
              </w:rPr>
              <w:t>3</w:t>
            </w:r>
            <w:r w:rsidR="00ED418D">
              <w:rPr>
                <w:rFonts w:eastAsiaTheme="minorEastAsia" w:cstheme="minorHAnsi"/>
                <w:bCs/>
                <w:color w:val="auto"/>
                <w:sz w:val="17"/>
                <w:szCs w:val="17"/>
              </w:rPr>
              <w:t>49.7</w:t>
            </w:r>
          </w:p>
        </w:tc>
        <w:tc>
          <w:tcPr>
            <w:tcW w:w="539" w:type="pct"/>
            <w:tcBorders>
              <w:top w:val="single" w:sz="4" w:space="0" w:color="82C341" w:themeColor="background1"/>
              <w:bottom w:val="single" w:sz="4" w:space="0" w:color="82C341" w:themeColor="background1"/>
              <w:right w:val="single" w:sz="2" w:space="0" w:color="82C341" w:themeColor="background1"/>
            </w:tcBorders>
          </w:tcPr>
          <w:p w14:paraId="2E5AA8ED" w14:textId="57C5ACFC" w:rsidR="00C60B6B" w:rsidRDefault="00CC7227" w:rsidP="00582215">
            <w:pPr>
              <w:spacing w:before="70" w:after="70" w:line="220" w:lineRule="atLeast"/>
              <w:jc w:val="right"/>
              <w:rPr>
                <w:rFonts w:eastAsiaTheme="minorEastAsia" w:cstheme="minorHAnsi"/>
                <w:bCs/>
                <w:color w:val="auto"/>
                <w:sz w:val="17"/>
                <w:szCs w:val="17"/>
              </w:rPr>
            </w:pPr>
            <w:r>
              <w:rPr>
                <w:rFonts w:eastAsiaTheme="minorEastAsia" w:cstheme="minorHAnsi"/>
                <w:bCs/>
                <w:color w:val="auto"/>
                <w:sz w:val="17"/>
                <w:szCs w:val="17"/>
              </w:rPr>
              <w:t>911</w:t>
            </w:r>
            <w:r w:rsidR="00C1113B">
              <w:rPr>
                <w:rFonts w:eastAsiaTheme="minorEastAsia" w:cstheme="minorHAnsi"/>
                <w:bCs/>
                <w:color w:val="auto"/>
                <w:sz w:val="17"/>
                <w:szCs w:val="17"/>
              </w:rPr>
              <w:t>.0</w:t>
            </w:r>
          </w:p>
          <w:p w14:paraId="670F4CC2" w14:textId="63D850F0" w:rsidR="00C60B6B" w:rsidRPr="008A4558" w:rsidRDefault="00C60B6B" w:rsidP="00582215">
            <w:pPr>
              <w:spacing w:before="70" w:after="70" w:line="220" w:lineRule="atLeast"/>
              <w:jc w:val="right"/>
              <w:rPr>
                <w:rFonts w:eastAsiaTheme="minorEastAsia" w:cstheme="minorHAnsi"/>
                <w:bCs/>
                <w:color w:val="auto"/>
                <w:sz w:val="17"/>
                <w:szCs w:val="17"/>
              </w:rPr>
            </w:pPr>
            <w:r w:rsidRPr="008A4558">
              <w:rPr>
                <w:rFonts w:eastAsiaTheme="minorEastAsia" w:cstheme="minorHAnsi"/>
                <w:bCs/>
                <w:color w:val="auto"/>
                <w:sz w:val="17"/>
                <w:szCs w:val="17"/>
              </w:rPr>
              <w:t>(7</w:t>
            </w:r>
            <w:r w:rsidRPr="00C55487">
              <w:rPr>
                <w:rFonts w:eastAsiaTheme="minorEastAsia" w:cstheme="minorHAnsi"/>
                <w:bCs/>
                <w:color w:val="auto"/>
                <w:sz w:val="17"/>
                <w:szCs w:val="17"/>
              </w:rPr>
              <w:t>2</w:t>
            </w:r>
            <w:r w:rsidR="00F2249D">
              <w:rPr>
                <w:rFonts w:eastAsiaTheme="minorEastAsia" w:cstheme="minorHAnsi"/>
                <w:bCs/>
                <w:color w:val="auto"/>
                <w:sz w:val="17"/>
                <w:szCs w:val="17"/>
              </w:rPr>
              <w:t>.3</w:t>
            </w:r>
            <w:r w:rsidRPr="008A4558">
              <w:rPr>
                <w:rFonts w:eastAsiaTheme="minorEastAsia" w:cstheme="minorHAnsi"/>
                <w:bCs/>
                <w:color w:val="auto"/>
                <w:sz w:val="17"/>
                <w:szCs w:val="17"/>
              </w:rPr>
              <w:t>%)</w:t>
            </w:r>
          </w:p>
        </w:tc>
        <w:tc>
          <w:tcPr>
            <w:tcW w:w="524" w:type="pct"/>
            <w:tcBorders>
              <w:top w:val="single" w:sz="4" w:space="0" w:color="82C341" w:themeColor="background1"/>
              <w:left w:val="single" w:sz="2" w:space="0" w:color="82C341" w:themeColor="background1"/>
              <w:bottom w:val="single" w:sz="4" w:space="0" w:color="82C341" w:themeColor="background1"/>
            </w:tcBorders>
          </w:tcPr>
          <w:p w14:paraId="5100A550" w14:textId="6B4578BE" w:rsidR="00C60B6B" w:rsidRPr="008A4558" w:rsidRDefault="00C60B6B" w:rsidP="00582215">
            <w:pPr>
              <w:spacing w:before="70" w:after="70" w:line="220" w:lineRule="atLeast"/>
              <w:jc w:val="right"/>
              <w:rPr>
                <w:rFonts w:eastAsiaTheme="minorEastAsia" w:cstheme="minorHAnsi"/>
                <w:bCs/>
                <w:color w:val="auto"/>
                <w:sz w:val="17"/>
                <w:szCs w:val="17"/>
              </w:rPr>
            </w:pPr>
            <w:r w:rsidRPr="008A4558">
              <w:rPr>
                <w:rFonts w:eastAsiaTheme="minorEastAsia" w:cstheme="minorHAnsi"/>
                <w:bCs/>
                <w:color w:val="auto"/>
                <w:sz w:val="17"/>
                <w:szCs w:val="17"/>
              </w:rPr>
              <w:t>8</w:t>
            </w:r>
            <w:r w:rsidR="00ED418D">
              <w:rPr>
                <w:rFonts w:eastAsiaTheme="minorEastAsia" w:cstheme="minorHAnsi"/>
                <w:bCs/>
                <w:color w:val="auto"/>
                <w:sz w:val="17"/>
                <w:szCs w:val="17"/>
              </w:rPr>
              <w:t>.4</w:t>
            </w:r>
          </w:p>
        </w:tc>
        <w:tc>
          <w:tcPr>
            <w:tcW w:w="550" w:type="pct"/>
            <w:tcBorders>
              <w:top w:val="single" w:sz="4" w:space="0" w:color="82C341" w:themeColor="background1"/>
              <w:bottom w:val="single" w:sz="4" w:space="0" w:color="82C341" w:themeColor="background1"/>
              <w:right w:val="single" w:sz="2" w:space="0" w:color="82C341" w:themeColor="background1"/>
            </w:tcBorders>
          </w:tcPr>
          <w:p w14:paraId="20D2CB0D" w14:textId="77777777" w:rsidR="00C60B6B" w:rsidRDefault="00C60B6B" w:rsidP="00582215">
            <w:pPr>
              <w:spacing w:before="70" w:after="70" w:line="220" w:lineRule="atLeast"/>
              <w:jc w:val="right"/>
              <w:rPr>
                <w:rFonts w:eastAsiaTheme="minorEastAsia" w:cstheme="minorHAnsi"/>
                <w:bCs/>
                <w:color w:val="auto"/>
                <w:sz w:val="17"/>
                <w:szCs w:val="17"/>
              </w:rPr>
            </w:pPr>
            <w:r w:rsidRPr="008A4558">
              <w:rPr>
                <w:rFonts w:eastAsiaTheme="minorEastAsia" w:cstheme="minorHAnsi"/>
                <w:bCs/>
                <w:color w:val="auto"/>
                <w:sz w:val="17"/>
                <w:szCs w:val="17"/>
              </w:rPr>
              <w:t>0.</w:t>
            </w:r>
            <w:r w:rsidRPr="00C55487">
              <w:rPr>
                <w:rFonts w:eastAsiaTheme="minorEastAsia" w:cstheme="minorHAnsi"/>
                <w:bCs/>
                <w:color w:val="auto"/>
                <w:sz w:val="17"/>
                <w:szCs w:val="17"/>
              </w:rPr>
              <w:t>3</w:t>
            </w:r>
            <w:r w:rsidRPr="008A4558">
              <w:rPr>
                <w:rFonts w:eastAsiaTheme="minorEastAsia" w:cstheme="minorHAnsi"/>
                <w:bCs/>
                <w:color w:val="auto"/>
                <w:sz w:val="17"/>
                <w:szCs w:val="17"/>
              </w:rPr>
              <w:t xml:space="preserve"> </w:t>
            </w:r>
          </w:p>
          <w:p w14:paraId="51C47528" w14:textId="094F0F08" w:rsidR="00C60B6B" w:rsidRPr="008A4558" w:rsidRDefault="00C60B6B" w:rsidP="00582215">
            <w:pPr>
              <w:spacing w:before="70" w:after="70" w:line="220" w:lineRule="atLeast"/>
              <w:jc w:val="right"/>
              <w:rPr>
                <w:rFonts w:eastAsiaTheme="minorEastAsia" w:cstheme="minorHAnsi"/>
                <w:bCs/>
                <w:color w:val="auto"/>
                <w:sz w:val="17"/>
                <w:szCs w:val="17"/>
              </w:rPr>
            </w:pPr>
            <w:r w:rsidRPr="008A4558">
              <w:rPr>
                <w:rFonts w:eastAsiaTheme="minorEastAsia" w:cstheme="minorHAnsi"/>
                <w:bCs/>
                <w:color w:val="auto"/>
                <w:sz w:val="17"/>
                <w:szCs w:val="17"/>
              </w:rPr>
              <w:t>(</w:t>
            </w:r>
            <w:r w:rsidR="00F2249D">
              <w:rPr>
                <w:rFonts w:eastAsiaTheme="minorEastAsia" w:cstheme="minorHAnsi"/>
                <w:bCs/>
                <w:color w:val="auto"/>
                <w:sz w:val="17"/>
                <w:szCs w:val="17"/>
              </w:rPr>
              <w:t>3.3</w:t>
            </w:r>
            <w:r w:rsidRPr="008A4558">
              <w:rPr>
                <w:rFonts w:eastAsiaTheme="minorEastAsia" w:cstheme="minorHAnsi"/>
                <w:bCs/>
                <w:color w:val="auto"/>
                <w:sz w:val="17"/>
                <w:szCs w:val="17"/>
              </w:rPr>
              <w:t>%)</w:t>
            </w:r>
          </w:p>
        </w:tc>
        <w:tc>
          <w:tcPr>
            <w:tcW w:w="522" w:type="pct"/>
            <w:tcBorders>
              <w:left w:val="single" w:sz="2" w:space="0" w:color="82C341" w:themeColor="background1"/>
            </w:tcBorders>
          </w:tcPr>
          <w:p w14:paraId="78CF6BA6" w14:textId="2DBCFC36" w:rsidR="00C60B6B" w:rsidRPr="008A4558" w:rsidRDefault="00C60B6B" w:rsidP="00582215">
            <w:pPr>
              <w:spacing w:before="70" w:after="70" w:line="220" w:lineRule="atLeast"/>
              <w:jc w:val="right"/>
              <w:rPr>
                <w:rFonts w:eastAsiaTheme="minorEastAsia" w:cstheme="minorHAnsi"/>
                <w:bCs/>
                <w:color w:val="auto"/>
                <w:sz w:val="17"/>
                <w:szCs w:val="17"/>
              </w:rPr>
            </w:pPr>
            <w:r w:rsidRPr="00C55487">
              <w:rPr>
                <w:rFonts w:eastAsiaTheme="minorEastAsia" w:cstheme="minorHAnsi"/>
                <w:bCs/>
                <w:color w:val="auto"/>
                <w:sz w:val="17"/>
                <w:szCs w:val="17"/>
              </w:rPr>
              <w:t>559</w:t>
            </w:r>
            <w:r w:rsidR="00ED418D">
              <w:rPr>
                <w:rFonts w:eastAsiaTheme="minorEastAsia" w:cstheme="minorHAnsi"/>
                <w:bCs/>
                <w:color w:val="auto"/>
                <w:sz w:val="17"/>
                <w:szCs w:val="17"/>
              </w:rPr>
              <w:t>.3</w:t>
            </w:r>
          </w:p>
        </w:tc>
        <w:tc>
          <w:tcPr>
            <w:tcW w:w="609" w:type="pct"/>
          </w:tcPr>
          <w:p w14:paraId="4861C3A1" w14:textId="6FF613E2" w:rsidR="00C60B6B" w:rsidRDefault="00C60B6B" w:rsidP="00582215">
            <w:pPr>
              <w:spacing w:before="70" w:after="70" w:line="220" w:lineRule="atLeast"/>
              <w:jc w:val="right"/>
              <w:rPr>
                <w:rFonts w:eastAsiaTheme="minorEastAsia" w:cstheme="minorHAnsi"/>
                <w:bCs/>
                <w:color w:val="auto"/>
                <w:sz w:val="17"/>
                <w:szCs w:val="17"/>
              </w:rPr>
            </w:pPr>
            <w:r w:rsidRPr="00C55487">
              <w:rPr>
                <w:rFonts w:eastAsiaTheme="minorEastAsia" w:cstheme="minorHAnsi"/>
                <w:bCs/>
                <w:color w:val="auto"/>
                <w:sz w:val="17"/>
                <w:szCs w:val="17"/>
              </w:rPr>
              <w:t>1,11</w:t>
            </w:r>
            <w:r w:rsidR="00ED418D">
              <w:rPr>
                <w:rFonts w:eastAsiaTheme="minorEastAsia" w:cstheme="minorHAnsi"/>
                <w:bCs/>
                <w:color w:val="auto"/>
                <w:sz w:val="17"/>
                <w:szCs w:val="17"/>
              </w:rPr>
              <w:t>4.8</w:t>
            </w:r>
            <w:r w:rsidRPr="008A4558">
              <w:rPr>
                <w:rFonts w:eastAsiaTheme="minorEastAsia" w:cstheme="minorHAnsi"/>
                <w:bCs/>
                <w:color w:val="auto"/>
                <w:sz w:val="17"/>
                <w:szCs w:val="17"/>
              </w:rPr>
              <w:t xml:space="preserve"> </w:t>
            </w:r>
          </w:p>
          <w:p w14:paraId="699AC8EF" w14:textId="0BC3AC9D" w:rsidR="00C60B6B" w:rsidRPr="008A4558" w:rsidRDefault="00C60B6B" w:rsidP="00582215">
            <w:pPr>
              <w:spacing w:before="70" w:after="70" w:line="220" w:lineRule="atLeast"/>
              <w:jc w:val="right"/>
              <w:rPr>
                <w:rFonts w:eastAsiaTheme="minorEastAsia" w:cstheme="minorHAnsi"/>
                <w:bCs/>
                <w:color w:val="auto"/>
                <w:sz w:val="17"/>
                <w:szCs w:val="17"/>
              </w:rPr>
            </w:pPr>
            <w:r w:rsidRPr="008A4558">
              <w:rPr>
                <w:rFonts w:eastAsiaTheme="minorEastAsia" w:cstheme="minorHAnsi"/>
                <w:bCs/>
                <w:color w:val="auto"/>
                <w:sz w:val="17"/>
                <w:szCs w:val="17"/>
              </w:rPr>
              <w:t>(</w:t>
            </w:r>
            <w:r w:rsidRPr="00C55487">
              <w:rPr>
                <w:rFonts w:eastAsiaTheme="minorEastAsia" w:cstheme="minorHAnsi"/>
                <w:bCs/>
                <w:color w:val="auto"/>
                <w:sz w:val="17"/>
                <w:szCs w:val="17"/>
              </w:rPr>
              <w:t>6</w:t>
            </w:r>
            <w:r w:rsidR="00F2249D">
              <w:rPr>
                <w:rFonts w:eastAsiaTheme="minorEastAsia" w:cstheme="minorHAnsi"/>
                <w:bCs/>
                <w:color w:val="auto"/>
                <w:sz w:val="17"/>
                <w:szCs w:val="17"/>
              </w:rPr>
              <w:t>6.6</w:t>
            </w:r>
            <w:r w:rsidRPr="008A4558">
              <w:rPr>
                <w:rFonts w:eastAsiaTheme="minorEastAsia" w:cstheme="minorHAnsi"/>
                <w:bCs/>
                <w:color w:val="auto"/>
                <w:sz w:val="17"/>
                <w:szCs w:val="17"/>
              </w:rPr>
              <w:t>%)</w:t>
            </w:r>
          </w:p>
        </w:tc>
      </w:tr>
      <w:tr w:rsidR="00C1113B" w:rsidRPr="008A4558" w14:paraId="755A76DD" w14:textId="77777777" w:rsidTr="00F2249D">
        <w:tc>
          <w:tcPr>
            <w:tcW w:w="685" w:type="pct"/>
            <w:tcBorders>
              <w:right w:val="single" w:sz="2" w:space="0" w:color="82C341" w:themeColor="background1"/>
            </w:tcBorders>
          </w:tcPr>
          <w:p w14:paraId="1FCB9813" w14:textId="77777777" w:rsidR="00C60B6B" w:rsidRPr="008A4558" w:rsidRDefault="00C60B6B" w:rsidP="00582215">
            <w:pPr>
              <w:spacing w:before="70" w:after="70" w:line="220" w:lineRule="atLeast"/>
              <w:rPr>
                <w:b/>
                <w:color w:val="auto"/>
                <w:sz w:val="17"/>
                <w:szCs w:val="17"/>
              </w:rPr>
            </w:pPr>
            <w:r w:rsidRPr="008A4558">
              <w:rPr>
                <w:rFonts w:eastAsiaTheme="minorEastAsia" w:cstheme="minorHAnsi"/>
                <w:bCs/>
                <w:color w:val="auto"/>
                <w:sz w:val="17"/>
                <w:szCs w:val="17"/>
              </w:rPr>
              <w:t>Plastics</w:t>
            </w:r>
          </w:p>
        </w:tc>
        <w:tc>
          <w:tcPr>
            <w:tcW w:w="516" w:type="pct"/>
            <w:tcBorders>
              <w:top w:val="single" w:sz="4" w:space="0" w:color="82C341" w:themeColor="background1"/>
              <w:left w:val="single" w:sz="2" w:space="0" w:color="82C341" w:themeColor="background1"/>
              <w:bottom w:val="single" w:sz="4" w:space="0" w:color="82C341" w:themeColor="background1"/>
            </w:tcBorders>
          </w:tcPr>
          <w:p w14:paraId="6095DB9B" w14:textId="3EEC3780" w:rsidR="00C60B6B" w:rsidRPr="008A4558" w:rsidRDefault="00C60B6B" w:rsidP="00582215">
            <w:pPr>
              <w:spacing w:before="70" w:after="70" w:line="220" w:lineRule="atLeast"/>
              <w:jc w:val="right"/>
              <w:rPr>
                <w:rFonts w:eastAsiaTheme="minorEastAsia" w:cstheme="minorHAnsi"/>
                <w:bCs/>
                <w:color w:val="auto"/>
                <w:sz w:val="17"/>
                <w:szCs w:val="17"/>
              </w:rPr>
            </w:pPr>
            <w:r w:rsidRPr="00C55487">
              <w:rPr>
                <w:rFonts w:eastAsiaTheme="minorEastAsia" w:cstheme="minorHAnsi"/>
                <w:bCs/>
                <w:color w:val="auto"/>
                <w:sz w:val="17"/>
                <w:szCs w:val="17"/>
              </w:rPr>
              <w:t>179</w:t>
            </w:r>
            <w:r w:rsidR="00606971">
              <w:rPr>
                <w:rFonts w:eastAsiaTheme="minorEastAsia" w:cstheme="minorHAnsi"/>
                <w:bCs/>
                <w:color w:val="auto"/>
                <w:sz w:val="17"/>
                <w:szCs w:val="17"/>
              </w:rPr>
              <w:t>.5</w:t>
            </w:r>
          </w:p>
        </w:tc>
        <w:tc>
          <w:tcPr>
            <w:tcW w:w="516" w:type="pct"/>
            <w:tcBorders>
              <w:top w:val="single" w:sz="4" w:space="0" w:color="82C341" w:themeColor="background1"/>
              <w:bottom w:val="single" w:sz="4" w:space="0" w:color="82C341" w:themeColor="background1"/>
              <w:right w:val="single" w:sz="2" w:space="0" w:color="82C341" w:themeColor="background1"/>
            </w:tcBorders>
          </w:tcPr>
          <w:p w14:paraId="7016A6D1" w14:textId="37A2F060" w:rsidR="00C60B6B" w:rsidRDefault="00C60B6B" w:rsidP="00582215">
            <w:pPr>
              <w:spacing w:before="70" w:after="70" w:line="220" w:lineRule="atLeast"/>
              <w:jc w:val="right"/>
              <w:rPr>
                <w:rFonts w:eastAsiaTheme="minorEastAsia" w:cstheme="minorHAnsi"/>
                <w:bCs/>
                <w:color w:val="auto"/>
                <w:sz w:val="17"/>
                <w:szCs w:val="17"/>
              </w:rPr>
            </w:pPr>
            <w:r w:rsidRPr="00C55487">
              <w:rPr>
                <w:rFonts w:eastAsiaTheme="minorEastAsia" w:cstheme="minorHAnsi"/>
                <w:bCs/>
                <w:color w:val="auto"/>
                <w:sz w:val="17"/>
                <w:szCs w:val="17"/>
              </w:rPr>
              <w:t>7</w:t>
            </w:r>
            <w:r w:rsidR="00606971">
              <w:rPr>
                <w:rFonts w:eastAsiaTheme="minorEastAsia" w:cstheme="minorHAnsi"/>
                <w:bCs/>
                <w:color w:val="auto"/>
                <w:sz w:val="17"/>
                <w:szCs w:val="17"/>
              </w:rPr>
              <w:t>0.9</w:t>
            </w:r>
            <w:r w:rsidRPr="008A4558">
              <w:rPr>
                <w:rFonts w:eastAsiaTheme="minorEastAsia" w:cstheme="minorHAnsi"/>
                <w:bCs/>
                <w:color w:val="auto"/>
                <w:sz w:val="17"/>
                <w:szCs w:val="17"/>
              </w:rPr>
              <w:t xml:space="preserve"> </w:t>
            </w:r>
          </w:p>
          <w:p w14:paraId="300A9424" w14:textId="46C2AC4D" w:rsidR="00C60B6B" w:rsidRPr="008A4558" w:rsidRDefault="00C60B6B" w:rsidP="00582215">
            <w:pPr>
              <w:spacing w:before="70" w:after="70" w:line="220" w:lineRule="atLeast"/>
              <w:jc w:val="right"/>
              <w:rPr>
                <w:rFonts w:eastAsiaTheme="minorEastAsia" w:cstheme="minorHAnsi"/>
                <w:bCs/>
                <w:color w:val="auto"/>
                <w:sz w:val="17"/>
                <w:szCs w:val="17"/>
              </w:rPr>
            </w:pPr>
            <w:r w:rsidRPr="008A4558">
              <w:rPr>
                <w:rFonts w:eastAsiaTheme="minorEastAsia" w:cstheme="minorHAnsi"/>
                <w:bCs/>
                <w:color w:val="auto"/>
                <w:sz w:val="17"/>
                <w:szCs w:val="17"/>
              </w:rPr>
              <w:t>(</w:t>
            </w:r>
            <w:r w:rsidRPr="00C55487">
              <w:rPr>
                <w:rFonts w:eastAsiaTheme="minorEastAsia" w:cstheme="minorHAnsi"/>
                <w:bCs/>
                <w:color w:val="auto"/>
                <w:sz w:val="17"/>
                <w:szCs w:val="17"/>
              </w:rPr>
              <w:t>28</w:t>
            </w:r>
            <w:r w:rsidR="00F2249D">
              <w:rPr>
                <w:rFonts w:eastAsiaTheme="minorEastAsia" w:cstheme="minorHAnsi"/>
                <w:bCs/>
                <w:color w:val="auto"/>
                <w:sz w:val="17"/>
                <w:szCs w:val="17"/>
              </w:rPr>
              <w:t>.3</w:t>
            </w:r>
            <w:r w:rsidRPr="008A4558">
              <w:rPr>
                <w:rFonts w:eastAsiaTheme="minorEastAsia" w:cstheme="minorHAnsi"/>
                <w:bCs/>
                <w:color w:val="auto"/>
                <w:sz w:val="17"/>
                <w:szCs w:val="17"/>
              </w:rPr>
              <w:t>%)</w:t>
            </w:r>
          </w:p>
        </w:tc>
        <w:tc>
          <w:tcPr>
            <w:tcW w:w="539" w:type="pct"/>
            <w:tcBorders>
              <w:top w:val="single" w:sz="4" w:space="0" w:color="82C341" w:themeColor="background1"/>
              <w:left w:val="single" w:sz="2" w:space="0" w:color="82C341" w:themeColor="background1"/>
              <w:bottom w:val="single" w:sz="4" w:space="0" w:color="82C341" w:themeColor="background1"/>
            </w:tcBorders>
          </w:tcPr>
          <w:p w14:paraId="20E1F86E" w14:textId="1FFCD783" w:rsidR="00C60B6B" w:rsidRPr="008A4558" w:rsidRDefault="00C60B6B" w:rsidP="00582215">
            <w:pPr>
              <w:spacing w:before="70" w:after="70" w:line="220" w:lineRule="atLeast"/>
              <w:jc w:val="right"/>
              <w:rPr>
                <w:rFonts w:eastAsiaTheme="minorEastAsia" w:cstheme="minorHAnsi"/>
                <w:bCs/>
                <w:color w:val="auto"/>
                <w:sz w:val="17"/>
                <w:szCs w:val="17"/>
              </w:rPr>
            </w:pPr>
            <w:r w:rsidRPr="00C55487">
              <w:rPr>
                <w:rFonts w:eastAsiaTheme="minorEastAsia" w:cstheme="minorHAnsi"/>
                <w:bCs/>
                <w:color w:val="auto"/>
                <w:sz w:val="17"/>
                <w:szCs w:val="17"/>
              </w:rPr>
              <w:t>289</w:t>
            </w:r>
            <w:r w:rsidR="00ED418D">
              <w:rPr>
                <w:rFonts w:eastAsiaTheme="minorEastAsia" w:cstheme="minorHAnsi"/>
                <w:bCs/>
                <w:color w:val="auto"/>
                <w:sz w:val="17"/>
                <w:szCs w:val="17"/>
              </w:rPr>
              <w:t>.3</w:t>
            </w:r>
          </w:p>
        </w:tc>
        <w:tc>
          <w:tcPr>
            <w:tcW w:w="539" w:type="pct"/>
            <w:tcBorders>
              <w:top w:val="single" w:sz="4" w:space="0" w:color="82C341" w:themeColor="background1"/>
              <w:bottom w:val="single" w:sz="4" w:space="0" w:color="82C341" w:themeColor="background1"/>
              <w:right w:val="single" w:sz="2" w:space="0" w:color="82C341" w:themeColor="background1"/>
            </w:tcBorders>
          </w:tcPr>
          <w:p w14:paraId="18045527" w14:textId="2FD7074D" w:rsidR="00C60B6B" w:rsidRDefault="00C60B6B" w:rsidP="00582215">
            <w:pPr>
              <w:spacing w:before="70" w:after="70" w:line="220" w:lineRule="atLeast"/>
              <w:jc w:val="right"/>
              <w:rPr>
                <w:rFonts w:eastAsiaTheme="minorEastAsia" w:cstheme="minorHAnsi"/>
                <w:bCs/>
                <w:color w:val="auto"/>
                <w:sz w:val="17"/>
                <w:szCs w:val="17"/>
              </w:rPr>
            </w:pPr>
            <w:r w:rsidRPr="00C55487">
              <w:rPr>
                <w:rFonts w:eastAsiaTheme="minorEastAsia" w:cstheme="minorHAnsi"/>
                <w:bCs/>
                <w:color w:val="auto"/>
                <w:sz w:val="17"/>
                <w:szCs w:val="17"/>
              </w:rPr>
              <w:t>66</w:t>
            </w:r>
            <w:r w:rsidR="00C1113B">
              <w:rPr>
                <w:rFonts w:eastAsiaTheme="minorEastAsia" w:cstheme="minorHAnsi"/>
                <w:bCs/>
                <w:color w:val="auto"/>
                <w:sz w:val="17"/>
                <w:szCs w:val="17"/>
              </w:rPr>
              <w:t>.0</w:t>
            </w:r>
            <w:r w:rsidRPr="008A4558">
              <w:rPr>
                <w:rFonts w:eastAsiaTheme="minorEastAsia" w:cstheme="minorHAnsi"/>
                <w:bCs/>
                <w:color w:val="auto"/>
                <w:sz w:val="17"/>
                <w:szCs w:val="17"/>
              </w:rPr>
              <w:t xml:space="preserve"> </w:t>
            </w:r>
          </w:p>
          <w:p w14:paraId="79436DB1" w14:textId="12BE8E87" w:rsidR="00C60B6B" w:rsidRPr="008A4558" w:rsidRDefault="00C60B6B" w:rsidP="00582215">
            <w:pPr>
              <w:spacing w:before="70" w:after="70" w:line="220" w:lineRule="atLeast"/>
              <w:jc w:val="right"/>
              <w:rPr>
                <w:rFonts w:eastAsiaTheme="minorEastAsia" w:cstheme="minorHAnsi"/>
                <w:bCs/>
                <w:color w:val="auto"/>
                <w:sz w:val="17"/>
                <w:szCs w:val="17"/>
              </w:rPr>
            </w:pPr>
            <w:r w:rsidRPr="008A4558">
              <w:rPr>
                <w:rFonts w:eastAsiaTheme="minorEastAsia" w:cstheme="minorHAnsi"/>
                <w:bCs/>
                <w:color w:val="auto"/>
                <w:sz w:val="17"/>
                <w:szCs w:val="17"/>
              </w:rPr>
              <w:t>(1</w:t>
            </w:r>
            <w:r w:rsidR="00F2249D">
              <w:rPr>
                <w:rFonts w:eastAsiaTheme="minorEastAsia" w:cstheme="minorHAnsi"/>
                <w:bCs/>
                <w:color w:val="auto"/>
                <w:sz w:val="17"/>
                <w:szCs w:val="17"/>
              </w:rPr>
              <w:t>8.6</w:t>
            </w:r>
            <w:r w:rsidRPr="008A4558">
              <w:rPr>
                <w:rFonts w:eastAsiaTheme="minorEastAsia" w:cstheme="minorHAnsi"/>
                <w:bCs/>
                <w:color w:val="auto"/>
                <w:sz w:val="17"/>
                <w:szCs w:val="17"/>
              </w:rPr>
              <w:t>%)</w:t>
            </w:r>
          </w:p>
        </w:tc>
        <w:tc>
          <w:tcPr>
            <w:tcW w:w="524" w:type="pct"/>
            <w:tcBorders>
              <w:top w:val="single" w:sz="4" w:space="0" w:color="82C341" w:themeColor="background1"/>
              <w:left w:val="single" w:sz="2" w:space="0" w:color="82C341" w:themeColor="background1"/>
              <w:bottom w:val="single" w:sz="4" w:space="0" w:color="82C341" w:themeColor="background1"/>
            </w:tcBorders>
          </w:tcPr>
          <w:p w14:paraId="2AD405CE" w14:textId="6CC972AC" w:rsidR="00C60B6B" w:rsidRPr="008A4558" w:rsidRDefault="00C60B6B" w:rsidP="00582215">
            <w:pPr>
              <w:spacing w:before="70" w:after="70" w:line="220" w:lineRule="atLeast"/>
              <w:jc w:val="right"/>
              <w:rPr>
                <w:rFonts w:eastAsiaTheme="minorEastAsia" w:cstheme="minorHAnsi"/>
                <w:bCs/>
                <w:color w:val="auto"/>
                <w:sz w:val="17"/>
                <w:szCs w:val="17"/>
              </w:rPr>
            </w:pPr>
            <w:r w:rsidRPr="00C55487">
              <w:rPr>
                <w:rFonts w:eastAsiaTheme="minorEastAsia" w:cstheme="minorHAnsi"/>
                <w:bCs/>
                <w:color w:val="auto"/>
                <w:sz w:val="17"/>
                <w:szCs w:val="17"/>
              </w:rPr>
              <w:t>1</w:t>
            </w:r>
            <w:r w:rsidR="00ED418D">
              <w:rPr>
                <w:rFonts w:eastAsiaTheme="minorEastAsia" w:cstheme="minorHAnsi"/>
                <w:bCs/>
                <w:color w:val="auto"/>
                <w:sz w:val="17"/>
                <w:szCs w:val="17"/>
              </w:rPr>
              <w:t>8.7</w:t>
            </w:r>
          </w:p>
        </w:tc>
        <w:tc>
          <w:tcPr>
            <w:tcW w:w="550" w:type="pct"/>
            <w:tcBorders>
              <w:top w:val="single" w:sz="4" w:space="0" w:color="82C341" w:themeColor="background1"/>
              <w:bottom w:val="single" w:sz="4" w:space="0" w:color="82C341" w:themeColor="background1"/>
              <w:right w:val="single" w:sz="2" w:space="0" w:color="82C341" w:themeColor="background1"/>
            </w:tcBorders>
          </w:tcPr>
          <w:p w14:paraId="22EF75E5" w14:textId="78005E79" w:rsidR="00C60B6B" w:rsidRDefault="00C60B6B" w:rsidP="00582215">
            <w:pPr>
              <w:spacing w:before="70" w:after="70" w:line="220" w:lineRule="atLeast"/>
              <w:jc w:val="right"/>
              <w:rPr>
                <w:rFonts w:eastAsiaTheme="minorEastAsia" w:cstheme="minorHAnsi"/>
                <w:bCs/>
                <w:color w:val="auto"/>
                <w:sz w:val="17"/>
                <w:szCs w:val="17"/>
              </w:rPr>
            </w:pPr>
            <w:r w:rsidRPr="00C55487">
              <w:rPr>
                <w:rFonts w:eastAsiaTheme="minorEastAsia" w:cstheme="minorHAnsi"/>
                <w:bCs/>
                <w:color w:val="auto"/>
                <w:sz w:val="17"/>
                <w:szCs w:val="17"/>
              </w:rPr>
              <w:t>3</w:t>
            </w:r>
            <w:r w:rsidR="00C1113B">
              <w:rPr>
                <w:rFonts w:eastAsiaTheme="minorEastAsia" w:cstheme="minorHAnsi"/>
                <w:bCs/>
                <w:color w:val="auto"/>
                <w:sz w:val="17"/>
                <w:szCs w:val="17"/>
              </w:rPr>
              <w:t>.2</w:t>
            </w:r>
            <w:r w:rsidRPr="008A4558">
              <w:rPr>
                <w:rFonts w:eastAsiaTheme="minorEastAsia" w:cstheme="minorHAnsi"/>
                <w:bCs/>
                <w:color w:val="auto"/>
                <w:sz w:val="17"/>
                <w:szCs w:val="17"/>
              </w:rPr>
              <w:t xml:space="preserve"> </w:t>
            </w:r>
          </w:p>
          <w:p w14:paraId="578AA5A9" w14:textId="66B2CE88" w:rsidR="00C60B6B" w:rsidRPr="008A4558" w:rsidRDefault="00C60B6B" w:rsidP="00582215">
            <w:pPr>
              <w:spacing w:before="70" w:after="70" w:line="220" w:lineRule="atLeast"/>
              <w:jc w:val="right"/>
              <w:rPr>
                <w:rFonts w:eastAsiaTheme="minorEastAsia" w:cstheme="minorHAnsi"/>
                <w:bCs/>
                <w:color w:val="auto"/>
                <w:sz w:val="17"/>
                <w:szCs w:val="17"/>
              </w:rPr>
            </w:pPr>
            <w:r w:rsidRPr="008A4558">
              <w:rPr>
                <w:rFonts w:eastAsiaTheme="minorEastAsia" w:cstheme="minorHAnsi"/>
                <w:bCs/>
                <w:color w:val="auto"/>
                <w:sz w:val="17"/>
                <w:szCs w:val="17"/>
              </w:rPr>
              <w:t>(1</w:t>
            </w:r>
            <w:r w:rsidR="00F2249D">
              <w:rPr>
                <w:rFonts w:eastAsiaTheme="minorEastAsia" w:cstheme="minorHAnsi"/>
                <w:bCs/>
                <w:color w:val="auto"/>
                <w:sz w:val="17"/>
                <w:szCs w:val="17"/>
              </w:rPr>
              <w:t>4.6</w:t>
            </w:r>
            <w:r w:rsidRPr="008A4558">
              <w:rPr>
                <w:rFonts w:eastAsiaTheme="minorEastAsia" w:cstheme="minorHAnsi"/>
                <w:bCs/>
                <w:color w:val="auto"/>
                <w:sz w:val="17"/>
                <w:szCs w:val="17"/>
              </w:rPr>
              <w:t>%)</w:t>
            </w:r>
          </w:p>
        </w:tc>
        <w:tc>
          <w:tcPr>
            <w:tcW w:w="522" w:type="pct"/>
            <w:tcBorders>
              <w:left w:val="single" w:sz="2" w:space="0" w:color="82C341" w:themeColor="background1"/>
            </w:tcBorders>
          </w:tcPr>
          <w:p w14:paraId="7D022B91" w14:textId="0E279199" w:rsidR="00C60B6B" w:rsidRPr="008A4558" w:rsidRDefault="00C60B6B" w:rsidP="00582215">
            <w:pPr>
              <w:spacing w:before="70" w:after="70" w:line="220" w:lineRule="atLeast"/>
              <w:jc w:val="right"/>
              <w:rPr>
                <w:rFonts w:eastAsiaTheme="minorEastAsia" w:cstheme="minorHAnsi"/>
                <w:bCs/>
                <w:color w:val="auto"/>
                <w:sz w:val="17"/>
                <w:szCs w:val="17"/>
              </w:rPr>
            </w:pPr>
            <w:r w:rsidRPr="008A4558">
              <w:rPr>
                <w:rFonts w:eastAsiaTheme="minorEastAsia" w:cstheme="minorHAnsi"/>
                <w:bCs/>
                <w:color w:val="auto"/>
                <w:sz w:val="17"/>
                <w:szCs w:val="17"/>
              </w:rPr>
              <w:t>4</w:t>
            </w:r>
            <w:r w:rsidRPr="00C55487">
              <w:rPr>
                <w:rFonts w:eastAsiaTheme="minorEastAsia" w:cstheme="minorHAnsi"/>
                <w:bCs/>
                <w:color w:val="auto"/>
                <w:sz w:val="17"/>
                <w:szCs w:val="17"/>
              </w:rPr>
              <w:t>8</w:t>
            </w:r>
            <w:r w:rsidR="00ED418D">
              <w:rPr>
                <w:rFonts w:eastAsiaTheme="minorEastAsia" w:cstheme="minorHAnsi"/>
                <w:bCs/>
                <w:color w:val="auto"/>
                <w:sz w:val="17"/>
                <w:szCs w:val="17"/>
              </w:rPr>
              <w:t>7.5</w:t>
            </w:r>
          </w:p>
        </w:tc>
        <w:tc>
          <w:tcPr>
            <w:tcW w:w="609" w:type="pct"/>
          </w:tcPr>
          <w:p w14:paraId="574E5E73" w14:textId="78E36C7E" w:rsidR="00C60B6B" w:rsidRDefault="00C60B6B" w:rsidP="00582215">
            <w:pPr>
              <w:spacing w:before="70" w:after="70" w:line="220" w:lineRule="atLeast"/>
              <w:jc w:val="right"/>
              <w:rPr>
                <w:rFonts w:eastAsiaTheme="minorEastAsia" w:cstheme="minorHAnsi"/>
                <w:bCs/>
                <w:color w:val="auto"/>
                <w:sz w:val="17"/>
                <w:szCs w:val="17"/>
              </w:rPr>
            </w:pPr>
            <w:r w:rsidRPr="00C55487">
              <w:rPr>
                <w:rFonts w:eastAsiaTheme="minorEastAsia" w:cstheme="minorHAnsi"/>
                <w:bCs/>
                <w:color w:val="auto"/>
                <w:sz w:val="17"/>
                <w:szCs w:val="17"/>
              </w:rPr>
              <w:t>140</w:t>
            </w:r>
            <w:r w:rsidR="00ED418D">
              <w:rPr>
                <w:rFonts w:eastAsiaTheme="minorEastAsia" w:cstheme="minorHAnsi"/>
                <w:bCs/>
                <w:color w:val="auto"/>
                <w:sz w:val="17"/>
                <w:szCs w:val="17"/>
              </w:rPr>
              <w:t>.1</w:t>
            </w:r>
            <w:r w:rsidRPr="008A4558">
              <w:rPr>
                <w:rFonts w:eastAsiaTheme="minorEastAsia" w:cstheme="minorHAnsi"/>
                <w:bCs/>
                <w:color w:val="auto"/>
                <w:sz w:val="17"/>
                <w:szCs w:val="17"/>
              </w:rPr>
              <w:t xml:space="preserve"> </w:t>
            </w:r>
          </w:p>
          <w:p w14:paraId="748A3685" w14:textId="61C52BC1" w:rsidR="00C60B6B" w:rsidRPr="008A4558" w:rsidRDefault="00C60B6B" w:rsidP="00582215">
            <w:pPr>
              <w:spacing w:before="70" w:after="70" w:line="220" w:lineRule="atLeast"/>
              <w:jc w:val="right"/>
              <w:rPr>
                <w:rFonts w:eastAsiaTheme="minorEastAsia" w:cstheme="minorHAnsi"/>
                <w:bCs/>
                <w:color w:val="auto"/>
                <w:sz w:val="17"/>
                <w:szCs w:val="17"/>
              </w:rPr>
            </w:pPr>
            <w:r w:rsidRPr="008A4558">
              <w:rPr>
                <w:rFonts w:eastAsiaTheme="minorEastAsia" w:cstheme="minorHAnsi"/>
                <w:bCs/>
                <w:color w:val="auto"/>
                <w:sz w:val="17"/>
                <w:szCs w:val="17"/>
              </w:rPr>
              <w:t>(2</w:t>
            </w:r>
            <w:r w:rsidRPr="00C55487">
              <w:rPr>
                <w:rFonts w:eastAsiaTheme="minorEastAsia" w:cstheme="minorHAnsi"/>
                <w:bCs/>
                <w:color w:val="auto"/>
                <w:sz w:val="17"/>
                <w:szCs w:val="17"/>
              </w:rPr>
              <w:t>2</w:t>
            </w:r>
            <w:r w:rsidR="00F2249D">
              <w:rPr>
                <w:rFonts w:eastAsiaTheme="minorEastAsia" w:cstheme="minorHAnsi"/>
                <w:bCs/>
                <w:color w:val="auto"/>
                <w:sz w:val="17"/>
                <w:szCs w:val="17"/>
              </w:rPr>
              <w:t>.3</w:t>
            </w:r>
            <w:r w:rsidRPr="008A4558">
              <w:rPr>
                <w:rFonts w:eastAsiaTheme="minorEastAsia" w:cstheme="minorHAnsi"/>
                <w:bCs/>
                <w:color w:val="auto"/>
                <w:sz w:val="17"/>
                <w:szCs w:val="17"/>
              </w:rPr>
              <w:t>%)</w:t>
            </w:r>
          </w:p>
        </w:tc>
      </w:tr>
      <w:tr w:rsidR="00C1113B" w:rsidRPr="008A4558" w14:paraId="2A0A9269" w14:textId="77777777" w:rsidTr="00F2249D">
        <w:tc>
          <w:tcPr>
            <w:tcW w:w="685" w:type="pct"/>
            <w:tcBorders>
              <w:bottom w:val="single" w:sz="4" w:space="0" w:color="82C341" w:themeColor="background1"/>
              <w:right w:val="single" w:sz="2" w:space="0" w:color="82C341" w:themeColor="background1"/>
            </w:tcBorders>
          </w:tcPr>
          <w:p w14:paraId="2A8EE184" w14:textId="77777777" w:rsidR="00C60B6B" w:rsidRPr="008A4558" w:rsidRDefault="00C60B6B" w:rsidP="00582215">
            <w:pPr>
              <w:spacing w:before="70" w:after="70" w:line="220" w:lineRule="atLeast"/>
              <w:rPr>
                <w:rFonts w:eastAsiaTheme="minorEastAsia" w:cstheme="minorHAnsi"/>
                <w:bCs/>
                <w:color w:val="auto"/>
                <w:sz w:val="17"/>
                <w:szCs w:val="17"/>
              </w:rPr>
            </w:pPr>
            <w:r w:rsidRPr="008A4558">
              <w:rPr>
                <w:rFonts w:eastAsiaTheme="minorEastAsia" w:cstheme="minorHAnsi"/>
                <w:bCs/>
                <w:color w:val="auto"/>
                <w:sz w:val="17"/>
                <w:szCs w:val="17"/>
              </w:rPr>
              <w:t>Textiles</w:t>
            </w:r>
          </w:p>
        </w:tc>
        <w:tc>
          <w:tcPr>
            <w:tcW w:w="516" w:type="pct"/>
            <w:tcBorders>
              <w:top w:val="single" w:sz="4" w:space="0" w:color="82C341" w:themeColor="background1"/>
              <w:left w:val="single" w:sz="2" w:space="0" w:color="82C341" w:themeColor="background1"/>
              <w:bottom w:val="single" w:sz="4" w:space="0" w:color="82C341" w:themeColor="background1"/>
            </w:tcBorders>
          </w:tcPr>
          <w:p w14:paraId="466E47B7" w14:textId="362B8FD5" w:rsidR="00C60B6B" w:rsidRPr="008A4558" w:rsidRDefault="00606971" w:rsidP="00582215">
            <w:pPr>
              <w:spacing w:before="70" w:after="70" w:line="220" w:lineRule="atLeast"/>
              <w:jc w:val="right"/>
              <w:rPr>
                <w:rFonts w:eastAsiaTheme="minorEastAsia" w:cstheme="minorHAnsi"/>
                <w:bCs/>
                <w:color w:val="auto"/>
                <w:sz w:val="17"/>
                <w:szCs w:val="17"/>
              </w:rPr>
            </w:pPr>
            <w:r>
              <w:rPr>
                <w:rFonts w:eastAsiaTheme="minorEastAsia" w:cstheme="minorHAnsi"/>
                <w:bCs/>
                <w:color w:val="auto"/>
                <w:sz w:val="17"/>
                <w:szCs w:val="17"/>
              </w:rPr>
              <w:t>58.9</w:t>
            </w:r>
          </w:p>
        </w:tc>
        <w:tc>
          <w:tcPr>
            <w:tcW w:w="516" w:type="pct"/>
            <w:tcBorders>
              <w:top w:val="single" w:sz="4" w:space="0" w:color="82C341" w:themeColor="background1"/>
              <w:bottom w:val="single" w:sz="4" w:space="0" w:color="82C341" w:themeColor="background1"/>
              <w:right w:val="single" w:sz="2" w:space="0" w:color="82C341" w:themeColor="background1"/>
            </w:tcBorders>
          </w:tcPr>
          <w:p w14:paraId="0FC20B41" w14:textId="7F8FF33C" w:rsidR="00C60B6B" w:rsidRDefault="00C60B6B" w:rsidP="00582215">
            <w:pPr>
              <w:spacing w:before="70" w:after="70" w:line="220" w:lineRule="atLeast"/>
              <w:jc w:val="right"/>
              <w:rPr>
                <w:rFonts w:eastAsiaTheme="minorEastAsia" w:cstheme="minorHAnsi"/>
                <w:bCs/>
                <w:color w:val="auto"/>
                <w:sz w:val="17"/>
                <w:szCs w:val="17"/>
              </w:rPr>
            </w:pPr>
            <w:r w:rsidRPr="00C55487">
              <w:rPr>
                <w:rFonts w:eastAsiaTheme="minorEastAsia" w:cstheme="minorHAnsi"/>
                <w:bCs/>
                <w:color w:val="auto"/>
                <w:sz w:val="17"/>
                <w:szCs w:val="17"/>
              </w:rPr>
              <w:t>0</w:t>
            </w:r>
            <w:r w:rsidR="00C1113B">
              <w:rPr>
                <w:rFonts w:eastAsiaTheme="minorEastAsia" w:cstheme="minorHAnsi"/>
                <w:bCs/>
                <w:color w:val="auto"/>
                <w:sz w:val="17"/>
                <w:szCs w:val="17"/>
              </w:rPr>
              <w:t>.0</w:t>
            </w:r>
          </w:p>
          <w:p w14:paraId="223672F0" w14:textId="347A61F6" w:rsidR="00C60B6B" w:rsidRPr="008A4558" w:rsidRDefault="00C60B6B" w:rsidP="00582215">
            <w:pPr>
              <w:spacing w:before="70" w:after="70" w:line="220" w:lineRule="atLeast"/>
              <w:jc w:val="right"/>
              <w:rPr>
                <w:rFonts w:eastAsiaTheme="minorEastAsia" w:cstheme="minorHAnsi"/>
                <w:bCs/>
                <w:color w:val="auto"/>
                <w:sz w:val="17"/>
                <w:szCs w:val="17"/>
              </w:rPr>
            </w:pPr>
            <w:r w:rsidRPr="008A4558">
              <w:rPr>
                <w:rFonts w:eastAsiaTheme="minorEastAsia" w:cstheme="minorHAnsi"/>
                <w:bCs/>
                <w:color w:val="auto"/>
                <w:sz w:val="17"/>
                <w:szCs w:val="17"/>
              </w:rPr>
              <w:t xml:space="preserve"> (</w:t>
            </w:r>
            <w:r>
              <w:rPr>
                <w:rFonts w:eastAsiaTheme="minorEastAsia" w:cstheme="minorHAnsi"/>
                <w:bCs/>
                <w:color w:val="auto"/>
                <w:sz w:val="17"/>
                <w:szCs w:val="17"/>
              </w:rPr>
              <w:t>0</w:t>
            </w:r>
            <w:r w:rsidR="00F2249D">
              <w:rPr>
                <w:rFonts w:eastAsiaTheme="minorEastAsia" w:cstheme="minorHAnsi"/>
                <w:bCs/>
                <w:color w:val="auto"/>
                <w:sz w:val="17"/>
                <w:szCs w:val="17"/>
              </w:rPr>
              <w:t>.0</w:t>
            </w:r>
            <w:r w:rsidRPr="008A4558">
              <w:rPr>
                <w:rFonts w:eastAsiaTheme="minorEastAsia" w:cstheme="minorHAnsi"/>
                <w:bCs/>
                <w:color w:val="auto"/>
                <w:sz w:val="17"/>
                <w:szCs w:val="17"/>
              </w:rPr>
              <w:t>%)</w:t>
            </w:r>
          </w:p>
        </w:tc>
        <w:tc>
          <w:tcPr>
            <w:tcW w:w="539" w:type="pct"/>
            <w:tcBorders>
              <w:top w:val="single" w:sz="4" w:space="0" w:color="82C341" w:themeColor="background1"/>
              <w:left w:val="single" w:sz="2" w:space="0" w:color="82C341" w:themeColor="background1"/>
              <w:bottom w:val="single" w:sz="4" w:space="0" w:color="82C341" w:themeColor="background1"/>
            </w:tcBorders>
          </w:tcPr>
          <w:p w14:paraId="1DE42F1E" w14:textId="58EA1D55" w:rsidR="00C60B6B" w:rsidRPr="008A4558" w:rsidRDefault="00C60B6B" w:rsidP="00582215">
            <w:pPr>
              <w:spacing w:before="70" w:after="70" w:line="220" w:lineRule="atLeast"/>
              <w:jc w:val="right"/>
              <w:rPr>
                <w:rFonts w:eastAsiaTheme="minorEastAsia" w:cstheme="minorHAnsi"/>
                <w:bCs/>
                <w:color w:val="auto"/>
                <w:sz w:val="17"/>
                <w:szCs w:val="17"/>
              </w:rPr>
            </w:pPr>
            <w:r w:rsidRPr="00C55487">
              <w:rPr>
                <w:rFonts w:eastAsiaTheme="minorEastAsia" w:cstheme="minorHAnsi"/>
                <w:bCs/>
                <w:color w:val="auto"/>
                <w:sz w:val="17"/>
                <w:szCs w:val="17"/>
              </w:rPr>
              <w:t>12</w:t>
            </w:r>
            <w:r w:rsidR="00ED418D">
              <w:rPr>
                <w:rFonts w:eastAsiaTheme="minorEastAsia" w:cstheme="minorHAnsi"/>
                <w:bCs/>
                <w:color w:val="auto"/>
                <w:sz w:val="17"/>
                <w:szCs w:val="17"/>
              </w:rPr>
              <w:t>6.8</w:t>
            </w:r>
          </w:p>
        </w:tc>
        <w:tc>
          <w:tcPr>
            <w:tcW w:w="539" w:type="pct"/>
            <w:tcBorders>
              <w:top w:val="single" w:sz="4" w:space="0" w:color="82C341" w:themeColor="background1"/>
              <w:bottom w:val="single" w:sz="4" w:space="0" w:color="82C341" w:themeColor="background1"/>
              <w:right w:val="single" w:sz="2" w:space="0" w:color="82C341" w:themeColor="background1"/>
            </w:tcBorders>
          </w:tcPr>
          <w:p w14:paraId="55F041C7" w14:textId="167DC3FE" w:rsidR="00C60B6B" w:rsidRDefault="00ED418D" w:rsidP="00582215">
            <w:pPr>
              <w:spacing w:before="70" w:after="70" w:line="220" w:lineRule="atLeast"/>
              <w:jc w:val="right"/>
              <w:rPr>
                <w:rFonts w:eastAsiaTheme="minorEastAsia" w:cstheme="minorHAnsi"/>
                <w:bCs/>
                <w:color w:val="auto"/>
                <w:sz w:val="17"/>
                <w:szCs w:val="17"/>
              </w:rPr>
            </w:pPr>
            <w:r>
              <w:rPr>
                <w:rFonts w:eastAsiaTheme="minorEastAsia" w:cstheme="minorHAnsi"/>
                <w:bCs/>
                <w:color w:val="auto"/>
                <w:sz w:val="17"/>
                <w:szCs w:val="17"/>
              </w:rPr>
              <w:t>32</w:t>
            </w:r>
            <w:r w:rsidR="00C1113B">
              <w:rPr>
                <w:rFonts w:eastAsiaTheme="minorEastAsia" w:cstheme="minorHAnsi"/>
                <w:bCs/>
                <w:color w:val="auto"/>
                <w:sz w:val="17"/>
                <w:szCs w:val="17"/>
              </w:rPr>
              <w:t>.0</w:t>
            </w:r>
            <w:r w:rsidR="00C60B6B" w:rsidRPr="00C55487">
              <w:rPr>
                <w:rFonts w:eastAsiaTheme="minorEastAsia" w:cstheme="minorHAnsi"/>
                <w:bCs/>
                <w:color w:val="auto"/>
                <w:sz w:val="17"/>
                <w:szCs w:val="17"/>
              </w:rPr>
              <w:t xml:space="preserve"> </w:t>
            </w:r>
          </w:p>
          <w:p w14:paraId="7D184BC0" w14:textId="03565F83" w:rsidR="00C60B6B" w:rsidRPr="008A4558" w:rsidRDefault="00C60B6B" w:rsidP="00582215">
            <w:pPr>
              <w:spacing w:before="70" w:after="70" w:line="220" w:lineRule="atLeast"/>
              <w:jc w:val="right"/>
              <w:rPr>
                <w:rFonts w:eastAsiaTheme="minorEastAsia" w:cstheme="minorHAnsi"/>
                <w:bCs/>
                <w:color w:val="auto"/>
                <w:sz w:val="17"/>
                <w:szCs w:val="17"/>
              </w:rPr>
            </w:pPr>
            <w:r w:rsidRPr="00C55487">
              <w:rPr>
                <w:rFonts w:eastAsiaTheme="minorEastAsia" w:cstheme="minorHAnsi"/>
                <w:bCs/>
                <w:color w:val="auto"/>
                <w:sz w:val="17"/>
                <w:szCs w:val="17"/>
              </w:rPr>
              <w:t>(20</w:t>
            </w:r>
            <w:r w:rsidR="00F2249D">
              <w:rPr>
                <w:rFonts w:eastAsiaTheme="minorEastAsia" w:cstheme="minorHAnsi"/>
                <w:bCs/>
                <w:color w:val="auto"/>
                <w:sz w:val="17"/>
                <w:szCs w:val="17"/>
              </w:rPr>
              <w:t>.2</w:t>
            </w:r>
            <w:r w:rsidRPr="00C55487">
              <w:rPr>
                <w:rFonts w:eastAsiaTheme="minorEastAsia" w:cstheme="minorHAnsi"/>
                <w:bCs/>
                <w:color w:val="auto"/>
                <w:sz w:val="17"/>
                <w:szCs w:val="17"/>
              </w:rPr>
              <w:t>%)</w:t>
            </w:r>
          </w:p>
        </w:tc>
        <w:tc>
          <w:tcPr>
            <w:tcW w:w="524" w:type="pct"/>
            <w:tcBorders>
              <w:top w:val="single" w:sz="4" w:space="0" w:color="82C341" w:themeColor="background1"/>
              <w:left w:val="single" w:sz="2" w:space="0" w:color="82C341" w:themeColor="background1"/>
              <w:bottom w:val="single" w:sz="4" w:space="0" w:color="82C341" w:themeColor="background1"/>
            </w:tcBorders>
          </w:tcPr>
          <w:p w14:paraId="281F0A80" w14:textId="664137CB" w:rsidR="00C60B6B" w:rsidRPr="008A4558" w:rsidRDefault="00C60B6B" w:rsidP="00582215">
            <w:pPr>
              <w:spacing w:before="70" w:after="70" w:line="220" w:lineRule="atLeast"/>
              <w:jc w:val="right"/>
              <w:rPr>
                <w:rFonts w:eastAsiaTheme="minorEastAsia" w:cstheme="minorHAnsi"/>
                <w:bCs/>
                <w:color w:val="auto"/>
                <w:sz w:val="17"/>
                <w:szCs w:val="17"/>
              </w:rPr>
            </w:pPr>
            <w:r w:rsidRPr="008A4558">
              <w:rPr>
                <w:rFonts w:eastAsiaTheme="minorEastAsia" w:cstheme="minorHAnsi"/>
                <w:bCs/>
                <w:color w:val="auto"/>
                <w:sz w:val="17"/>
                <w:szCs w:val="17"/>
              </w:rPr>
              <w:t>11</w:t>
            </w:r>
            <w:r w:rsidR="00ED418D">
              <w:rPr>
                <w:rFonts w:eastAsiaTheme="minorEastAsia" w:cstheme="minorHAnsi"/>
                <w:bCs/>
                <w:color w:val="auto"/>
                <w:sz w:val="17"/>
                <w:szCs w:val="17"/>
              </w:rPr>
              <w:t>.1</w:t>
            </w:r>
          </w:p>
        </w:tc>
        <w:tc>
          <w:tcPr>
            <w:tcW w:w="550" w:type="pct"/>
            <w:tcBorders>
              <w:top w:val="single" w:sz="4" w:space="0" w:color="82C341" w:themeColor="background1"/>
              <w:bottom w:val="single" w:sz="4" w:space="0" w:color="82C341" w:themeColor="background1"/>
              <w:right w:val="single" w:sz="2" w:space="0" w:color="82C341" w:themeColor="background1"/>
            </w:tcBorders>
          </w:tcPr>
          <w:p w14:paraId="49E28CD1" w14:textId="201335A6" w:rsidR="00C60B6B" w:rsidRPr="00C55487" w:rsidRDefault="00C60B6B" w:rsidP="00582215">
            <w:pPr>
              <w:spacing w:before="70" w:after="70" w:line="220" w:lineRule="atLeast"/>
              <w:jc w:val="right"/>
              <w:rPr>
                <w:rFonts w:eastAsiaTheme="minorEastAsia" w:cstheme="minorHAnsi"/>
                <w:bCs/>
                <w:color w:val="auto"/>
                <w:sz w:val="17"/>
                <w:szCs w:val="17"/>
              </w:rPr>
            </w:pPr>
            <w:r w:rsidRPr="008A4558">
              <w:rPr>
                <w:rFonts w:eastAsiaTheme="minorEastAsia" w:cstheme="minorHAnsi"/>
                <w:bCs/>
                <w:color w:val="auto"/>
                <w:sz w:val="17"/>
                <w:szCs w:val="17"/>
              </w:rPr>
              <w:t>0</w:t>
            </w:r>
            <w:r w:rsidR="00C1113B">
              <w:rPr>
                <w:rFonts w:eastAsiaTheme="minorEastAsia" w:cstheme="minorHAnsi"/>
                <w:bCs/>
                <w:color w:val="auto"/>
                <w:sz w:val="17"/>
                <w:szCs w:val="17"/>
              </w:rPr>
              <w:t>.0</w:t>
            </w:r>
            <w:r w:rsidRPr="00C55487">
              <w:rPr>
                <w:rFonts w:eastAsiaTheme="minorEastAsia" w:cstheme="minorHAnsi"/>
                <w:bCs/>
                <w:color w:val="auto"/>
                <w:sz w:val="17"/>
                <w:szCs w:val="17"/>
              </w:rPr>
              <w:t xml:space="preserve"> </w:t>
            </w:r>
          </w:p>
          <w:p w14:paraId="1341103C" w14:textId="13EAC3D0" w:rsidR="00C60B6B" w:rsidRPr="008A4558" w:rsidRDefault="00C60B6B" w:rsidP="00582215">
            <w:pPr>
              <w:spacing w:before="70" w:after="70" w:line="220" w:lineRule="atLeast"/>
              <w:jc w:val="right"/>
              <w:rPr>
                <w:rFonts w:eastAsiaTheme="minorEastAsia" w:cstheme="minorHAnsi"/>
                <w:bCs/>
                <w:color w:val="auto"/>
                <w:sz w:val="17"/>
                <w:szCs w:val="17"/>
              </w:rPr>
            </w:pPr>
            <w:r w:rsidRPr="00C55487">
              <w:rPr>
                <w:rFonts w:eastAsiaTheme="minorEastAsia" w:cstheme="minorHAnsi"/>
                <w:bCs/>
                <w:color w:val="auto"/>
                <w:sz w:val="17"/>
                <w:szCs w:val="17"/>
              </w:rPr>
              <w:t>(0</w:t>
            </w:r>
            <w:r w:rsidR="00F2249D">
              <w:rPr>
                <w:rFonts w:eastAsiaTheme="minorEastAsia" w:cstheme="minorHAnsi"/>
                <w:bCs/>
                <w:color w:val="auto"/>
                <w:sz w:val="17"/>
                <w:szCs w:val="17"/>
              </w:rPr>
              <w:t>.0</w:t>
            </w:r>
            <w:r w:rsidRPr="00C55487">
              <w:rPr>
                <w:rFonts w:eastAsiaTheme="minorEastAsia" w:cstheme="minorHAnsi"/>
                <w:bCs/>
                <w:color w:val="auto"/>
                <w:sz w:val="17"/>
                <w:szCs w:val="17"/>
              </w:rPr>
              <w:t>%)</w:t>
            </w:r>
          </w:p>
        </w:tc>
        <w:tc>
          <w:tcPr>
            <w:tcW w:w="522" w:type="pct"/>
            <w:tcBorders>
              <w:left w:val="single" w:sz="2" w:space="0" w:color="82C341" w:themeColor="background1"/>
              <w:bottom w:val="single" w:sz="4" w:space="0" w:color="82C341" w:themeColor="background1"/>
            </w:tcBorders>
          </w:tcPr>
          <w:p w14:paraId="42188D43" w14:textId="7AB86201" w:rsidR="00C60B6B" w:rsidRPr="008A4558" w:rsidRDefault="00C60B6B" w:rsidP="00582215">
            <w:pPr>
              <w:spacing w:before="70" w:after="70" w:line="220" w:lineRule="atLeast"/>
              <w:jc w:val="right"/>
              <w:rPr>
                <w:rFonts w:eastAsiaTheme="minorEastAsia" w:cstheme="minorHAnsi"/>
                <w:bCs/>
                <w:color w:val="auto"/>
                <w:sz w:val="17"/>
                <w:szCs w:val="17"/>
              </w:rPr>
            </w:pPr>
            <w:r w:rsidRPr="00C55487">
              <w:rPr>
                <w:rFonts w:eastAsiaTheme="minorEastAsia" w:cstheme="minorHAnsi"/>
                <w:bCs/>
                <w:color w:val="auto"/>
                <w:sz w:val="17"/>
                <w:szCs w:val="17"/>
              </w:rPr>
              <w:t>19</w:t>
            </w:r>
            <w:r w:rsidR="00ED418D">
              <w:rPr>
                <w:rFonts w:eastAsiaTheme="minorEastAsia" w:cstheme="minorHAnsi"/>
                <w:bCs/>
                <w:color w:val="auto"/>
                <w:sz w:val="17"/>
                <w:szCs w:val="17"/>
              </w:rPr>
              <w:t>6.8</w:t>
            </w:r>
          </w:p>
        </w:tc>
        <w:tc>
          <w:tcPr>
            <w:tcW w:w="609" w:type="pct"/>
            <w:tcBorders>
              <w:bottom w:val="single" w:sz="4" w:space="0" w:color="82C341" w:themeColor="background1"/>
            </w:tcBorders>
          </w:tcPr>
          <w:p w14:paraId="42F01769" w14:textId="4F23F536" w:rsidR="00C60B6B" w:rsidRDefault="00C60B6B" w:rsidP="00582215">
            <w:pPr>
              <w:spacing w:before="70" w:after="70" w:line="220" w:lineRule="atLeast"/>
              <w:jc w:val="right"/>
              <w:rPr>
                <w:rFonts w:eastAsiaTheme="minorEastAsia" w:cstheme="minorHAnsi"/>
                <w:bCs/>
                <w:color w:val="auto"/>
                <w:sz w:val="17"/>
                <w:szCs w:val="17"/>
              </w:rPr>
            </w:pPr>
            <w:r w:rsidRPr="00C55487">
              <w:rPr>
                <w:rFonts w:eastAsiaTheme="minorEastAsia" w:cstheme="minorHAnsi"/>
                <w:bCs/>
                <w:color w:val="auto"/>
                <w:sz w:val="17"/>
                <w:szCs w:val="17"/>
              </w:rPr>
              <w:t>32</w:t>
            </w:r>
            <w:r w:rsidR="00F2249D">
              <w:rPr>
                <w:rFonts w:eastAsiaTheme="minorEastAsia" w:cstheme="minorHAnsi"/>
                <w:bCs/>
                <w:color w:val="auto"/>
                <w:sz w:val="17"/>
                <w:szCs w:val="17"/>
              </w:rPr>
              <w:t>.0</w:t>
            </w:r>
            <w:r w:rsidRPr="008A4558">
              <w:rPr>
                <w:rFonts w:eastAsiaTheme="minorEastAsia" w:cstheme="minorHAnsi"/>
                <w:bCs/>
                <w:color w:val="auto"/>
                <w:sz w:val="17"/>
                <w:szCs w:val="17"/>
              </w:rPr>
              <w:t xml:space="preserve"> </w:t>
            </w:r>
          </w:p>
          <w:p w14:paraId="0FBEE958" w14:textId="1AF7FEF7" w:rsidR="00C60B6B" w:rsidRPr="008A4558" w:rsidRDefault="00C60B6B" w:rsidP="00582215">
            <w:pPr>
              <w:spacing w:before="70" w:after="70" w:line="220" w:lineRule="atLeast"/>
              <w:jc w:val="right"/>
              <w:rPr>
                <w:rFonts w:eastAsiaTheme="minorEastAsia" w:cstheme="minorHAnsi"/>
                <w:bCs/>
                <w:color w:val="auto"/>
                <w:sz w:val="17"/>
                <w:szCs w:val="17"/>
              </w:rPr>
            </w:pPr>
            <w:r w:rsidRPr="008A4558">
              <w:rPr>
                <w:rFonts w:eastAsiaTheme="minorEastAsia" w:cstheme="minorHAnsi"/>
                <w:bCs/>
                <w:color w:val="auto"/>
                <w:sz w:val="17"/>
                <w:szCs w:val="17"/>
              </w:rPr>
              <w:t>(</w:t>
            </w:r>
            <w:r w:rsidRPr="00C55487">
              <w:rPr>
                <w:rFonts w:eastAsiaTheme="minorEastAsia" w:cstheme="minorHAnsi"/>
                <w:bCs/>
                <w:color w:val="auto"/>
                <w:sz w:val="17"/>
                <w:szCs w:val="17"/>
              </w:rPr>
              <w:t>14</w:t>
            </w:r>
            <w:r w:rsidR="00F2249D">
              <w:rPr>
                <w:rFonts w:eastAsiaTheme="minorEastAsia" w:cstheme="minorHAnsi"/>
                <w:bCs/>
                <w:color w:val="auto"/>
                <w:sz w:val="17"/>
                <w:szCs w:val="17"/>
              </w:rPr>
              <w:t>.0</w:t>
            </w:r>
            <w:r w:rsidRPr="008A4558">
              <w:rPr>
                <w:rFonts w:eastAsiaTheme="minorEastAsia" w:cstheme="minorHAnsi"/>
                <w:bCs/>
                <w:color w:val="auto"/>
                <w:sz w:val="17"/>
                <w:szCs w:val="17"/>
              </w:rPr>
              <w:t>%)</w:t>
            </w:r>
          </w:p>
        </w:tc>
      </w:tr>
      <w:tr w:rsidR="00C1113B" w:rsidRPr="008A4558" w14:paraId="10305984" w14:textId="77777777" w:rsidTr="00F2249D">
        <w:tc>
          <w:tcPr>
            <w:tcW w:w="685" w:type="pct"/>
            <w:tcBorders>
              <w:bottom w:val="single" w:sz="4" w:space="0" w:color="82C341" w:themeColor="background1"/>
              <w:right w:val="single" w:sz="2" w:space="0" w:color="82C341" w:themeColor="background1"/>
            </w:tcBorders>
          </w:tcPr>
          <w:p w14:paraId="3C8D4340" w14:textId="4B5E9082" w:rsidR="00071CA7" w:rsidRPr="008A4558" w:rsidRDefault="00071CA7" w:rsidP="00071CA7">
            <w:pPr>
              <w:spacing w:before="70" w:after="70" w:line="220" w:lineRule="atLeast"/>
              <w:rPr>
                <w:rFonts w:eastAsiaTheme="minorEastAsia" w:cstheme="minorHAnsi"/>
                <w:bCs/>
                <w:color w:val="auto"/>
                <w:sz w:val="17"/>
                <w:szCs w:val="17"/>
              </w:rPr>
            </w:pPr>
            <w:r>
              <w:rPr>
                <w:rFonts w:eastAsiaTheme="minorEastAsia" w:cstheme="minorHAnsi"/>
                <w:bCs/>
                <w:color w:val="auto"/>
                <w:sz w:val="17"/>
                <w:szCs w:val="17"/>
              </w:rPr>
              <w:t xml:space="preserve">Rubber </w:t>
            </w:r>
          </w:p>
        </w:tc>
        <w:tc>
          <w:tcPr>
            <w:tcW w:w="516" w:type="pct"/>
            <w:tcBorders>
              <w:top w:val="single" w:sz="4" w:space="0" w:color="82C341" w:themeColor="background1"/>
              <w:left w:val="single" w:sz="2" w:space="0" w:color="82C341" w:themeColor="background1"/>
              <w:bottom w:val="single" w:sz="4" w:space="0" w:color="82C341" w:themeColor="background1"/>
            </w:tcBorders>
          </w:tcPr>
          <w:p w14:paraId="1259D56E" w14:textId="19494627" w:rsidR="00071CA7" w:rsidRPr="00C55487" w:rsidRDefault="00071CA7" w:rsidP="00071CA7">
            <w:pPr>
              <w:spacing w:before="70" w:after="70" w:line="220" w:lineRule="atLeast"/>
              <w:jc w:val="right"/>
              <w:rPr>
                <w:rFonts w:eastAsiaTheme="minorEastAsia" w:cstheme="minorHAnsi"/>
                <w:bCs/>
                <w:color w:val="auto"/>
                <w:sz w:val="17"/>
                <w:szCs w:val="17"/>
              </w:rPr>
            </w:pPr>
            <w:r>
              <w:rPr>
                <w:rFonts w:eastAsiaTheme="minorEastAsia" w:cstheme="minorHAnsi"/>
                <w:bCs/>
                <w:color w:val="auto"/>
                <w:sz w:val="17"/>
                <w:szCs w:val="17"/>
              </w:rPr>
              <w:t>2</w:t>
            </w:r>
            <w:r w:rsidR="00606971">
              <w:rPr>
                <w:rFonts w:eastAsiaTheme="minorEastAsia" w:cstheme="minorHAnsi"/>
                <w:bCs/>
                <w:color w:val="auto"/>
                <w:sz w:val="17"/>
                <w:szCs w:val="17"/>
              </w:rPr>
              <w:t>.3</w:t>
            </w:r>
          </w:p>
        </w:tc>
        <w:tc>
          <w:tcPr>
            <w:tcW w:w="516" w:type="pct"/>
            <w:tcBorders>
              <w:top w:val="single" w:sz="4" w:space="0" w:color="82C341" w:themeColor="background1"/>
              <w:bottom w:val="single" w:sz="4" w:space="0" w:color="82C341" w:themeColor="background1"/>
              <w:right w:val="single" w:sz="2" w:space="0" w:color="82C341" w:themeColor="background1"/>
            </w:tcBorders>
          </w:tcPr>
          <w:p w14:paraId="304EAB19" w14:textId="70C0879B" w:rsidR="00071CA7" w:rsidRDefault="00071CA7" w:rsidP="00071CA7">
            <w:pPr>
              <w:spacing w:before="70" w:after="70" w:line="220" w:lineRule="atLeast"/>
              <w:jc w:val="right"/>
              <w:rPr>
                <w:rFonts w:eastAsiaTheme="minorEastAsia" w:cstheme="minorHAnsi"/>
                <w:bCs/>
                <w:color w:val="auto"/>
                <w:sz w:val="17"/>
                <w:szCs w:val="17"/>
              </w:rPr>
            </w:pPr>
            <w:r>
              <w:rPr>
                <w:rFonts w:eastAsiaTheme="minorEastAsia" w:cstheme="minorHAnsi"/>
                <w:bCs/>
                <w:color w:val="auto"/>
                <w:sz w:val="17"/>
                <w:szCs w:val="17"/>
              </w:rPr>
              <w:t>0</w:t>
            </w:r>
            <w:r w:rsidR="00C1113B">
              <w:rPr>
                <w:rFonts w:eastAsiaTheme="minorEastAsia" w:cstheme="minorHAnsi"/>
                <w:bCs/>
                <w:color w:val="auto"/>
                <w:sz w:val="17"/>
                <w:szCs w:val="17"/>
              </w:rPr>
              <w:t>.0</w:t>
            </w:r>
          </w:p>
          <w:p w14:paraId="1B5D9503" w14:textId="73C80292" w:rsidR="00071CA7" w:rsidRPr="00C55487" w:rsidRDefault="00071CA7" w:rsidP="00071CA7">
            <w:pPr>
              <w:spacing w:before="70" w:after="70" w:line="220" w:lineRule="atLeast"/>
              <w:jc w:val="right"/>
              <w:rPr>
                <w:rFonts w:eastAsiaTheme="minorEastAsia" w:cstheme="minorHAnsi"/>
                <w:bCs/>
                <w:color w:val="auto"/>
                <w:sz w:val="17"/>
                <w:szCs w:val="17"/>
              </w:rPr>
            </w:pPr>
            <w:r>
              <w:rPr>
                <w:rFonts w:eastAsiaTheme="minorEastAsia" w:cstheme="minorHAnsi"/>
                <w:bCs/>
                <w:color w:val="auto"/>
                <w:sz w:val="17"/>
                <w:szCs w:val="17"/>
              </w:rPr>
              <w:t>(0</w:t>
            </w:r>
            <w:r w:rsidR="00F2249D">
              <w:rPr>
                <w:rFonts w:eastAsiaTheme="minorEastAsia" w:cstheme="minorHAnsi"/>
                <w:bCs/>
                <w:color w:val="auto"/>
                <w:sz w:val="17"/>
                <w:szCs w:val="17"/>
              </w:rPr>
              <w:t>.0</w:t>
            </w:r>
            <w:r>
              <w:rPr>
                <w:rFonts w:eastAsiaTheme="minorEastAsia" w:cstheme="minorHAnsi"/>
                <w:bCs/>
                <w:color w:val="auto"/>
                <w:sz w:val="17"/>
                <w:szCs w:val="17"/>
              </w:rPr>
              <w:t>%)</w:t>
            </w:r>
          </w:p>
        </w:tc>
        <w:tc>
          <w:tcPr>
            <w:tcW w:w="539" w:type="pct"/>
            <w:tcBorders>
              <w:top w:val="single" w:sz="4" w:space="0" w:color="82C341" w:themeColor="background1"/>
              <w:left w:val="single" w:sz="2" w:space="0" w:color="82C341" w:themeColor="background1"/>
              <w:bottom w:val="single" w:sz="4" w:space="0" w:color="82C341" w:themeColor="background1"/>
            </w:tcBorders>
          </w:tcPr>
          <w:p w14:paraId="702A4278" w14:textId="0880D7D7" w:rsidR="00071CA7" w:rsidRPr="00C55487" w:rsidRDefault="00071CA7" w:rsidP="00071CA7">
            <w:pPr>
              <w:spacing w:before="70" w:after="70" w:line="220" w:lineRule="atLeast"/>
              <w:jc w:val="right"/>
              <w:rPr>
                <w:rFonts w:eastAsiaTheme="minorEastAsia" w:cstheme="minorHAnsi"/>
                <w:bCs/>
                <w:color w:val="auto"/>
                <w:sz w:val="17"/>
                <w:szCs w:val="17"/>
              </w:rPr>
            </w:pPr>
            <w:r>
              <w:rPr>
                <w:rFonts w:eastAsiaTheme="minorEastAsia" w:cstheme="minorHAnsi"/>
                <w:bCs/>
                <w:color w:val="auto"/>
                <w:sz w:val="17"/>
                <w:szCs w:val="17"/>
              </w:rPr>
              <w:t>1</w:t>
            </w:r>
            <w:r w:rsidR="00ED418D">
              <w:rPr>
                <w:rFonts w:eastAsiaTheme="minorEastAsia" w:cstheme="minorHAnsi"/>
                <w:bCs/>
                <w:color w:val="auto"/>
                <w:sz w:val="17"/>
                <w:szCs w:val="17"/>
              </w:rPr>
              <w:t>1.6</w:t>
            </w:r>
          </w:p>
        </w:tc>
        <w:tc>
          <w:tcPr>
            <w:tcW w:w="539" w:type="pct"/>
            <w:tcBorders>
              <w:top w:val="single" w:sz="4" w:space="0" w:color="82C341" w:themeColor="background1"/>
              <w:bottom w:val="single" w:sz="4" w:space="0" w:color="82C341" w:themeColor="background1"/>
              <w:right w:val="single" w:sz="2" w:space="0" w:color="82C341" w:themeColor="background1"/>
            </w:tcBorders>
          </w:tcPr>
          <w:p w14:paraId="63174E47" w14:textId="766F083D" w:rsidR="00071CA7" w:rsidRDefault="00ED418D" w:rsidP="00071CA7">
            <w:pPr>
              <w:spacing w:before="70" w:after="70" w:line="220" w:lineRule="atLeast"/>
              <w:jc w:val="right"/>
              <w:rPr>
                <w:rFonts w:eastAsiaTheme="minorEastAsia" w:cstheme="minorHAnsi"/>
                <w:bCs/>
                <w:color w:val="auto"/>
                <w:sz w:val="17"/>
                <w:szCs w:val="17"/>
              </w:rPr>
            </w:pPr>
            <w:r>
              <w:rPr>
                <w:rFonts w:eastAsiaTheme="minorEastAsia" w:cstheme="minorHAnsi"/>
                <w:bCs/>
                <w:color w:val="auto"/>
                <w:sz w:val="17"/>
                <w:szCs w:val="17"/>
              </w:rPr>
              <w:t>62.6</w:t>
            </w:r>
          </w:p>
          <w:p w14:paraId="2044E025" w14:textId="04E466EC" w:rsidR="00071CA7" w:rsidRPr="00C55487" w:rsidRDefault="00071CA7" w:rsidP="00071CA7">
            <w:pPr>
              <w:spacing w:before="70" w:after="70" w:line="220" w:lineRule="atLeast"/>
              <w:jc w:val="right"/>
              <w:rPr>
                <w:rFonts w:eastAsiaTheme="minorEastAsia" w:cstheme="minorHAnsi"/>
                <w:bCs/>
                <w:color w:val="auto"/>
                <w:sz w:val="17"/>
                <w:szCs w:val="17"/>
              </w:rPr>
            </w:pPr>
            <w:r>
              <w:rPr>
                <w:rFonts w:eastAsiaTheme="minorEastAsia" w:cstheme="minorHAnsi"/>
                <w:bCs/>
                <w:color w:val="auto"/>
                <w:sz w:val="17"/>
                <w:szCs w:val="17"/>
              </w:rPr>
              <w:t>(84</w:t>
            </w:r>
            <w:r w:rsidR="00F2249D">
              <w:rPr>
                <w:rFonts w:eastAsiaTheme="minorEastAsia" w:cstheme="minorHAnsi"/>
                <w:bCs/>
                <w:color w:val="auto"/>
                <w:sz w:val="17"/>
                <w:szCs w:val="17"/>
              </w:rPr>
              <w:t>.4</w:t>
            </w:r>
            <w:r>
              <w:rPr>
                <w:rFonts w:eastAsiaTheme="minorEastAsia" w:cstheme="minorHAnsi"/>
                <w:bCs/>
                <w:color w:val="auto"/>
                <w:sz w:val="17"/>
                <w:szCs w:val="17"/>
              </w:rPr>
              <w:t>%)</w:t>
            </w:r>
          </w:p>
        </w:tc>
        <w:tc>
          <w:tcPr>
            <w:tcW w:w="524" w:type="pct"/>
            <w:tcBorders>
              <w:top w:val="single" w:sz="4" w:space="0" w:color="82C341" w:themeColor="background1"/>
              <w:left w:val="single" w:sz="2" w:space="0" w:color="82C341" w:themeColor="background1"/>
              <w:bottom w:val="single" w:sz="4" w:space="0" w:color="82C341" w:themeColor="background1"/>
            </w:tcBorders>
          </w:tcPr>
          <w:p w14:paraId="0D57AA4F" w14:textId="3CBAA604" w:rsidR="00071CA7" w:rsidRPr="008A4558" w:rsidRDefault="00ED418D" w:rsidP="00071CA7">
            <w:pPr>
              <w:spacing w:before="70" w:after="70" w:line="220" w:lineRule="atLeast"/>
              <w:jc w:val="right"/>
              <w:rPr>
                <w:rFonts w:eastAsiaTheme="minorEastAsia" w:cstheme="minorHAnsi"/>
                <w:bCs/>
                <w:color w:val="auto"/>
                <w:sz w:val="17"/>
                <w:szCs w:val="17"/>
              </w:rPr>
            </w:pPr>
            <w:r>
              <w:rPr>
                <w:rFonts w:eastAsiaTheme="minorEastAsia" w:cstheme="minorHAnsi"/>
                <w:bCs/>
                <w:color w:val="auto"/>
                <w:sz w:val="17"/>
                <w:szCs w:val="17"/>
              </w:rPr>
              <w:t>0.3</w:t>
            </w:r>
          </w:p>
        </w:tc>
        <w:tc>
          <w:tcPr>
            <w:tcW w:w="550" w:type="pct"/>
            <w:tcBorders>
              <w:top w:val="single" w:sz="4" w:space="0" w:color="82C341" w:themeColor="background1"/>
              <w:bottom w:val="single" w:sz="4" w:space="0" w:color="82C341" w:themeColor="background1"/>
              <w:right w:val="single" w:sz="2" w:space="0" w:color="82C341" w:themeColor="background1"/>
            </w:tcBorders>
          </w:tcPr>
          <w:p w14:paraId="10168D93" w14:textId="6AD0FE31" w:rsidR="00071CA7" w:rsidRDefault="00071CA7" w:rsidP="00071CA7">
            <w:pPr>
              <w:spacing w:before="70" w:after="70" w:line="220" w:lineRule="atLeast"/>
              <w:jc w:val="right"/>
              <w:rPr>
                <w:rFonts w:eastAsiaTheme="minorEastAsia" w:cstheme="minorHAnsi"/>
                <w:bCs/>
                <w:color w:val="auto"/>
                <w:sz w:val="17"/>
                <w:szCs w:val="17"/>
              </w:rPr>
            </w:pPr>
            <w:r>
              <w:rPr>
                <w:rFonts w:eastAsiaTheme="minorEastAsia" w:cstheme="minorHAnsi"/>
                <w:bCs/>
                <w:color w:val="auto"/>
                <w:sz w:val="17"/>
                <w:szCs w:val="17"/>
              </w:rPr>
              <w:t>0</w:t>
            </w:r>
            <w:r w:rsidR="00C1113B">
              <w:rPr>
                <w:rFonts w:eastAsiaTheme="minorEastAsia" w:cstheme="minorHAnsi"/>
                <w:bCs/>
                <w:color w:val="auto"/>
                <w:sz w:val="17"/>
                <w:szCs w:val="17"/>
              </w:rPr>
              <w:t>.0</w:t>
            </w:r>
          </w:p>
          <w:p w14:paraId="772D5B62" w14:textId="7A316341" w:rsidR="00071CA7" w:rsidRPr="008A4558" w:rsidRDefault="00071CA7" w:rsidP="00071CA7">
            <w:pPr>
              <w:spacing w:before="70" w:after="70" w:line="220" w:lineRule="atLeast"/>
              <w:jc w:val="right"/>
              <w:rPr>
                <w:rFonts w:eastAsiaTheme="minorEastAsia" w:cstheme="minorHAnsi"/>
                <w:bCs/>
                <w:color w:val="auto"/>
                <w:sz w:val="17"/>
                <w:szCs w:val="17"/>
              </w:rPr>
            </w:pPr>
            <w:r>
              <w:rPr>
                <w:rFonts w:eastAsiaTheme="minorEastAsia" w:cstheme="minorHAnsi"/>
                <w:bCs/>
                <w:color w:val="auto"/>
                <w:sz w:val="17"/>
                <w:szCs w:val="17"/>
              </w:rPr>
              <w:t>(0</w:t>
            </w:r>
            <w:r w:rsidR="00F2249D">
              <w:rPr>
                <w:rFonts w:eastAsiaTheme="minorEastAsia" w:cstheme="minorHAnsi"/>
                <w:bCs/>
                <w:color w:val="auto"/>
                <w:sz w:val="17"/>
                <w:szCs w:val="17"/>
              </w:rPr>
              <w:t>.0</w:t>
            </w:r>
            <w:r>
              <w:rPr>
                <w:rFonts w:eastAsiaTheme="minorEastAsia" w:cstheme="minorHAnsi"/>
                <w:bCs/>
                <w:color w:val="auto"/>
                <w:sz w:val="17"/>
                <w:szCs w:val="17"/>
              </w:rPr>
              <w:t>%)</w:t>
            </w:r>
          </w:p>
        </w:tc>
        <w:tc>
          <w:tcPr>
            <w:tcW w:w="522" w:type="pct"/>
            <w:tcBorders>
              <w:left w:val="single" w:sz="2" w:space="0" w:color="82C341" w:themeColor="background1"/>
              <w:bottom w:val="single" w:sz="4" w:space="0" w:color="82C341" w:themeColor="background1"/>
            </w:tcBorders>
          </w:tcPr>
          <w:p w14:paraId="2217B1C5" w14:textId="51123252" w:rsidR="00071CA7" w:rsidRPr="00C55487" w:rsidRDefault="00071CA7" w:rsidP="00071CA7">
            <w:pPr>
              <w:spacing w:before="70" w:after="70" w:line="220" w:lineRule="atLeast"/>
              <w:jc w:val="right"/>
              <w:rPr>
                <w:rFonts w:eastAsiaTheme="minorEastAsia" w:cstheme="minorHAnsi"/>
                <w:bCs/>
                <w:color w:val="auto"/>
                <w:sz w:val="17"/>
                <w:szCs w:val="17"/>
              </w:rPr>
            </w:pPr>
            <w:r>
              <w:rPr>
                <w:rFonts w:eastAsiaTheme="minorEastAsia" w:cstheme="minorHAnsi"/>
                <w:bCs/>
                <w:color w:val="auto"/>
                <w:sz w:val="17"/>
                <w:szCs w:val="17"/>
              </w:rPr>
              <w:t>14</w:t>
            </w:r>
            <w:r w:rsidR="00ED418D">
              <w:rPr>
                <w:rFonts w:eastAsiaTheme="minorEastAsia" w:cstheme="minorHAnsi"/>
                <w:bCs/>
                <w:color w:val="auto"/>
                <w:sz w:val="17"/>
                <w:szCs w:val="17"/>
              </w:rPr>
              <w:t>.2</w:t>
            </w:r>
          </w:p>
        </w:tc>
        <w:tc>
          <w:tcPr>
            <w:tcW w:w="609" w:type="pct"/>
            <w:tcBorders>
              <w:bottom w:val="single" w:sz="4" w:space="0" w:color="82C341" w:themeColor="background1"/>
            </w:tcBorders>
          </w:tcPr>
          <w:p w14:paraId="67E936FC" w14:textId="4C90C8A1" w:rsidR="00071CA7" w:rsidRDefault="00071CA7" w:rsidP="00071CA7">
            <w:pPr>
              <w:spacing w:before="70" w:after="70" w:line="220" w:lineRule="atLeast"/>
              <w:jc w:val="right"/>
              <w:rPr>
                <w:rFonts w:eastAsiaTheme="minorEastAsia" w:cstheme="minorHAnsi"/>
                <w:bCs/>
                <w:color w:val="auto"/>
                <w:sz w:val="17"/>
                <w:szCs w:val="17"/>
              </w:rPr>
            </w:pPr>
            <w:r w:rsidRPr="00C55487">
              <w:rPr>
                <w:rFonts w:eastAsiaTheme="minorEastAsia" w:cstheme="minorHAnsi"/>
                <w:bCs/>
                <w:color w:val="auto"/>
                <w:sz w:val="17"/>
                <w:szCs w:val="17"/>
              </w:rPr>
              <w:t>6</w:t>
            </w:r>
            <w:r w:rsidR="00ED418D">
              <w:rPr>
                <w:rFonts w:eastAsiaTheme="minorEastAsia" w:cstheme="minorHAnsi"/>
                <w:bCs/>
                <w:color w:val="auto"/>
                <w:sz w:val="17"/>
                <w:szCs w:val="17"/>
              </w:rPr>
              <w:t>2.6</w:t>
            </w:r>
          </w:p>
          <w:p w14:paraId="020B8D17" w14:textId="516876DA" w:rsidR="00071CA7" w:rsidRPr="00C55487" w:rsidRDefault="00071CA7" w:rsidP="00071CA7">
            <w:pPr>
              <w:spacing w:before="70" w:after="70" w:line="220" w:lineRule="atLeast"/>
              <w:jc w:val="right"/>
              <w:rPr>
                <w:rFonts w:eastAsiaTheme="minorEastAsia" w:cstheme="minorHAnsi"/>
                <w:bCs/>
                <w:color w:val="auto"/>
                <w:sz w:val="17"/>
                <w:szCs w:val="17"/>
              </w:rPr>
            </w:pPr>
            <w:r>
              <w:rPr>
                <w:rFonts w:eastAsiaTheme="minorEastAsia" w:cstheme="minorHAnsi"/>
                <w:bCs/>
                <w:color w:val="auto"/>
                <w:sz w:val="17"/>
                <w:szCs w:val="17"/>
              </w:rPr>
              <w:t>(8</w:t>
            </w:r>
            <w:r w:rsidR="00F2249D">
              <w:rPr>
                <w:rFonts w:eastAsiaTheme="minorEastAsia" w:cstheme="minorHAnsi"/>
                <w:bCs/>
                <w:color w:val="auto"/>
                <w:sz w:val="17"/>
                <w:szCs w:val="17"/>
              </w:rPr>
              <w:t>1.5</w:t>
            </w:r>
            <w:r>
              <w:rPr>
                <w:rFonts w:eastAsiaTheme="minorEastAsia" w:cstheme="minorHAnsi"/>
                <w:bCs/>
                <w:color w:val="auto"/>
                <w:sz w:val="17"/>
                <w:szCs w:val="17"/>
              </w:rPr>
              <w:t>%)</w:t>
            </w:r>
          </w:p>
        </w:tc>
      </w:tr>
      <w:tr w:rsidR="00C1113B" w:rsidRPr="008A4558" w14:paraId="129386FC" w14:textId="77777777" w:rsidTr="00F2249D">
        <w:tc>
          <w:tcPr>
            <w:tcW w:w="685" w:type="pct"/>
            <w:tcBorders>
              <w:bottom w:val="single" w:sz="4" w:space="0" w:color="82C341" w:themeColor="background1"/>
              <w:right w:val="single" w:sz="2" w:space="0" w:color="82C341" w:themeColor="background1"/>
            </w:tcBorders>
          </w:tcPr>
          <w:p w14:paraId="566CA1E7" w14:textId="7C39DD60" w:rsidR="00071CA7" w:rsidRPr="008A4558" w:rsidRDefault="00071CA7" w:rsidP="00071CA7">
            <w:pPr>
              <w:spacing w:before="70" w:after="70" w:line="220" w:lineRule="atLeast"/>
              <w:rPr>
                <w:b/>
                <w:color w:val="auto"/>
                <w:sz w:val="17"/>
                <w:szCs w:val="17"/>
              </w:rPr>
            </w:pPr>
            <w:r w:rsidRPr="008A4558">
              <w:rPr>
                <w:rFonts w:eastAsiaTheme="minorEastAsia" w:cstheme="minorHAnsi"/>
                <w:bCs/>
                <w:color w:val="auto"/>
                <w:sz w:val="17"/>
                <w:szCs w:val="17"/>
              </w:rPr>
              <w:t>Other</w:t>
            </w:r>
            <w:r>
              <w:rPr>
                <w:rFonts w:eastAsiaTheme="minorEastAsia" w:cstheme="minorHAnsi"/>
                <w:bCs/>
                <w:color w:val="auto"/>
                <w:sz w:val="17"/>
                <w:szCs w:val="17"/>
              </w:rPr>
              <w:t>ꟸ</w:t>
            </w:r>
          </w:p>
        </w:tc>
        <w:tc>
          <w:tcPr>
            <w:tcW w:w="516" w:type="pct"/>
            <w:tcBorders>
              <w:top w:val="single" w:sz="4" w:space="0" w:color="82C341" w:themeColor="background1"/>
              <w:left w:val="single" w:sz="2" w:space="0" w:color="82C341" w:themeColor="background1"/>
              <w:bottom w:val="single" w:sz="4" w:space="0" w:color="82C341" w:themeColor="background1"/>
            </w:tcBorders>
          </w:tcPr>
          <w:p w14:paraId="208C07DE" w14:textId="1B76F5A0" w:rsidR="00071CA7" w:rsidRPr="008A4558" w:rsidRDefault="00606971" w:rsidP="00071CA7">
            <w:pPr>
              <w:spacing w:before="70" w:after="70" w:line="220" w:lineRule="atLeast"/>
              <w:jc w:val="right"/>
              <w:rPr>
                <w:rFonts w:eastAsiaTheme="minorEastAsia" w:cstheme="minorHAnsi"/>
                <w:bCs/>
                <w:color w:val="auto"/>
                <w:sz w:val="17"/>
                <w:szCs w:val="17"/>
              </w:rPr>
            </w:pPr>
            <w:r>
              <w:rPr>
                <w:rFonts w:eastAsiaTheme="minorEastAsia" w:cstheme="minorHAnsi"/>
                <w:bCs/>
                <w:color w:val="auto"/>
                <w:sz w:val="17"/>
                <w:szCs w:val="17"/>
              </w:rPr>
              <w:t>523.6</w:t>
            </w:r>
          </w:p>
        </w:tc>
        <w:tc>
          <w:tcPr>
            <w:tcW w:w="516" w:type="pct"/>
            <w:tcBorders>
              <w:top w:val="single" w:sz="4" w:space="0" w:color="82C341" w:themeColor="background1"/>
              <w:bottom w:val="single" w:sz="4" w:space="0" w:color="82C341" w:themeColor="background1"/>
              <w:right w:val="single" w:sz="2" w:space="0" w:color="82C341" w:themeColor="background1"/>
            </w:tcBorders>
          </w:tcPr>
          <w:p w14:paraId="3716872C" w14:textId="37DAD108" w:rsidR="00071CA7" w:rsidRPr="00C55487" w:rsidRDefault="00071CA7" w:rsidP="00071CA7">
            <w:pPr>
              <w:spacing w:before="70" w:after="70" w:line="220" w:lineRule="atLeast"/>
              <w:jc w:val="right"/>
              <w:rPr>
                <w:rFonts w:eastAsiaTheme="minorEastAsia" w:cstheme="minorHAnsi"/>
                <w:bCs/>
                <w:color w:val="auto"/>
                <w:sz w:val="17"/>
                <w:szCs w:val="17"/>
              </w:rPr>
            </w:pPr>
            <w:r w:rsidRPr="00C55487">
              <w:rPr>
                <w:rFonts w:eastAsiaTheme="minorEastAsia" w:cstheme="minorHAnsi"/>
                <w:bCs/>
                <w:color w:val="auto"/>
                <w:sz w:val="17"/>
                <w:szCs w:val="17"/>
              </w:rPr>
              <w:t>0</w:t>
            </w:r>
            <w:r w:rsidR="00C1113B">
              <w:rPr>
                <w:rFonts w:eastAsiaTheme="minorEastAsia" w:cstheme="minorHAnsi"/>
                <w:bCs/>
                <w:color w:val="auto"/>
                <w:sz w:val="17"/>
                <w:szCs w:val="17"/>
              </w:rPr>
              <w:t>.0</w:t>
            </w:r>
          </w:p>
          <w:p w14:paraId="764C6D4F" w14:textId="39A487FC" w:rsidR="00071CA7" w:rsidRPr="008A4558" w:rsidRDefault="00071CA7" w:rsidP="00071CA7">
            <w:pPr>
              <w:spacing w:before="70" w:after="70" w:line="220" w:lineRule="atLeast"/>
              <w:jc w:val="right"/>
              <w:rPr>
                <w:rFonts w:eastAsiaTheme="minorEastAsia" w:cstheme="minorHAnsi"/>
                <w:bCs/>
                <w:color w:val="auto"/>
                <w:sz w:val="17"/>
                <w:szCs w:val="17"/>
              </w:rPr>
            </w:pPr>
            <w:r w:rsidRPr="00C55487">
              <w:rPr>
                <w:rFonts w:eastAsiaTheme="minorEastAsia" w:cstheme="minorHAnsi"/>
                <w:bCs/>
                <w:color w:val="auto"/>
                <w:sz w:val="17"/>
                <w:szCs w:val="17"/>
              </w:rPr>
              <w:t>(0</w:t>
            </w:r>
            <w:r w:rsidR="00F2249D">
              <w:rPr>
                <w:rFonts w:eastAsiaTheme="minorEastAsia" w:cstheme="minorHAnsi"/>
                <w:bCs/>
                <w:color w:val="auto"/>
                <w:sz w:val="17"/>
                <w:szCs w:val="17"/>
              </w:rPr>
              <w:t>.0</w:t>
            </w:r>
            <w:r w:rsidRPr="00C55487">
              <w:rPr>
                <w:rFonts w:eastAsiaTheme="minorEastAsia" w:cstheme="minorHAnsi"/>
                <w:bCs/>
                <w:color w:val="auto"/>
                <w:sz w:val="17"/>
                <w:szCs w:val="17"/>
              </w:rPr>
              <w:t>%)</w:t>
            </w:r>
          </w:p>
        </w:tc>
        <w:tc>
          <w:tcPr>
            <w:tcW w:w="539" w:type="pct"/>
            <w:tcBorders>
              <w:top w:val="single" w:sz="4" w:space="0" w:color="82C341" w:themeColor="background1"/>
              <w:left w:val="single" w:sz="2" w:space="0" w:color="82C341" w:themeColor="background1"/>
              <w:bottom w:val="single" w:sz="4" w:space="0" w:color="82C341" w:themeColor="background1"/>
            </w:tcBorders>
          </w:tcPr>
          <w:p w14:paraId="6D0A7718" w14:textId="58A7E5E8" w:rsidR="00071CA7" w:rsidRPr="008A4558" w:rsidRDefault="00071CA7" w:rsidP="00071CA7">
            <w:pPr>
              <w:spacing w:before="70" w:after="70" w:line="220" w:lineRule="atLeast"/>
              <w:jc w:val="right"/>
              <w:rPr>
                <w:rFonts w:eastAsiaTheme="minorEastAsia" w:cstheme="minorHAnsi"/>
                <w:bCs/>
                <w:color w:val="auto"/>
                <w:sz w:val="17"/>
                <w:szCs w:val="17"/>
              </w:rPr>
            </w:pPr>
            <w:r>
              <w:rPr>
                <w:rFonts w:eastAsiaTheme="minorEastAsia" w:cstheme="minorHAnsi"/>
                <w:bCs/>
                <w:color w:val="auto"/>
                <w:sz w:val="17"/>
                <w:szCs w:val="17"/>
              </w:rPr>
              <w:t>102</w:t>
            </w:r>
            <w:r w:rsidR="00ED418D">
              <w:rPr>
                <w:rFonts w:eastAsiaTheme="minorEastAsia" w:cstheme="minorHAnsi"/>
                <w:bCs/>
                <w:color w:val="auto"/>
                <w:sz w:val="17"/>
                <w:szCs w:val="17"/>
              </w:rPr>
              <w:t>.5</w:t>
            </w:r>
          </w:p>
        </w:tc>
        <w:tc>
          <w:tcPr>
            <w:tcW w:w="539" w:type="pct"/>
            <w:tcBorders>
              <w:top w:val="single" w:sz="4" w:space="0" w:color="82C341" w:themeColor="background1"/>
              <w:bottom w:val="single" w:sz="4" w:space="0" w:color="82C341" w:themeColor="background1"/>
              <w:right w:val="single" w:sz="2" w:space="0" w:color="82C341" w:themeColor="background1"/>
            </w:tcBorders>
          </w:tcPr>
          <w:p w14:paraId="4587B640" w14:textId="070D4939" w:rsidR="00071CA7" w:rsidRDefault="00ED418D" w:rsidP="00071CA7">
            <w:pPr>
              <w:spacing w:before="70" w:after="70" w:line="220" w:lineRule="atLeast"/>
              <w:jc w:val="right"/>
              <w:rPr>
                <w:rFonts w:eastAsiaTheme="minorEastAsia" w:cstheme="minorHAnsi"/>
                <w:bCs/>
                <w:color w:val="auto"/>
                <w:sz w:val="17"/>
                <w:szCs w:val="17"/>
              </w:rPr>
            </w:pPr>
            <w:r>
              <w:rPr>
                <w:rFonts w:eastAsiaTheme="minorEastAsia" w:cstheme="minorHAnsi"/>
                <w:bCs/>
                <w:color w:val="auto"/>
                <w:sz w:val="17"/>
                <w:szCs w:val="17"/>
              </w:rPr>
              <w:t>0</w:t>
            </w:r>
            <w:r w:rsidR="00C1113B">
              <w:rPr>
                <w:rFonts w:eastAsiaTheme="minorEastAsia" w:cstheme="minorHAnsi"/>
                <w:bCs/>
                <w:color w:val="auto"/>
                <w:sz w:val="17"/>
                <w:szCs w:val="17"/>
              </w:rPr>
              <w:t>.0</w:t>
            </w:r>
            <w:r w:rsidR="00071CA7" w:rsidRPr="008A4558">
              <w:rPr>
                <w:rFonts w:eastAsiaTheme="minorEastAsia" w:cstheme="minorHAnsi"/>
                <w:bCs/>
                <w:color w:val="auto"/>
                <w:sz w:val="17"/>
                <w:szCs w:val="17"/>
              </w:rPr>
              <w:t xml:space="preserve"> </w:t>
            </w:r>
          </w:p>
          <w:p w14:paraId="026789B3" w14:textId="6E070589" w:rsidR="00071CA7" w:rsidRPr="008A4558" w:rsidRDefault="00071CA7" w:rsidP="00071CA7">
            <w:pPr>
              <w:spacing w:before="70" w:after="70" w:line="220" w:lineRule="atLeast"/>
              <w:jc w:val="right"/>
              <w:rPr>
                <w:rFonts w:eastAsiaTheme="minorEastAsia" w:cstheme="minorHAnsi"/>
                <w:bCs/>
                <w:color w:val="auto"/>
                <w:sz w:val="17"/>
                <w:szCs w:val="17"/>
              </w:rPr>
            </w:pPr>
            <w:r w:rsidRPr="008A4558">
              <w:rPr>
                <w:rFonts w:eastAsiaTheme="minorEastAsia" w:cstheme="minorHAnsi"/>
                <w:bCs/>
                <w:color w:val="auto"/>
                <w:sz w:val="17"/>
                <w:szCs w:val="17"/>
              </w:rPr>
              <w:t>(</w:t>
            </w:r>
            <w:r>
              <w:rPr>
                <w:rFonts w:eastAsiaTheme="minorEastAsia" w:cstheme="minorHAnsi"/>
                <w:bCs/>
                <w:color w:val="auto"/>
                <w:sz w:val="17"/>
                <w:szCs w:val="17"/>
              </w:rPr>
              <w:t>0</w:t>
            </w:r>
            <w:r w:rsidR="00F2249D">
              <w:rPr>
                <w:rFonts w:eastAsiaTheme="minorEastAsia" w:cstheme="minorHAnsi"/>
                <w:bCs/>
                <w:color w:val="auto"/>
                <w:sz w:val="17"/>
                <w:szCs w:val="17"/>
              </w:rPr>
              <w:t>.0</w:t>
            </w:r>
            <w:r w:rsidRPr="008A4558">
              <w:rPr>
                <w:rFonts w:eastAsiaTheme="minorEastAsia" w:cstheme="minorHAnsi"/>
                <w:bCs/>
                <w:color w:val="auto"/>
                <w:sz w:val="17"/>
                <w:szCs w:val="17"/>
              </w:rPr>
              <w:t>%)</w:t>
            </w:r>
          </w:p>
        </w:tc>
        <w:tc>
          <w:tcPr>
            <w:tcW w:w="524" w:type="pct"/>
            <w:tcBorders>
              <w:top w:val="single" w:sz="4" w:space="0" w:color="82C341" w:themeColor="background1"/>
              <w:left w:val="single" w:sz="2" w:space="0" w:color="82C341" w:themeColor="background1"/>
              <w:bottom w:val="single" w:sz="4" w:space="0" w:color="82C341" w:themeColor="background1"/>
            </w:tcBorders>
          </w:tcPr>
          <w:p w14:paraId="591A4056" w14:textId="77777777" w:rsidR="00071CA7" w:rsidRPr="008A4558" w:rsidRDefault="00071CA7" w:rsidP="00071CA7">
            <w:pPr>
              <w:spacing w:before="70" w:after="70" w:line="220" w:lineRule="atLeast"/>
              <w:jc w:val="right"/>
              <w:rPr>
                <w:rFonts w:eastAsiaTheme="minorEastAsia" w:cstheme="minorHAnsi"/>
                <w:bCs/>
                <w:color w:val="auto"/>
                <w:sz w:val="17"/>
                <w:szCs w:val="17"/>
              </w:rPr>
            </w:pPr>
            <w:r w:rsidRPr="00C55487">
              <w:rPr>
                <w:rFonts w:eastAsiaTheme="minorEastAsia" w:cstheme="minorHAnsi"/>
                <w:bCs/>
                <w:color w:val="auto"/>
                <w:sz w:val="17"/>
                <w:szCs w:val="17"/>
              </w:rPr>
              <w:t>22</w:t>
            </w:r>
          </w:p>
        </w:tc>
        <w:tc>
          <w:tcPr>
            <w:tcW w:w="550" w:type="pct"/>
            <w:tcBorders>
              <w:top w:val="single" w:sz="4" w:space="0" w:color="82C341" w:themeColor="background1"/>
              <w:bottom w:val="single" w:sz="4" w:space="0" w:color="82C341" w:themeColor="background1"/>
              <w:right w:val="single" w:sz="2" w:space="0" w:color="82C341" w:themeColor="background1"/>
            </w:tcBorders>
          </w:tcPr>
          <w:p w14:paraId="5F2318CE" w14:textId="3939AED3" w:rsidR="00071CA7" w:rsidRPr="00C55487" w:rsidRDefault="00071CA7" w:rsidP="00071CA7">
            <w:pPr>
              <w:spacing w:before="70" w:after="70" w:line="220" w:lineRule="atLeast"/>
              <w:jc w:val="right"/>
              <w:rPr>
                <w:rFonts w:eastAsiaTheme="minorEastAsia" w:cstheme="minorHAnsi"/>
                <w:bCs/>
                <w:color w:val="auto"/>
                <w:sz w:val="17"/>
                <w:szCs w:val="17"/>
              </w:rPr>
            </w:pPr>
            <w:r w:rsidRPr="008A4558">
              <w:rPr>
                <w:rFonts w:eastAsiaTheme="minorEastAsia" w:cstheme="minorHAnsi"/>
                <w:bCs/>
                <w:color w:val="auto"/>
                <w:sz w:val="17"/>
                <w:szCs w:val="17"/>
              </w:rPr>
              <w:t>0</w:t>
            </w:r>
            <w:r w:rsidR="00C1113B">
              <w:rPr>
                <w:rFonts w:eastAsiaTheme="minorEastAsia" w:cstheme="minorHAnsi"/>
                <w:bCs/>
                <w:color w:val="auto"/>
                <w:sz w:val="17"/>
                <w:szCs w:val="17"/>
              </w:rPr>
              <w:t>.0</w:t>
            </w:r>
          </w:p>
          <w:p w14:paraId="607B8774" w14:textId="515B69AF" w:rsidR="00071CA7" w:rsidRPr="008A4558" w:rsidRDefault="00071CA7" w:rsidP="00071CA7">
            <w:pPr>
              <w:spacing w:before="70" w:after="70" w:line="220" w:lineRule="atLeast"/>
              <w:jc w:val="right"/>
              <w:rPr>
                <w:rFonts w:eastAsiaTheme="minorEastAsia" w:cstheme="minorHAnsi"/>
                <w:bCs/>
                <w:color w:val="auto"/>
                <w:sz w:val="17"/>
                <w:szCs w:val="17"/>
              </w:rPr>
            </w:pPr>
            <w:r w:rsidRPr="00C55487">
              <w:rPr>
                <w:rFonts w:eastAsiaTheme="minorEastAsia" w:cstheme="minorHAnsi"/>
                <w:bCs/>
                <w:color w:val="auto"/>
                <w:sz w:val="17"/>
                <w:szCs w:val="17"/>
              </w:rPr>
              <w:t>(0</w:t>
            </w:r>
            <w:r w:rsidR="00F2249D">
              <w:rPr>
                <w:rFonts w:eastAsiaTheme="minorEastAsia" w:cstheme="minorHAnsi"/>
                <w:bCs/>
                <w:color w:val="auto"/>
                <w:sz w:val="17"/>
                <w:szCs w:val="17"/>
              </w:rPr>
              <w:t>.0</w:t>
            </w:r>
            <w:r w:rsidRPr="00C55487">
              <w:rPr>
                <w:rFonts w:eastAsiaTheme="minorEastAsia" w:cstheme="minorHAnsi"/>
                <w:bCs/>
                <w:color w:val="auto"/>
                <w:sz w:val="17"/>
                <w:szCs w:val="17"/>
              </w:rPr>
              <w:t>%)</w:t>
            </w:r>
          </w:p>
        </w:tc>
        <w:tc>
          <w:tcPr>
            <w:tcW w:w="522" w:type="pct"/>
            <w:tcBorders>
              <w:left w:val="single" w:sz="2" w:space="0" w:color="82C341" w:themeColor="background1"/>
              <w:bottom w:val="single" w:sz="4" w:space="0" w:color="82C341" w:themeColor="background1"/>
            </w:tcBorders>
          </w:tcPr>
          <w:p w14:paraId="7E084733" w14:textId="40F3C544" w:rsidR="00071CA7" w:rsidRPr="008A4558" w:rsidRDefault="00071CA7" w:rsidP="00071CA7">
            <w:pPr>
              <w:spacing w:before="70" w:after="70" w:line="220" w:lineRule="atLeast"/>
              <w:jc w:val="right"/>
              <w:rPr>
                <w:rFonts w:eastAsiaTheme="minorEastAsia" w:cstheme="minorHAnsi"/>
                <w:bCs/>
                <w:color w:val="auto"/>
                <w:sz w:val="17"/>
                <w:szCs w:val="17"/>
              </w:rPr>
            </w:pPr>
            <w:r>
              <w:rPr>
                <w:rFonts w:eastAsiaTheme="minorEastAsia" w:cstheme="minorHAnsi"/>
                <w:bCs/>
                <w:color w:val="auto"/>
                <w:sz w:val="17"/>
                <w:szCs w:val="17"/>
              </w:rPr>
              <w:t>648</w:t>
            </w:r>
            <w:r w:rsidR="00ED418D">
              <w:rPr>
                <w:rFonts w:eastAsiaTheme="minorEastAsia" w:cstheme="minorHAnsi"/>
                <w:bCs/>
                <w:color w:val="auto"/>
                <w:sz w:val="17"/>
                <w:szCs w:val="17"/>
              </w:rPr>
              <w:t>.2</w:t>
            </w:r>
          </w:p>
        </w:tc>
        <w:tc>
          <w:tcPr>
            <w:tcW w:w="609" w:type="pct"/>
            <w:tcBorders>
              <w:bottom w:val="single" w:sz="4" w:space="0" w:color="82C341" w:themeColor="background1"/>
            </w:tcBorders>
          </w:tcPr>
          <w:p w14:paraId="1EA07C78" w14:textId="61564448" w:rsidR="00071CA7" w:rsidRPr="00C55487" w:rsidRDefault="00071CA7" w:rsidP="00071CA7">
            <w:pPr>
              <w:spacing w:before="70" w:after="70" w:line="220" w:lineRule="atLeast"/>
              <w:jc w:val="right"/>
              <w:rPr>
                <w:rFonts w:eastAsiaTheme="minorEastAsia" w:cstheme="minorHAnsi"/>
                <w:bCs/>
                <w:color w:val="auto"/>
                <w:sz w:val="17"/>
                <w:szCs w:val="17"/>
              </w:rPr>
            </w:pPr>
            <w:r>
              <w:rPr>
                <w:rFonts w:eastAsiaTheme="minorEastAsia" w:cstheme="minorHAnsi"/>
                <w:bCs/>
                <w:color w:val="auto"/>
                <w:sz w:val="17"/>
                <w:szCs w:val="17"/>
              </w:rPr>
              <w:t>0</w:t>
            </w:r>
            <w:r w:rsidR="00F2249D">
              <w:rPr>
                <w:rFonts w:eastAsiaTheme="minorEastAsia" w:cstheme="minorHAnsi"/>
                <w:bCs/>
                <w:color w:val="auto"/>
                <w:sz w:val="17"/>
                <w:szCs w:val="17"/>
              </w:rPr>
              <w:t>.0</w:t>
            </w:r>
          </w:p>
          <w:p w14:paraId="0DD3D4B3" w14:textId="50F0DC82" w:rsidR="00071CA7" w:rsidRPr="008A4558" w:rsidRDefault="00071CA7" w:rsidP="00071CA7">
            <w:pPr>
              <w:spacing w:before="70" w:after="70" w:line="220" w:lineRule="atLeast"/>
              <w:jc w:val="right"/>
              <w:rPr>
                <w:rFonts w:eastAsiaTheme="minorEastAsia" w:cstheme="minorHAnsi"/>
                <w:bCs/>
                <w:color w:val="auto"/>
                <w:sz w:val="17"/>
                <w:szCs w:val="17"/>
              </w:rPr>
            </w:pPr>
            <w:r w:rsidRPr="008A4558">
              <w:rPr>
                <w:rFonts w:eastAsiaTheme="minorEastAsia" w:cstheme="minorHAnsi"/>
                <w:bCs/>
                <w:color w:val="auto"/>
                <w:sz w:val="17"/>
                <w:szCs w:val="17"/>
              </w:rPr>
              <w:t>(</w:t>
            </w:r>
            <w:r>
              <w:rPr>
                <w:rFonts w:eastAsiaTheme="minorEastAsia" w:cstheme="minorHAnsi"/>
                <w:bCs/>
                <w:color w:val="auto"/>
                <w:sz w:val="17"/>
                <w:szCs w:val="17"/>
              </w:rPr>
              <w:t>0</w:t>
            </w:r>
            <w:r w:rsidR="00F2249D">
              <w:rPr>
                <w:rFonts w:eastAsiaTheme="minorEastAsia" w:cstheme="minorHAnsi"/>
                <w:bCs/>
                <w:color w:val="auto"/>
                <w:sz w:val="17"/>
                <w:szCs w:val="17"/>
              </w:rPr>
              <w:t>.0</w:t>
            </w:r>
            <w:r w:rsidRPr="008A4558">
              <w:rPr>
                <w:rFonts w:eastAsiaTheme="minorEastAsia" w:cstheme="minorHAnsi"/>
                <w:bCs/>
                <w:color w:val="auto"/>
                <w:sz w:val="17"/>
                <w:szCs w:val="17"/>
              </w:rPr>
              <w:t>%)</w:t>
            </w:r>
          </w:p>
        </w:tc>
      </w:tr>
      <w:tr w:rsidR="00C1113B" w:rsidRPr="008A4558" w14:paraId="61CB51EC" w14:textId="77777777" w:rsidTr="00F2249D">
        <w:trPr>
          <w:cnfStyle w:val="010000000000" w:firstRow="0" w:lastRow="1" w:firstColumn="0" w:lastColumn="0" w:oddVBand="0" w:evenVBand="0" w:oddHBand="0" w:evenHBand="0" w:firstRowFirstColumn="0" w:firstRowLastColumn="0" w:lastRowFirstColumn="0" w:lastRowLastColumn="0"/>
        </w:trPr>
        <w:tc>
          <w:tcPr>
            <w:tcW w:w="685" w:type="pct"/>
            <w:tcBorders>
              <w:top w:val="single" w:sz="4" w:space="0" w:color="82C341" w:themeColor="background1"/>
              <w:bottom w:val="single" w:sz="4" w:space="0" w:color="82C341" w:themeColor="background1"/>
              <w:right w:val="single" w:sz="2" w:space="0" w:color="82C341" w:themeColor="background1"/>
            </w:tcBorders>
          </w:tcPr>
          <w:p w14:paraId="3462B4FB" w14:textId="77777777" w:rsidR="00071CA7" w:rsidRPr="008A4558" w:rsidRDefault="00071CA7" w:rsidP="00071CA7">
            <w:pPr>
              <w:spacing w:before="70" w:after="70" w:line="220" w:lineRule="atLeast"/>
              <w:rPr>
                <w:bCs/>
                <w:color w:val="auto"/>
                <w:sz w:val="17"/>
                <w:szCs w:val="17"/>
              </w:rPr>
            </w:pPr>
            <w:r w:rsidRPr="008A4558">
              <w:rPr>
                <w:rFonts w:eastAsiaTheme="minorEastAsia" w:cstheme="minorHAnsi"/>
                <w:bCs/>
                <w:color w:val="auto"/>
                <w:sz w:val="17"/>
                <w:szCs w:val="17"/>
              </w:rPr>
              <w:t>Total</w:t>
            </w:r>
          </w:p>
        </w:tc>
        <w:tc>
          <w:tcPr>
            <w:tcW w:w="516" w:type="pct"/>
            <w:tcBorders>
              <w:top w:val="single" w:sz="4" w:space="0" w:color="82C341" w:themeColor="background1"/>
              <w:left w:val="single" w:sz="2" w:space="0" w:color="82C341" w:themeColor="background1"/>
              <w:bottom w:val="single" w:sz="4" w:space="0" w:color="82C341" w:themeColor="background1"/>
            </w:tcBorders>
          </w:tcPr>
          <w:p w14:paraId="49C5D8A0" w14:textId="28D237FD" w:rsidR="00071CA7" w:rsidRPr="008A4558" w:rsidRDefault="00071CA7" w:rsidP="00071CA7">
            <w:pPr>
              <w:spacing w:before="70" w:after="70" w:line="220" w:lineRule="atLeast"/>
              <w:jc w:val="right"/>
              <w:rPr>
                <w:rFonts w:eastAsiaTheme="minorEastAsia" w:cstheme="minorHAnsi"/>
                <w:bCs/>
                <w:color w:val="auto"/>
                <w:sz w:val="17"/>
                <w:szCs w:val="17"/>
              </w:rPr>
            </w:pPr>
            <w:r w:rsidRPr="00596C47">
              <w:rPr>
                <w:rFonts w:eastAsiaTheme="minorEastAsia" w:cstheme="minorHAnsi"/>
                <w:color w:val="auto"/>
                <w:sz w:val="17"/>
                <w:szCs w:val="17"/>
              </w:rPr>
              <w:t>1,78</w:t>
            </w:r>
            <w:r w:rsidR="00C1113B">
              <w:rPr>
                <w:rFonts w:eastAsiaTheme="minorEastAsia" w:cstheme="minorHAnsi"/>
                <w:bCs/>
                <w:color w:val="auto"/>
                <w:sz w:val="17"/>
                <w:szCs w:val="17"/>
              </w:rPr>
              <w:t>7.6</w:t>
            </w:r>
          </w:p>
        </w:tc>
        <w:tc>
          <w:tcPr>
            <w:tcW w:w="516" w:type="pct"/>
            <w:tcBorders>
              <w:top w:val="single" w:sz="4" w:space="0" w:color="82C341" w:themeColor="background1"/>
              <w:bottom w:val="single" w:sz="4" w:space="0" w:color="82C341" w:themeColor="background1"/>
              <w:right w:val="single" w:sz="2" w:space="0" w:color="82C341" w:themeColor="background1"/>
            </w:tcBorders>
          </w:tcPr>
          <w:p w14:paraId="46144AFD" w14:textId="691D19F9" w:rsidR="00071CA7" w:rsidRDefault="00071CA7" w:rsidP="00071CA7">
            <w:pPr>
              <w:spacing w:before="70" w:after="70" w:line="220" w:lineRule="atLeast"/>
              <w:jc w:val="right"/>
              <w:rPr>
                <w:rFonts w:eastAsiaTheme="minorEastAsia" w:cstheme="minorHAnsi"/>
                <w:b w:val="0"/>
                <w:bCs/>
                <w:color w:val="auto"/>
                <w:sz w:val="17"/>
                <w:szCs w:val="17"/>
              </w:rPr>
            </w:pPr>
            <w:r w:rsidRPr="008A4558">
              <w:rPr>
                <w:rFonts w:eastAsiaTheme="minorEastAsia" w:cstheme="minorHAnsi"/>
                <w:bCs/>
                <w:color w:val="auto"/>
                <w:sz w:val="17"/>
                <w:szCs w:val="17"/>
              </w:rPr>
              <w:t>1,</w:t>
            </w:r>
            <w:r>
              <w:rPr>
                <w:rFonts w:eastAsiaTheme="minorEastAsia" w:cstheme="minorHAnsi"/>
                <w:bCs/>
                <w:color w:val="auto"/>
                <w:sz w:val="17"/>
                <w:szCs w:val="17"/>
              </w:rPr>
              <w:t>650</w:t>
            </w:r>
            <w:r w:rsidR="004C4933">
              <w:rPr>
                <w:rFonts w:eastAsiaTheme="minorEastAsia" w:cstheme="minorHAnsi"/>
                <w:bCs/>
                <w:color w:val="auto"/>
                <w:sz w:val="17"/>
                <w:szCs w:val="17"/>
              </w:rPr>
              <w:t>.3</w:t>
            </w:r>
            <w:r w:rsidRPr="008A4558">
              <w:rPr>
                <w:rFonts w:eastAsiaTheme="minorEastAsia" w:cstheme="minorHAnsi"/>
                <w:bCs/>
                <w:color w:val="auto"/>
                <w:sz w:val="17"/>
                <w:szCs w:val="17"/>
              </w:rPr>
              <w:t xml:space="preserve"> </w:t>
            </w:r>
          </w:p>
          <w:p w14:paraId="138DB616" w14:textId="10986C2F" w:rsidR="00071CA7" w:rsidRPr="008A4558" w:rsidRDefault="00071CA7" w:rsidP="00071CA7">
            <w:pPr>
              <w:spacing w:before="70" w:after="70" w:line="220" w:lineRule="atLeast"/>
              <w:jc w:val="right"/>
              <w:rPr>
                <w:rFonts w:eastAsiaTheme="minorEastAsia" w:cstheme="minorHAnsi"/>
                <w:bCs/>
                <w:color w:val="auto"/>
                <w:sz w:val="17"/>
                <w:szCs w:val="17"/>
              </w:rPr>
            </w:pPr>
            <w:r w:rsidRPr="008A4558">
              <w:rPr>
                <w:rFonts w:eastAsiaTheme="minorEastAsia" w:cstheme="minorHAnsi"/>
                <w:bCs/>
                <w:color w:val="auto"/>
                <w:sz w:val="17"/>
                <w:szCs w:val="17"/>
              </w:rPr>
              <w:t>(4</w:t>
            </w:r>
            <w:r>
              <w:rPr>
                <w:rFonts w:eastAsiaTheme="minorEastAsia" w:cstheme="minorHAnsi"/>
                <w:bCs/>
                <w:color w:val="auto"/>
                <w:sz w:val="17"/>
                <w:szCs w:val="17"/>
              </w:rPr>
              <w:t>8</w:t>
            </w:r>
            <w:r w:rsidR="005C5DAD">
              <w:rPr>
                <w:rFonts w:eastAsiaTheme="minorEastAsia" w:cstheme="minorHAnsi"/>
                <w:bCs/>
                <w:color w:val="auto"/>
                <w:sz w:val="17"/>
                <w:szCs w:val="17"/>
              </w:rPr>
              <w:t>.0</w:t>
            </w:r>
            <w:r w:rsidRPr="008A4558">
              <w:rPr>
                <w:rFonts w:eastAsiaTheme="minorEastAsia" w:cstheme="minorHAnsi"/>
                <w:bCs/>
                <w:color w:val="auto"/>
                <w:sz w:val="17"/>
                <w:szCs w:val="17"/>
              </w:rPr>
              <w:t>%)</w:t>
            </w:r>
          </w:p>
        </w:tc>
        <w:tc>
          <w:tcPr>
            <w:tcW w:w="539" w:type="pct"/>
            <w:tcBorders>
              <w:top w:val="single" w:sz="4" w:space="0" w:color="82C341" w:themeColor="background1"/>
              <w:left w:val="single" w:sz="2" w:space="0" w:color="82C341" w:themeColor="background1"/>
              <w:bottom w:val="single" w:sz="4" w:space="0" w:color="82C341" w:themeColor="background1"/>
            </w:tcBorders>
          </w:tcPr>
          <w:p w14:paraId="3E8F2C3B" w14:textId="1D6FE712" w:rsidR="00071CA7" w:rsidRPr="008A4558" w:rsidRDefault="00071CA7" w:rsidP="00071CA7">
            <w:pPr>
              <w:spacing w:before="70" w:after="70" w:line="220" w:lineRule="atLeast"/>
              <w:jc w:val="right"/>
              <w:rPr>
                <w:rFonts w:eastAsiaTheme="minorEastAsia" w:cstheme="minorHAnsi"/>
                <w:bCs/>
                <w:color w:val="auto"/>
                <w:sz w:val="17"/>
                <w:szCs w:val="17"/>
              </w:rPr>
            </w:pPr>
            <w:r w:rsidRPr="00596C47">
              <w:rPr>
                <w:rFonts w:eastAsiaTheme="minorEastAsia" w:cstheme="minorHAnsi"/>
                <w:color w:val="auto"/>
                <w:sz w:val="17"/>
                <w:szCs w:val="17"/>
              </w:rPr>
              <w:t>1,96</w:t>
            </w:r>
            <w:r w:rsidR="00C1113B">
              <w:rPr>
                <w:rFonts w:eastAsiaTheme="minorEastAsia" w:cstheme="minorHAnsi"/>
                <w:bCs/>
                <w:color w:val="auto"/>
                <w:sz w:val="17"/>
                <w:szCs w:val="17"/>
              </w:rPr>
              <w:t>2.5</w:t>
            </w:r>
          </w:p>
        </w:tc>
        <w:tc>
          <w:tcPr>
            <w:tcW w:w="539" w:type="pct"/>
            <w:tcBorders>
              <w:top w:val="single" w:sz="4" w:space="0" w:color="82C341" w:themeColor="background1"/>
              <w:bottom w:val="single" w:sz="4" w:space="0" w:color="82C341" w:themeColor="background1"/>
              <w:right w:val="single" w:sz="2" w:space="0" w:color="82C341" w:themeColor="background1"/>
            </w:tcBorders>
          </w:tcPr>
          <w:p w14:paraId="15A09CCB" w14:textId="2FAA612B" w:rsidR="00071CA7" w:rsidRDefault="00071CA7" w:rsidP="00071CA7">
            <w:pPr>
              <w:spacing w:before="70" w:after="70" w:line="220" w:lineRule="atLeast"/>
              <w:jc w:val="right"/>
              <w:rPr>
                <w:rFonts w:eastAsiaTheme="minorEastAsia" w:cstheme="minorHAnsi"/>
                <w:b w:val="0"/>
                <w:bCs/>
                <w:color w:val="auto"/>
                <w:sz w:val="17"/>
                <w:szCs w:val="17"/>
              </w:rPr>
            </w:pPr>
            <w:r w:rsidRPr="008A4558">
              <w:rPr>
                <w:rFonts w:eastAsiaTheme="minorEastAsia" w:cstheme="minorHAnsi"/>
                <w:bCs/>
                <w:color w:val="auto"/>
                <w:sz w:val="17"/>
                <w:szCs w:val="17"/>
              </w:rPr>
              <w:t>2,</w:t>
            </w:r>
            <w:r>
              <w:rPr>
                <w:rFonts w:eastAsiaTheme="minorEastAsia" w:cstheme="minorHAnsi"/>
                <w:bCs/>
                <w:color w:val="auto"/>
                <w:sz w:val="17"/>
                <w:szCs w:val="17"/>
              </w:rPr>
              <w:t>806</w:t>
            </w:r>
            <w:r w:rsidR="00F2249D">
              <w:rPr>
                <w:rFonts w:eastAsiaTheme="minorEastAsia" w:cstheme="minorHAnsi"/>
                <w:bCs/>
                <w:color w:val="auto"/>
                <w:sz w:val="17"/>
                <w:szCs w:val="17"/>
              </w:rPr>
              <w:t>.2</w:t>
            </w:r>
            <w:r w:rsidRPr="008A4558">
              <w:rPr>
                <w:rFonts w:eastAsiaTheme="minorEastAsia" w:cstheme="minorHAnsi"/>
                <w:bCs/>
                <w:color w:val="auto"/>
                <w:sz w:val="17"/>
                <w:szCs w:val="17"/>
              </w:rPr>
              <w:t xml:space="preserve"> </w:t>
            </w:r>
          </w:p>
          <w:p w14:paraId="4DABC48D" w14:textId="7E789B20" w:rsidR="00071CA7" w:rsidRPr="008A4558" w:rsidRDefault="00071CA7" w:rsidP="00071CA7">
            <w:pPr>
              <w:spacing w:before="70" w:after="70" w:line="220" w:lineRule="atLeast"/>
              <w:jc w:val="right"/>
              <w:rPr>
                <w:bCs/>
                <w:color w:val="auto"/>
                <w:sz w:val="17"/>
                <w:szCs w:val="17"/>
              </w:rPr>
            </w:pPr>
            <w:r w:rsidRPr="008A4558">
              <w:rPr>
                <w:rFonts w:eastAsiaTheme="minorEastAsia" w:cstheme="minorHAnsi"/>
                <w:bCs/>
                <w:color w:val="auto"/>
                <w:sz w:val="17"/>
                <w:szCs w:val="17"/>
              </w:rPr>
              <w:t>(</w:t>
            </w:r>
            <w:r w:rsidRPr="00596C47">
              <w:rPr>
                <w:rFonts w:eastAsiaTheme="minorEastAsia" w:cstheme="minorHAnsi"/>
                <w:bCs/>
                <w:color w:val="auto"/>
                <w:sz w:val="17"/>
                <w:szCs w:val="17"/>
              </w:rPr>
              <w:t>5</w:t>
            </w:r>
            <w:r w:rsidR="005C5DAD">
              <w:rPr>
                <w:rFonts w:eastAsiaTheme="minorEastAsia" w:cstheme="minorHAnsi"/>
                <w:bCs/>
                <w:color w:val="auto"/>
                <w:sz w:val="17"/>
                <w:szCs w:val="17"/>
              </w:rPr>
              <w:t>8.8</w:t>
            </w:r>
            <w:r w:rsidRPr="008A4558">
              <w:rPr>
                <w:rFonts w:eastAsiaTheme="minorEastAsia" w:cstheme="minorHAnsi"/>
                <w:bCs/>
                <w:color w:val="auto"/>
                <w:sz w:val="17"/>
                <w:szCs w:val="17"/>
              </w:rPr>
              <w:t>%)</w:t>
            </w:r>
          </w:p>
        </w:tc>
        <w:tc>
          <w:tcPr>
            <w:tcW w:w="524" w:type="pct"/>
            <w:tcBorders>
              <w:top w:val="single" w:sz="4" w:space="0" w:color="82C341" w:themeColor="background1"/>
              <w:left w:val="single" w:sz="2" w:space="0" w:color="82C341" w:themeColor="background1"/>
              <w:bottom w:val="single" w:sz="4" w:space="0" w:color="82C341" w:themeColor="background1"/>
            </w:tcBorders>
          </w:tcPr>
          <w:p w14:paraId="51A046E3" w14:textId="38886833" w:rsidR="00071CA7" w:rsidRPr="008A4558" w:rsidRDefault="00071CA7" w:rsidP="00071CA7">
            <w:pPr>
              <w:spacing w:before="70" w:after="70" w:line="220" w:lineRule="atLeast"/>
              <w:jc w:val="right"/>
              <w:rPr>
                <w:rFonts w:eastAsiaTheme="minorEastAsia" w:cstheme="minorHAnsi"/>
                <w:bCs/>
                <w:color w:val="auto"/>
                <w:sz w:val="17"/>
                <w:szCs w:val="17"/>
              </w:rPr>
            </w:pPr>
            <w:r w:rsidRPr="008A4558">
              <w:rPr>
                <w:rFonts w:eastAsiaTheme="minorEastAsia" w:cstheme="minorHAnsi"/>
                <w:bCs/>
                <w:color w:val="auto"/>
                <w:sz w:val="17"/>
                <w:szCs w:val="17"/>
              </w:rPr>
              <w:t>1,0</w:t>
            </w:r>
            <w:r w:rsidRPr="00C55487">
              <w:rPr>
                <w:rFonts w:eastAsiaTheme="minorEastAsia" w:cstheme="minorHAnsi"/>
                <w:bCs/>
                <w:color w:val="auto"/>
                <w:sz w:val="17"/>
                <w:szCs w:val="17"/>
              </w:rPr>
              <w:t>5</w:t>
            </w:r>
            <w:r w:rsidR="00C1113B">
              <w:rPr>
                <w:rFonts w:eastAsiaTheme="minorEastAsia" w:cstheme="minorHAnsi"/>
                <w:bCs/>
                <w:color w:val="auto"/>
                <w:sz w:val="17"/>
                <w:szCs w:val="17"/>
              </w:rPr>
              <w:t>6.7</w:t>
            </w:r>
          </w:p>
        </w:tc>
        <w:tc>
          <w:tcPr>
            <w:tcW w:w="550" w:type="pct"/>
            <w:tcBorders>
              <w:top w:val="single" w:sz="4" w:space="0" w:color="82C341" w:themeColor="background1"/>
              <w:bottom w:val="single" w:sz="4" w:space="0" w:color="82C341" w:themeColor="background1"/>
              <w:right w:val="single" w:sz="2" w:space="0" w:color="82C341" w:themeColor="background1"/>
            </w:tcBorders>
          </w:tcPr>
          <w:p w14:paraId="0CCC615D" w14:textId="1AF4A01A" w:rsidR="00071CA7" w:rsidRDefault="00071CA7" w:rsidP="00071CA7">
            <w:pPr>
              <w:spacing w:before="70" w:after="70" w:line="220" w:lineRule="atLeast"/>
              <w:jc w:val="right"/>
              <w:rPr>
                <w:rFonts w:eastAsiaTheme="minorEastAsia" w:cstheme="minorHAnsi"/>
                <w:b w:val="0"/>
                <w:bCs/>
                <w:color w:val="auto"/>
                <w:sz w:val="17"/>
                <w:szCs w:val="17"/>
              </w:rPr>
            </w:pPr>
            <w:r w:rsidRPr="008A4558">
              <w:rPr>
                <w:rFonts w:eastAsiaTheme="minorEastAsia" w:cstheme="minorHAnsi"/>
                <w:bCs/>
                <w:color w:val="auto"/>
                <w:sz w:val="17"/>
                <w:szCs w:val="17"/>
              </w:rPr>
              <w:t>6,5</w:t>
            </w:r>
            <w:r>
              <w:rPr>
                <w:rFonts w:eastAsiaTheme="minorEastAsia" w:cstheme="minorHAnsi"/>
                <w:bCs/>
                <w:color w:val="auto"/>
                <w:sz w:val="17"/>
                <w:szCs w:val="17"/>
              </w:rPr>
              <w:t>98</w:t>
            </w:r>
            <w:r w:rsidR="00F2249D">
              <w:rPr>
                <w:rFonts w:eastAsiaTheme="minorEastAsia" w:cstheme="minorHAnsi"/>
                <w:bCs/>
                <w:color w:val="auto"/>
                <w:sz w:val="17"/>
                <w:szCs w:val="17"/>
              </w:rPr>
              <w:t>.</w:t>
            </w:r>
            <w:r w:rsidR="004C4933">
              <w:rPr>
                <w:rFonts w:eastAsiaTheme="minorEastAsia" w:cstheme="minorHAnsi"/>
                <w:bCs/>
                <w:color w:val="auto"/>
                <w:sz w:val="17"/>
                <w:szCs w:val="17"/>
              </w:rPr>
              <w:t>4</w:t>
            </w:r>
            <w:r w:rsidRPr="008A4558">
              <w:rPr>
                <w:rFonts w:eastAsiaTheme="minorEastAsia" w:cstheme="minorHAnsi"/>
                <w:bCs/>
                <w:color w:val="auto"/>
                <w:sz w:val="17"/>
                <w:szCs w:val="17"/>
              </w:rPr>
              <w:t xml:space="preserve"> </w:t>
            </w:r>
          </w:p>
          <w:p w14:paraId="17BFD9AC" w14:textId="636EF94B" w:rsidR="00071CA7" w:rsidRPr="008A4558" w:rsidRDefault="00071CA7" w:rsidP="00071CA7">
            <w:pPr>
              <w:spacing w:before="70" w:after="70" w:line="220" w:lineRule="atLeast"/>
              <w:jc w:val="right"/>
              <w:rPr>
                <w:rFonts w:eastAsiaTheme="minorEastAsia" w:cstheme="minorHAnsi"/>
                <w:bCs/>
                <w:color w:val="auto"/>
                <w:sz w:val="17"/>
                <w:szCs w:val="17"/>
              </w:rPr>
            </w:pPr>
            <w:r w:rsidRPr="008A4558">
              <w:rPr>
                <w:rFonts w:eastAsiaTheme="minorEastAsia" w:cstheme="minorHAnsi"/>
                <w:bCs/>
                <w:color w:val="auto"/>
                <w:sz w:val="17"/>
                <w:szCs w:val="17"/>
              </w:rPr>
              <w:t>(8</w:t>
            </w:r>
            <w:r w:rsidRPr="00C55487">
              <w:rPr>
                <w:rFonts w:eastAsiaTheme="minorEastAsia" w:cstheme="minorHAnsi"/>
                <w:bCs/>
                <w:color w:val="auto"/>
                <w:sz w:val="17"/>
                <w:szCs w:val="17"/>
              </w:rPr>
              <w:t>6</w:t>
            </w:r>
            <w:r w:rsidR="00F2249D">
              <w:rPr>
                <w:rFonts w:eastAsiaTheme="minorEastAsia" w:cstheme="minorHAnsi"/>
                <w:bCs/>
                <w:color w:val="auto"/>
                <w:sz w:val="17"/>
                <w:szCs w:val="17"/>
              </w:rPr>
              <w:t>.2</w:t>
            </w:r>
            <w:r w:rsidRPr="008A4558">
              <w:rPr>
                <w:rFonts w:eastAsiaTheme="minorEastAsia" w:cstheme="minorHAnsi"/>
                <w:bCs/>
                <w:color w:val="auto"/>
                <w:sz w:val="17"/>
                <w:szCs w:val="17"/>
              </w:rPr>
              <w:t>%)</w:t>
            </w:r>
          </w:p>
        </w:tc>
        <w:tc>
          <w:tcPr>
            <w:tcW w:w="522" w:type="pct"/>
            <w:tcBorders>
              <w:top w:val="single" w:sz="4" w:space="0" w:color="82C341" w:themeColor="background1"/>
              <w:left w:val="single" w:sz="2" w:space="0" w:color="82C341" w:themeColor="background1"/>
              <w:bottom w:val="single" w:sz="4" w:space="0" w:color="82C341" w:themeColor="background1"/>
            </w:tcBorders>
          </w:tcPr>
          <w:p w14:paraId="360E4765" w14:textId="6D61ABC4" w:rsidR="00071CA7" w:rsidRPr="008A4558" w:rsidRDefault="00071CA7" w:rsidP="00071CA7">
            <w:pPr>
              <w:spacing w:before="70" w:after="70" w:line="220" w:lineRule="atLeast"/>
              <w:jc w:val="right"/>
              <w:rPr>
                <w:rFonts w:eastAsiaTheme="minorEastAsia" w:cstheme="minorHAnsi"/>
                <w:bCs/>
                <w:color w:val="auto"/>
                <w:sz w:val="17"/>
                <w:szCs w:val="17"/>
              </w:rPr>
            </w:pPr>
            <w:r w:rsidRPr="00596C47">
              <w:rPr>
                <w:rFonts w:eastAsiaTheme="minorEastAsia" w:cstheme="minorHAnsi"/>
                <w:color w:val="auto"/>
                <w:sz w:val="17"/>
                <w:szCs w:val="17"/>
              </w:rPr>
              <w:t>4,80</w:t>
            </w:r>
            <w:r w:rsidR="00C1113B">
              <w:rPr>
                <w:rFonts w:eastAsiaTheme="minorEastAsia" w:cstheme="minorHAnsi"/>
                <w:bCs/>
                <w:color w:val="auto"/>
                <w:sz w:val="17"/>
                <w:szCs w:val="17"/>
              </w:rPr>
              <w:t>6.9</w:t>
            </w:r>
          </w:p>
        </w:tc>
        <w:tc>
          <w:tcPr>
            <w:tcW w:w="609" w:type="pct"/>
            <w:tcBorders>
              <w:top w:val="single" w:sz="4" w:space="0" w:color="82C341" w:themeColor="background1"/>
              <w:bottom w:val="single" w:sz="4" w:space="0" w:color="82C341" w:themeColor="background1"/>
            </w:tcBorders>
          </w:tcPr>
          <w:p w14:paraId="5CD5B219" w14:textId="7E02160C" w:rsidR="00071CA7" w:rsidRDefault="00071CA7" w:rsidP="00071CA7">
            <w:pPr>
              <w:spacing w:before="70" w:after="70" w:line="220" w:lineRule="atLeast"/>
              <w:jc w:val="right"/>
              <w:rPr>
                <w:rFonts w:eastAsiaTheme="minorEastAsia" w:cstheme="minorHAnsi"/>
                <w:b w:val="0"/>
                <w:bCs/>
                <w:color w:val="auto"/>
                <w:sz w:val="17"/>
                <w:szCs w:val="17"/>
              </w:rPr>
            </w:pPr>
            <w:r w:rsidRPr="008A4558">
              <w:rPr>
                <w:rFonts w:eastAsiaTheme="minorEastAsia" w:cstheme="minorHAnsi"/>
                <w:bCs/>
                <w:color w:val="auto"/>
                <w:sz w:val="17"/>
                <w:szCs w:val="17"/>
              </w:rPr>
              <w:t>1</w:t>
            </w:r>
            <w:r>
              <w:rPr>
                <w:rFonts w:eastAsiaTheme="minorEastAsia" w:cstheme="minorHAnsi"/>
                <w:bCs/>
                <w:color w:val="auto"/>
                <w:sz w:val="17"/>
                <w:szCs w:val="17"/>
              </w:rPr>
              <w:t>1</w:t>
            </w:r>
            <w:r w:rsidRPr="008A4558">
              <w:rPr>
                <w:rFonts w:eastAsiaTheme="minorEastAsia" w:cstheme="minorHAnsi"/>
                <w:bCs/>
                <w:color w:val="auto"/>
                <w:sz w:val="17"/>
                <w:szCs w:val="17"/>
              </w:rPr>
              <w:t>,</w:t>
            </w:r>
            <w:r>
              <w:rPr>
                <w:rFonts w:eastAsiaTheme="minorEastAsia" w:cstheme="minorHAnsi"/>
                <w:bCs/>
                <w:color w:val="auto"/>
                <w:sz w:val="17"/>
                <w:szCs w:val="17"/>
              </w:rPr>
              <w:t>05</w:t>
            </w:r>
            <w:r w:rsidR="00F2249D">
              <w:rPr>
                <w:rFonts w:eastAsiaTheme="minorEastAsia" w:cstheme="minorHAnsi"/>
                <w:bCs/>
                <w:color w:val="auto"/>
                <w:sz w:val="17"/>
                <w:szCs w:val="17"/>
              </w:rPr>
              <w:t>4.8</w:t>
            </w:r>
            <w:r w:rsidRPr="008A4558">
              <w:rPr>
                <w:rFonts w:eastAsiaTheme="minorEastAsia" w:cstheme="minorHAnsi"/>
                <w:bCs/>
                <w:color w:val="auto"/>
                <w:sz w:val="17"/>
                <w:szCs w:val="17"/>
              </w:rPr>
              <w:t xml:space="preserve"> </w:t>
            </w:r>
          </w:p>
          <w:p w14:paraId="0D1E6312" w14:textId="430E72EA" w:rsidR="00071CA7" w:rsidRPr="008A4558" w:rsidRDefault="00071CA7" w:rsidP="00071CA7">
            <w:pPr>
              <w:spacing w:before="70" w:after="70" w:line="220" w:lineRule="atLeast"/>
              <w:jc w:val="right"/>
              <w:rPr>
                <w:rFonts w:eastAsiaTheme="minorEastAsia" w:cstheme="minorHAnsi"/>
                <w:bCs/>
                <w:color w:val="auto"/>
                <w:sz w:val="17"/>
                <w:szCs w:val="17"/>
              </w:rPr>
            </w:pPr>
            <w:r w:rsidRPr="008A4558">
              <w:rPr>
                <w:rFonts w:eastAsiaTheme="minorEastAsia" w:cstheme="minorHAnsi"/>
                <w:bCs/>
                <w:color w:val="auto"/>
                <w:sz w:val="17"/>
                <w:szCs w:val="17"/>
              </w:rPr>
              <w:t>(</w:t>
            </w:r>
            <w:r w:rsidR="00F2249D">
              <w:rPr>
                <w:rFonts w:eastAsiaTheme="minorEastAsia" w:cstheme="minorHAnsi"/>
                <w:bCs/>
                <w:color w:val="auto"/>
                <w:sz w:val="17"/>
                <w:szCs w:val="17"/>
              </w:rPr>
              <w:t>69.7</w:t>
            </w:r>
            <w:r w:rsidRPr="008A4558">
              <w:rPr>
                <w:rFonts w:eastAsiaTheme="minorEastAsia" w:cstheme="minorHAnsi"/>
                <w:bCs/>
                <w:color w:val="auto"/>
                <w:sz w:val="17"/>
                <w:szCs w:val="17"/>
              </w:rPr>
              <w:t>%)</w:t>
            </w:r>
          </w:p>
        </w:tc>
      </w:tr>
    </w:tbl>
    <w:p w14:paraId="04530811" w14:textId="0708B5ED" w:rsidR="005D2691" w:rsidRPr="005D2691" w:rsidRDefault="00C60B6B" w:rsidP="001341FB">
      <w:pPr>
        <w:pStyle w:val="Caption"/>
        <w:rPr>
          <w:rFonts w:cstheme="minorHAnsi"/>
        </w:rPr>
      </w:pPr>
      <w:r w:rsidRPr="005D2691">
        <w:t>* Figures reported for materials received by source sector have been extrapolated to include the relative proportions derived from reported data and applied to surveys that did not include a source sector for the different material types and the export data from the ABS.</w:t>
      </w:r>
      <w:r w:rsidR="00071CA7">
        <w:t xml:space="preserve"> </w:t>
      </w:r>
      <w:r w:rsidRPr="005D2691">
        <w:t xml:space="preserve">Figures in </w:t>
      </w:r>
      <w:r w:rsidRPr="005D2691">
        <w:rPr>
          <w:i w:val="0"/>
          <w:iCs w:val="0"/>
        </w:rPr>
        <w:fldChar w:fldCharType="begin"/>
      </w:r>
      <w:r w:rsidRPr="005D2691">
        <w:instrText xml:space="preserve"> REF _Ref72495702 \h  \* MERGEFORMAT </w:instrText>
      </w:r>
      <w:r w:rsidRPr="005D2691">
        <w:rPr>
          <w:i w:val="0"/>
          <w:iCs w:val="0"/>
        </w:rPr>
      </w:r>
      <w:r w:rsidRPr="005D2691">
        <w:rPr>
          <w:i w:val="0"/>
          <w:iCs w:val="0"/>
        </w:rPr>
        <w:fldChar w:fldCharType="separate"/>
      </w:r>
      <w:r w:rsidR="00176C53">
        <w:t>Table 4</w:t>
      </w:r>
      <w:r w:rsidRPr="005D2691">
        <w:rPr>
          <w:i w:val="0"/>
          <w:iCs w:val="0"/>
        </w:rPr>
        <w:fldChar w:fldCharType="end"/>
      </w:r>
      <w:r w:rsidRPr="005D2691">
        <w:t xml:space="preserve"> have been rounded to the nearest thousand and individual columns may </w:t>
      </w:r>
      <w:r w:rsidRPr="005D2691">
        <w:rPr>
          <w:rFonts w:cstheme="minorHAnsi"/>
        </w:rPr>
        <w:t>therefore not add up to the totals reported for ‘Total’ or to the percentage figures provided in brackets.</w:t>
      </w:r>
      <w:r w:rsidRPr="005D2691">
        <w:rPr>
          <w:rFonts w:cstheme="minorHAnsi"/>
        </w:rPr>
        <w:br/>
        <w:t>Percentage figures in brackets are the diversion rate for that material and source sector.</w:t>
      </w:r>
      <w:r w:rsidR="00F07DA1">
        <w:br/>
      </w:r>
      <w:r w:rsidR="00071CA7">
        <w:rPr>
          <w:rFonts w:ascii="Tahoma" w:hAnsi="Tahoma" w:cs="Tahoma"/>
        </w:rPr>
        <w:t>ꟸ</w:t>
      </w:r>
      <w:r w:rsidR="00FD11AC">
        <w:rPr>
          <w:rFonts w:cstheme="minorHAnsi"/>
        </w:rPr>
        <w:t xml:space="preserve"> </w:t>
      </w:r>
      <w:r w:rsidR="00F07DA1">
        <w:rPr>
          <w:rFonts w:cstheme="minorHAnsi"/>
        </w:rPr>
        <w:t xml:space="preserve"> </w:t>
      </w:r>
      <w:r w:rsidRPr="005D2691">
        <w:rPr>
          <w:rFonts w:cstheme="minorHAnsi"/>
        </w:rPr>
        <w:t>‘Other’ includes street sweepings, material recovery facility residuals, nappies, electronics.</w:t>
      </w:r>
      <w:r w:rsidRPr="005D2691">
        <w:rPr>
          <w:rFonts w:cstheme="minorHAnsi"/>
        </w:rPr>
        <w:br/>
      </w:r>
      <w:r w:rsidRPr="005D2691">
        <w:rPr>
          <w:rFonts w:eastAsiaTheme="minorEastAsia" w:cstheme="minorHAnsi"/>
          <w:bCs/>
          <w:vertAlign w:val="superscript"/>
        </w:rPr>
        <w:t>†</w:t>
      </w:r>
      <w:r w:rsidRPr="005D2691">
        <w:rPr>
          <w:rFonts w:eastAsiaTheme="minorEastAsia" w:cstheme="minorHAnsi"/>
          <w:bCs/>
        </w:rPr>
        <w:t xml:space="preserve"> Paper / cardboard is equivalent to paper and cardboard. For spacing reasons, the ‘and’ has been replaced with ‘/’.</w:t>
      </w:r>
      <w:r w:rsidR="00F07DA1">
        <w:rPr>
          <w:rFonts w:cstheme="minorHAnsi"/>
        </w:rPr>
        <w:br/>
      </w:r>
      <w:r w:rsidR="005D2691" w:rsidRPr="005D2691">
        <w:rPr>
          <w:rFonts w:cstheme="minorHAnsi"/>
          <w:vertAlign w:val="superscript"/>
        </w:rPr>
        <w:t>‡</w:t>
      </w:r>
      <w:r w:rsidR="00F07DA1">
        <w:rPr>
          <w:rFonts w:cstheme="minorHAnsi"/>
        </w:rPr>
        <w:t xml:space="preserve"> </w:t>
      </w:r>
      <w:r w:rsidR="005D2691" w:rsidRPr="005D2691">
        <w:rPr>
          <w:rFonts w:cstheme="minorHAnsi"/>
        </w:rPr>
        <w:t xml:space="preserve">The diversion rate calculated for Municipal (MSW) is not comparable to the kerbside diversion rate as calculated in the LGWSR, please refer to Appendix </w:t>
      </w:r>
      <w:r w:rsidR="00564CC1">
        <w:rPr>
          <w:rFonts w:cstheme="minorHAnsi"/>
        </w:rPr>
        <w:t>A</w:t>
      </w:r>
      <w:r w:rsidR="005D2691" w:rsidRPr="005D2691">
        <w:rPr>
          <w:rFonts w:cstheme="minorHAnsi"/>
        </w:rPr>
        <w:t>: Comparison of survey data for details on the similarities and differences between these.</w:t>
      </w:r>
    </w:p>
    <w:p w14:paraId="7B735131" w14:textId="570A6260" w:rsidR="00DC1BEB" w:rsidRDefault="0048005F" w:rsidP="00C60B6B">
      <w:r>
        <w:fldChar w:fldCharType="begin"/>
      </w:r>
      <w:r>
        <w:instrText xml:space="preserve"> REF _Ref72496320 \h </w:instrText>
      </w:r>
      <w:r>
        <w:fldChar w:fldCharType="separate"/>
      </w:r>
      <w:r w:rsidR="00176C53">
        <w:t xml:space="preserve">Figure </w:t>
      </w:r>
      <w:r w:rsidR="00176C53">
        <w:rPr>
          <w:noProof/>
        </w:rPr>
        <w:t>29</w:t>
      </w:r>
      <w:r>
        <w:fldChar w:fldCharType="end"/>
      </w:r>
      <w:r>
        <w:t xml:space="preserve"> present</w:t>
      </w:r>
      <w:r w:rsidR="00DC1BEB">
        <w:t>s</w:t>
      </w:r>
      <w:r>
        <w:t xml:space="preserve"> the composition of the </w:t>
      </w:r>
      <w:r w:rsidR="00C60B6B">
        <w:t>materials recovered for reprocessing in 2019–20</w:t>
      </w:r>
      <w:r>
        <w:t>. A</w:t>
      </w:r>
      <w:r w:rsidR="00C60B6B">
        <w:t xml:space="preserve">ggregate, </w:t>
      </w:r>
      <w:proofErr w:type="gramStart"/>
      <w:r w:rsidR="00C60B6B">
        <w:t>masonry</w:t>
      </w:r>
      <w:proofErr w:type="gramEnd"/>
      <w:r w:rsidR="00C60B6B">
        <w:t xml:space="preserve"> and soil</w:t>
      </w:r>
      <w:r>
        <w:t xml:space="preserve"> </w:t>
      </w:r>
      <w:r w:rsidR="00C60B6B">
        <w:t>made up 59</w:t>
      </w:r>
      <w:r w:rsidR="00596C47">
        <w:t>.</w:t>
      </w:r>
      <w:r w:rsidR="00866746">
        <w:t>1</w:t>
      </w:r>
      <w:r w:rsidR="00C60B6B">
        <w:t> per cent of all material recovered for reprocessing in Victoria</w:t>
      </w:r>
      <w:r>
        <w:t xml:space="preserve">. </w:t>
      </w:r>
      <w:r w:rsidR="00C60B6B">
        <w:t xml:space="preserve">The C&amp;D sector was the primary source of aggregate, </w:t>
      </w:r>
      <w:proofErr w:type="gramStart"/>
      <w:r w:rsidR="00C60B6B">
        <w:t>masonry</w:t>
      </w:r>
      <w:proofErr w:type="gramEnd"/>
      <w:r w:rsidR="00C60B6B">
        <w:t xml:space="preserve"> and soil. </w:t>
      </w:r>
      <w:r w:rsidR="00C60B6B" w:rsidRPr="00712DEC">
        <w:t>The remaining 4</w:t>
      </w:r>
      <w:r w:rsidR="00C60B6B">
        <w:t>1</w:t>
      </w:r>
      <w:r w:rsidR="005C5DAD">
        <w:t>.0</w:t>
      </w:r>
      <w:r w:rsidR="00C60B6B">
        <w:t> </w:t>
      </w:r>
      <w:r w:rsidR="00C60B6B" w:rsidRPr="00712DEC">
        <w:t>per</w:t>
      </w:r>
      <w:r w:rsidR="00C60B6B">
        <w:t xml:space="preserve"> </w:t>
      </w:r>
      <w:r w:rsidR="00C60B6B" w:rsidRPr="00712DEC">
        <w:t>cent of the total material</w:t>
      </w:r>
      <w:r w:rsidR="00C60B6B">
        <w:t>s</w:t>
      </w:r>
      <w:r w:rsidR="00C60B6B" w:rsidRPr="00712DEC">
        <w:t xml:space="preserve"> recovered</w:t>
      </w:r>
      <w:r w:rsidR="00C60B6B">
        <w:t xml:space="preserve"> for reprocessing</w:t>
      </w:r>
      <w:r w:rsidR="00C60B6B" w:rsidRPr="00712DEC">
        <w:t xml:space="preserve"> primarily came from metals</w:t>
      </w:r>
      <w:r w:rsidR="004C34C4">
        <w:t xml:space="preserve"> at 13.4 per cent,</w:t>
      </w:r>
      <w:r w:rsidR="00C60B6B">
        <w:t xml:space="preserve"> organics </w:t>
      </w:r>
      <w:r w:rsidR="00C60B6B" w:rsidRPr="00712DEC">
        <w:t>at 1</w:t>
      </w:r>
      <w:r w:rsidR="004C34C4">
        <w:t>2.5</w:t>
      </w:r>
      <w:r w:rsidR="00C60B6B">
        <w:t> per cent each and</w:t>
      </w:r>
      <w:r w:rsidR="00C60B6B" w:rsidRPr="00712DEC">
        <w:t xml:space="preserve"> paper</w:t>
      </w:r>
      <w:r w:rsidR="00C60B6B">
        <w:t xml:space="preserve"> and</w:t>
      </w:r>
      <w:r w:rsidR="00C60B6B" w:rsidRPr="00712DEC">
        <w:t xml:space="preserve"> cardboard </w:t>
      </w:r>
      <w:r w:rsidR="00C60B6B">
        <w:t>at 10</w:t>
      </w:r>
      <w:r w:rsidR="005C5DAD">
        <w:t>.1</w:t>
      </w:r>
      <w:r w:rsidR="00C60B6B">
        <w:t> per cent</w:t>
      </w:r>
      <w:r w:rsidR="00C60B6B" w:rsidRPr="00712DEC">
        <w:t>.</w:t>
      </w:r>
    </w:p>
    <w:p w14:paraId="47FBC4B2" w14:textId="77777777" w:rsidR="00DC1BEB" w:rsidRDefault="00DC1BEB">
      <w:pPr>
        <w:spacing w:after="0" w:line="240" w:lineRule="auto"/>
      </w:pPr>
      <w:r>
        <w:br w:type="page"/>
      </w:r>
    </w:p>
    <w:p w14:paraId="11FECEAC" w14:textId="63D2EAB5" w:rsidR="00C60B6B" w:rsidRDefault="00C60B6B" w:rsidP="00C60B6B">
      <w:pPr>
        <w:pStyle w:val="FigureCaption"/>
      </w:pPr>
      <w:bookmarkStart w:id="126" w:name="_Ref72496320"/>
      <w:bookmarkStart w:id="127" w:name="_Toc77087500"/>
      <w:bookmarkStart w:id="128" w:name="_Hlk76645980"/>
      <w:r>
        <w:lastRenderedPageBreak/>
        <w:t xml:space="preserve">Figure </w:t>
      </w:r>
      <w:r w:rsidR="0085736C">
        <w:fldChar w:fldCharType="begin"/>
      </w:r>
      <w:r w:rsidR="0085736C">
        <w:instrText xml:space="preserve"> SEQ Figure \* ARABIC </w:instrText>
      </w:r>
      <w:r w:rsidR="0085736C">
        <w:fldChar w:fldCharType="separate"/>
      </w:r>
      <w:r w:rsidR="00176C53">
        <w:rPr>
          <w:noProof/>
        </w:rPr>
        <w:t>29</w:t>
      </w:r>
      <w:r w:rsidR="0085736C">
        <w:rPr>
          <w:noProof/>
        </w:rPr>
        <w:fldChar w:fldCharType="end"/>
      </w:r>
      <w:bookmarkEnd w:id="126"/>
      <w:r>
        <w:t>: Material composition of waste</w:t>
      </w:r>
      <w:r w:rsidRPr="00203CBD">
        <w:t xml:space="preserve"> recovered for reprocessing (by weight) in Victoria,</w:t>
      </w:r>
      <w:r>
        <w:t xml:space="preserve"> </w:t>
      </w:r>
      <w:r w:rsidRPr="00203CBD">
        <w:t>201</w:t>
      </w:r>
      <w:r>
        <w:t>9–20</w:t>
      </w:r>
      <w:bookmarkEnd w:id="127"/>
    </w:p>
    <w:p w14:paraId="2EEE6608" w14:textId="246B49B6" w:rsidR="00596C47" w:rsidRPr="00596C47" w:rsidRDefault="00866746" w:rsidP="00596C47">
      <w:r>
        <w:rPr>
          <w:noProof/>
        </w:rPr>
        <w:drawing>
          <wp:inline distT="0" distB="0" distL="0" distR="0" wp14:anchorId="67BD5B5B" wp14:editId="6FC2BF4C">
            <wp:extent cx="4712335" cy="2395855"/>
            <wp:effectExtent l="0" t="0" r="0" b="4445"/>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12335" cy="2395855"/>
                    </a:xfrm>
                    <a:prstGeom prst="rect">
                      <a:avLst/>
                    </a:prstGeom>
                    <a:noFill/>
                  </pic:spPr>
                </pic:pic>
              </a:graphicData>
            </a:graphic>
          </wp:inline>
        </w:drawing>
      </w:r>
    </w:p>
    <w:p w14:paraId="00D3A194" w14:textId="56063647" w:rsidR="004C34C4" w:rsidRPr="004C34C4" w:rsidRDefault="004C34C4" w:rsidP="004C34C4"/>
    <w:p w14:paraId="774B5859" w14:textId="7E5174F4" w:rsidR="00C60B6B" w:rsidRPr="00A80332" w:rsidRDefault="00C60B6B" w:rsidP="00C60B6B"/>
    <w:bookmarkEnd w:id="128"/>
    <w:p w14:paraId="2089538F" w14:textId="77777777" w:rsidR="00C60B6B" w:rsidRDefault="00C60B6B" w:rsidP="00C60B6B"/>
    <w:p w14:paraId="0A99A991" w14:textId="42A26820" w:rsidR="00C60B6B" w:rsidRPr="00C60B6B" w:rsidRDefault="00C60B6B">
      <w:pPr>
        <w:spacing w:after="0" w:line="240" w:lineRule="auto"/>
        <w:rPr>
          <w:rFonts w:asciiTheme="majorHAnsi" w:eastAsiaTheme="majorEastAsia" w:hAnsiTheme="majorHAnsi" w:cstheme="majorBidi"/>
          <w:bCs/>
          <w:sz w:val="28"/>
          <w:szCs w:val="28"/>
        </w:rPr>
      </w:pPr>
      <w:r>
        <w:br w:type="page"/>
      </w:r>
    </w:p>
    <w:p w14:paraId="6152347C" w14:textId="77777777" w:rsidR="001F3331" w:rsidRDefault="001F3331">
      <w:pPr>
        <w:spacing w:after="0" w:line="240" w:lineRule="auto"/>
      </w:pPr>
    </w:p>
    <w:p w14:paraId="15DB792A" w14:textId="23A6487A" w:rsidR="001F3331" w:rsidRDefault="001F3331" w:rsidP="001F3331">
      <w:pPr>
        <w:pStyle w:val="SectionDividerTitle"/>
        <w:framePr w:wrap="around"/>
      </w:pPr>
      <w:bookmarkStart w:id="129" w:name="_Toc83108381"/>
      <w:r>
        <w:t>Glossary</w:t>
      </w:r>
      <w:bookmarkEnd w:id="129"/>
    </w:p>
    <w:p w14:paraId="01A8BD65" w14:textId="0B3A895E" w:rsidR="008E75DB" w:rsidRPr="008E75DB" w:rsidRDefault="008E75DB" w:rsidP="009612B6">
      <w:bookmarkStart w:id="130" w:name="_Toc78881421"/>
      <w:r>
        <w:rPr>
          <w:noProof/>
          <w:lang w:eastAsia="en-AU"/>
        </w:rPr>
        <w:drawing>
          <wp:anchor distT="0" distB="0" distL="114300" distR="114300" simplePos="0" relativeHeight="251658240" behindDoc="1" locked="1" layoutInCell="1" allowOverlap="1" wp14:anchorId="32575D42" wp14:editId="2F8222DE">
            <wp:simplePos x="0" y="0"/>
            <wp:positionH relativeFrom="page">
              <wp:posOffset>-3175</wp:posOffset>
            </wp:positionH>
            <wp:positionV relativeFrom="page">
              <wp:posOffset>-2540</wp:posOffset>
            </wp:positionV>
            <wp:extent cx="7559675" cy="3095625"/>
            <wp:effectExtent l="0" t="0" r="3175" b="9525"/>
            <wp:wrapThrough wrapText="bothSides">
              <wp:wrapPolygon edited="0">
                <wp:start x="0" y="0"/>
                <wp:lineTo x="0" y="21534"/>
                <wp:lineTo x="21555" y="21534"/>
                <wp:lineTo x="21555" y="0"/>
                <wp:lineTo x="0" y="0"/>
              </wp:wrapPolygon>
            </wp:wrapThrough>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24">
                      <a:clrChange>
                        <a:clrFrom>
                          <a:srgbClr val="FFFFFF"/>
                        </a:clrFrom>
                        <a:clrTo>
                          <a:srgbClr val="FFFFFF">
                            <a:alpha val="0"/>
                          </a:srgbClr>
                        </a:clrTo>
                      </a:clrChange>
                    </a:blip>
                    <a:stretch>
                      <a:fillRect/>
                    </a:stretch>
                  </pic:blipFill>
                  <pic:spPr>
                    <a:xfrm>
                      <a:off x="0" y="0"/>
                      <a:ext cx="7559675" cy="3095625"/>
                    </a:xfrm>
                    <a:prstGeom prst="rect">
                      <a:avLst/>
                    </a:prstGeom>
                  </pic:spPr>
                </pic:pic>
              </a:graphicData>
            </a:graphic>
            <wp14:sizeRelH relativeFrom="margin">
              <wp14:pctWidth>0</wp14:pctWidth>
            </wp14:sizeRelH>
            <wp14:sizeRelV relativeFrom="margin">
              <wp14:pctHeight>0</wp14:pctHeight>
            </wp14:sizeRelV>
          </wp:anchor>
        </w:drawing>
      </w:r>
      <w:bookmarkEnd w:id="130"/>
    </w:p>
    <w:tbl>
      <w:tblPr>
        <w:tblStyle w:val="SVTable"/>
        <w:tblW w:w="8080" w:type="dxa"/>
        <w:tblBorders>
          <w:insideH w:val="single" w:sz="2" w:space="0" w:color="82C341" w:themeColor="background1"/>
        </w:tblBorders>
        <w:tblLook w:val="04A0" w:firstRow="1" w:lastRow="0" w:firstColumn="1" w:lastColumn="0" w:noHBand="0" w:noVBand="1"/>
      </w:tblPr>
      <w:tblGrid>
        <w:gridCol w:w="1843"/>
        <w:gridCol w:w="1276"/>
        <w:gridCol w:w="4961"/>
      </w:tblGrid>
      <w:tr w:rsidR="00872113" w14:paraId="12C1ADAA" w14:textId="77777777" w:rsidTr="00750033">
        <w:trPr>
          <w:cnfStyle w:val="100000000000" w:firstRow="1" w:lastRow="0" w:firstColumn="0" w:lastColumn="0" w:oddVBand="0" w:evenVBand="0" w:oddHBand="0" w:evenHBand="0" w:firstRowFirstColumn="0" w:firstRowLastColumn="0" w:lastRowFirstColumn="0" w:lastRowLastColumn="0"/>
          <w:trHeight w:val="404"/>
        </w:trPr>
        <w:tc>
          <w:tcPr>
            <w:tcW w:w="1843" w:type="dxa"/>
          </w:tcPr>
          <w:p w14:paraId="2D7DC683" w14:textId="77777777" w:rsidR="00872113" w:rsidRPr="00B57871" w:rsidRDefault="00872113" w:rsidP="009A033D">
            <w:pPr>
              <w:pStyle w:val="TableHeading"/>
              <w:rPr>
                <w:rFonts w:asciiTheme="minorHAnsi" w:hAnsiTheme="minorHAnsi" w:cstheme="minorHAnsi"/>
                <w:color w:val="auto"/>
                <w:szCs w:val="17"/>
              </w:rPr>
            </w:pPr>
            <w:bookmarkStart w:id="131" w:name="_Hlk72945511"/>
            <w:r w:rsidRPr="00B57871">
              <w:rPr>
                <w:rFonts w:asciiTheme="minorHAnsi" w:hAnsiTheme="minorHAnsi" w:cstheme="minorHAnsi"/>
                <w:color w:val="auto"/>
                <w:szCs w:val="17"/>
              </w:rPr>
              <w:t>Term</w:t>
            </w:r>
          </w:p>
        </w:tc>
        <w:tc>
          <w:tcPr>
            <w:tcW w:w="1276" w:type="dxa"/>
          </w:tcPr>
          <w:p w14:paraId="2AF15E9A" w14:textId="77777777" w:rsidR="00700637" w:rsidRPr="00B57871" w:rsidRDefault="00872113" w:rsidP="009A033D">
            <w:pPr>
              <w:pStyle w:val="TableHeading"/>
              <w:rPr>
                <w:rFonts w:asciiTheme="minorHAnsi" w:hAnsiTheme="minorHAnsi" w:cstheme="minorHAnsi"/>
                <w:color w:val="auto"/>
                <w:szCs w:val="17"/>
              </w:rPr>
            </w:pPr>
            <w:r w:rsidRPr="00B57871">
              <w:rPr>
                <w:rFonts w:asciiTheme="minorHAnsi" w:hAnsiTheme="minorHAnsi" w:cstheme="minorHAnsi"/>
                <w:color w:val="auto"/>
                <w:szCs w:val="17"/>
              </w:rPr>
              <w:t>Acronym</w:t>
            </w:r>
          </w:p>
          <w:p w14:paraId="6EB38128" w14:textId="08C6FF69" w:rsidR="00872113" w:rsidRPr="00B57871" w:rsidRDefault="00700637" w:rsidP="009A033D">
            <w:pPr>
              <w:pStyle w:val="TableHeading"/>
              <w:rPr>
                <w:rFonts w:asciiTheme="minorHAnsi" w:hAnsiTheme="minorHAnsi" w:cstheme="minorHAnsi"/>
                <w:color w:val="auto"/>
                <w:szCs w:val="17"/>
              </w:rPr>
            </w:pPr>
            <w:r w:rsidRPr="00B57871">
              <w:rPr>
                <w:rFonts w:asciiTheme="minorHAnsi" w:hAnsiTheme="minorHAnsi" w:cstheme="minorHAnsi"/>
                <w:color w:val="auto"/>
                <w:szCs w:val="17"/>
              </w:rPr>
              <w:t>(</w:t>
            </w:r>
            <w:proofErr w:type="gramStart"/>
            <w:r w:rsidRPr="00B57871">
              <w:rPr>
                <w:rFonts w:asciiTheme="minorHAnsi" w:hAnsiTheme="minorHAnsi" w:cstheme="minorHAnsi"/>
                <w:color w:val="auto"/>
                <w:szCs w:val="17"/>
              </w:rPr>
              <w:t>if</w:t>
            </w:r>
            <w:proofErr w:type="gramEnd"/>
            <w:r w:rsidRPr="00B57871">
              <w:rPr>
                <w:rFonts w:asciiTheme="minorHAnsi" w:hAnsiTheme="minorHAnsi" w:cstheme="minorHAnsi"/>
                <w:color w:val="auto"/>
                <w:szCs w:val="17"/>
              </w:rPr>
              <w:t xml:space="preserve"> applicable) </w:t>
            </w:r>
          </w:p>
        </w:tc>
        <w:tc>
          <w:tcPr>
            <w:tcW w:w="4961" w:type="dxa"/>
          </w:tcPr>
          <w:p w14:paraId="4D3559C5" w14:textId="0275726D" w:rsidR="00872113" w:rsidRPr="00B57871" w:rsidRDefault="00872113" w:rsidP="009A033D">
            <w:pPr>
              <w:pStyle w:val="TableHeading"/>
              <w:rPr>
                <w:rFonts w:asciiTheme="minorHAnsi" w:hAnsiTheme="minorHAnsi" w:cstheme="minorHAnsi"/>
                <w:color w:val="auto"/>
                <w:szCs w:val="17"/>
              </w:rPr>
            </w:pPr>
            <w:r w:rsidRPr="00B57871">
              <w:rPr>
                <w:rFonts w:asciiTheme="minorHAnsi" w:hAnsiTheme="minorHAnsi" w:cstheme="minorHAnsi"/>
                <w:color w:val="auto"/>
                <w:szCs w:val="17"/>
              </w:rPr>
              <w:t>Description</w:t>
            </w:r>
          </w:p>
        </w:tc>
      </w:tr>
      <w:tr w:rsidR="00872113" w14:paraId="50B6E34D" w14:textId="77777777" w:rsidTr="00750033">
        <w:trPr>
          <w:trHeight w:val="621"/>
        </w:trPr>
        <w:tc>
          <w:tcPr>
            <w:tcW w:w="1843" w:type="dxa"/>
          </w:tcPr>
          <w:p w14:paraId="4D7F7A16" w14:textId="5343E4A9" w:rsidR="00872113" w:rsidRPr="00750033" w:rsidRDefault="00872113" w:rsidP="009A033D">
            <w:pPr>
              <w:pStyle w:val="TableHeading"/>
              <w:rPr>
                <w:rFonts w:asciiTheme="minorHAnsi" w:hAnsiTheme="minorHAnsi" w:cstheme="minorHAnsi"/>
                <w:color w:val="auto"/>
                <w:szCs w:val="17"/>
              </w:rPr>
            </w:pPr>
            <w:r w:rsidRPr="00750033">
              <w:rPr>
                <w:rFonts w:asciiTheme="minorHAnsi" w:hAnsiTheme="minorHAnsi" w:cstheme="minorHAnsi"/>
                <w:color w:val="auto"/>
                <w:szCs w:val="17"/>
              </w:rPr>
              <w:t>Australian Bureau of Statistics</w:t>
            </w:r>
          </w:p>
        </w:tc>
        <w:tc>
          <w:tcPr>
            <w:tcW w:w="1276" w:type="dxa"/>
          </w:tcPr>
          <w:p w14:paraId="24C5C4B4" w14:textId="5A06C579" w:rsidR="00872113" w:rsidRPr="00750033" w:rsidRDefault="00872113" w:rsidP="009A033D">
            <w:pPr>
              <w:pStyle w:val="TableHeading"/>
              <w:rPr>
                <w:rFonts w:asciiTheme="minorHAnsi" w:hAnsiTheme="minorHAnsi" w:cstheme="minorHAnsi"/>
                <w:color w:val="auto"/>
                <w:szCs w:val="17"/>
              </w:rPr>
            </w:pPr>
            <w:r w:rsidRPr="00750033">
              <w:rPr>
                <w:rFonts w:asciiTheme="minorHAnsi" w:hAnsiTheme="minorHAnsi" w:cstheme="minorHAnsi"/>
                <w:color w:val="auto"/>
                <w:szCs w:val="17"/>
              </w:rPr>
              <w:t>ABS</w:t>
            </w:r>
          </w:p>
        </w:tc>
        <w:tc>
          <w:tcPr>
            <w:tcW w:w="4961" w:type="dxa"/>
          </w:tcPr>
          <w:p w14:paraId="2E7B7150" w14:textId="225A521C" w:rsidR="00872113" w:rsidRPr="00750033" w:rsidRDefault="00750033" w:rsidP="009A033D">
            <w:pPr>
              <w:pStyle w:val="TableHeading"/>
              <w:rPr>
                <w:rFonts w:asciiTheme="minorHAnsi" w:hAnsiTheme="minorHAnsi" w:cstheme="minorHAnsi"/>
                <w:color w:val="auto"/>
                <w:szCs w:val="17"/>
              </w:rPr>
            </w:pPr>
            <w:r w:rsidRPr="00750033">
              <w:rPr>
                <w:rFonts w:asciiTheme="minorHAnsi" w:hAnsiTheme="minorHAnsi" w:cstheme="minorHAnsi"/>
                <w:color w:val="auto"/>
                <w:szCs w:val="17"/>
              </w:rPr>
              <w:t>An independent statutory agency of the Australian Government responsible for statistical collection and analysis.</w:t>
            </w:r>
          </w:p>
        </w:tc>
      </w:tr>
      <w:tr w:rsidR="008E75DB" w:rsidRPr="00E00B9E" w14:paraId="73A1B144" w14:textId="77777777" w:rsidTr="00750033">
        <w:tblPrEx>
          <w:tblBorders>
            <w:insideH w:val="single" w:sz="4" w:space="0" w:color="82C341" w:themeColor="background1"/>
          </w:tblBorders>
        </w:tblPrEx>
        <w:trPr>
          <w:trHeight w:val="839"/>
        </w:trPr>
        <w:tc>
          <w:tcPr>
            <w:tcW w:w="1843" w:type="dxa"/>
          </w:tcPr>
          <w:p w14:paraId="68A4C62A" w14:textId="77777777" w:rsidR="008E75DB" w:rsidRPr="00750033" w:rsidRDefault="008E75DB" w:rsidP="00F82786">
            <w:pPr>
              <w:pStyle w:val="TableText"/>
              <w:rPr>
                <w:rFonts w:cstheme="minorHAnsi"/>
                <w:szCs w:val="17"/>
              </w:rPr>
            </w:pPr>
            <w:r w:rsidRPr="00750033">
              <w:rPr>
                <w:rFonts w:cstheme="minorHAnsi"/>
                <w:szCs w:val="17"/>
              </w:rPr>
              <w:t>Commercial &amp; industrial waste</w:t>
            </w:r>
          </w:p>
        </w:tc>
        <w:tc>
          <w:tcPr>
            <w:tcW w:w="1276" w:type="dxa"/>
          </w:tcPr>
          <w:p w14:paraId="14533378" w14:textId="77777777" w:rsidR="008E75DB" w:rsidRPr="00750033" w:rsidRDefault="008E75DB" w:rsidP="00F82786">
            <w:pPr>
              <w:pStyle w:val="TableText"/>
              <w:rPr>
                <w:rFonts w:cstheme="minorHAnsi"/>
                <w:szCs w:val="17"/>
              </w:rPr>
            </w:pPr>
            <w:r w:rsidRPr="00750033">
              <w:rPr>
                <w:rFonts w:cstheme="minorHAnsi"/>
                <w:szCs w:val="17"/>
              </w:rPr>
              <w:t>C&amp;I</w:t>
            </w:r>
          </w:p>
        </w:tc>
        <w:tc>
          <w:tcPr>
            <w:tcW w:w="4961" w:type="dxa"/>
          </w:tcPr>
          <w:p w14:paraId="56EA3FE2" w14:textId="2ACC2A4B" w:rsidR="008E75DB" w:rsidRPr="00750033" w:rsidRDefault="008E75DB" w:rsidP="00F82786">
            <w:pPr>
              <w:pStyle w:val="TableText"/>
              <w:rPr>
                <w:rFonts w:cstheme="minorHAnsi"/>
                <w:szCs w:val="17"/>
              </w:rPr>
            </w:pPr>
            <w:r w:rsidRPr="00750033">
              <w:rPr>
                <w:rFonts w:cstheme="minorHAnsi"/>
                <w:szCs w:val="17"/>
              </w:rPr>
              <w:t xml:space="preserve">Solid materials and waste generated from trade, commercial and industrial activities, including the government sector. It includes waste from offices, manufacturing, factories, schools, universities, state and government operations, and small to medium enterprises, </w:t>
            </w:r>
            <w:proofErr w:type="gramStart"/>
            <w:r w:rsidRPr="00750033">
              <w:rPr>
                <w:rFonts w:cstheme="minorHAnsi"/>
                <w:szCs w:val="17"/>
              </w:rPr>
              <w:t>e.g.</w:t>
            </w:r>
            <w:proofErr w:type="gramEnd"/>
            <w:r w:rsidRPr="00750033">
              <w:rPr>
                <w:rFonts w:cstheme="minorHAnsi"/>
                <w:szCs w:val="17"/>
              </w:rPr>
              <w:t xml:space="preserve"> food organics.</w:t>
            </w:r>
          </w:p>
        </w:tc>
      </w:tr>
      <w:tr w:rsidR="00926D52" w:rsidRPr="00E00B9E" w14:paraId="233A20A8" w14:textId="77777777" w:rsidTr="00750033">
        <w:tblPrEx>
          <w:tblBorders>
            <w:insideH w:val="single" w:sz="4" w:space="0" w:color="82C341" w:themeColor="background1"/>
          </w:tblBorders>
        </w:tblPrEx>
        <w:trPr>
          <w:trHeight w:val="606"/>
        </w:trPr>
        <w:tc>
          <w:tcPr>
            <w:tcW w:w="1843" w:type="dxa"/>
          </w:tcPr>
          <w:p w14:paraId="61F82DC6" w14:textId="77777777" w:rsidR="00926D52" w:rsidRPr="00750033" w:rsidRDefault="00926D52" w:rsidP="00C46E0B">
            <w:pPr>
              <w:pStyle w:val="TableText"/>
              <w:rPr>
                <w:rFonts w:cstheme="minorHAnsi"/>
                <w:szCs w:val="17"/>
              </w:rPr>
            </w:pPr>
            <w:r w:rsidRPr="00750033">
              <w:rPr>
                <w:rFonts w:cstheme="minorHAnsi"/>
                <w:szCs w:val="17"/>
              </w:rPr>
              <w:t>Construction &amp; demolition waste</w:t>
            </w:r>
          </w:p>
        </w:tc>
        <w:tc>
          <w:tcPr>
            <w:tcW w:w="1276" w:type="dxa"/>
          </w:tcPr>
          <w:p w14:paraId="0900F600" w14:textId="77777777" w:rsidR="00926D52" w:rsidRPr="00750033" w:rsidRDefault="00926D52" w:rsidP="00C46E0B">
            <w:pPr>
              <w:pStyle w:val="TableText"/>
              <w:rPr>
                <w:rFonts w:cstheme="minorHAnsi"/>
                <w:szCs w:val="17"/>
              </w:rPr>
            </w:pPr>
            <w:r w:rsidRPr="00750033">
              <w:rPr>
                <w:rFonts w:cstheme="minorHAnsi"/>
                <w:szCs w:val="17"/>
              </w:rPr>
              <w:t>C&amp;D</w:t>
            </w:r>
          </w:p>
        </w:tc>
        <w:tc>
          <w:tcPr>
            <w:tcW w:w="4961" w:type="dxa"/>
          </w:tcPr>
          <w:p w14:paraId="04EA1527" w14:textId="77777777" w:rsidR="00926D52" w:rsidRPr="00750033" w:rsidRDefault="00926D52" w:rsidP="00C46E0B">
            <w:pPr>
              <w:pStyle w:val="TableText"/>
              <w:rPr>
                <w:rFonts w:cstheme="minorHAnsi"/>
                <w:szCs w:val="17"/>
              </w:rPr>
            </w:pPr>
            <w:r w:rsidRPr="00750033">
              <w:rPr>
                <w:rFonts w:cstheme="minorHAnsi"/>
                <w:szCs w:val="17"/>
              </w:rPr>
              <w:t xml:space="preserve">Solid materials and waste generated from residential and commercial construction and demolition activities, </w:t>
            </w:r>
            <w:proofErr w:type="gramStart"/>
            <w:r w:rsidRPr="00750033">
              <w:rPr>
                <w:rFonts w:cstheme="minorHAnsi"/>
                <w:szCs w:val="17"/>
              </w:rPr>
              <w:t>e.g.</w:t>
            </w:r>
            <w:proofErr w:type="gramEnd"/>
            <w:r w:rsidRPr="00750033">
              <w:rPr>
                <w:rFonts w:cstheme="minorHAnsi"/>
                <w:szCs w:val="17"/>
              </w:rPr>
              <w:t xml:space="preserve"> bricks and concrete.</w:t>
            </w:r>
          </w:p>
        </w:tc>
      </w:tr>
      <w:tr w:rsidR="002961D7" w:rsidRPr="00E00B9E" w14:paraId="6F001F36" w14:textId="77777777" w:rsidTr="00750033">
        <w:tblPrEx>
          <w:tblBorders>
            <w:insideH w:val="single" w:sz="4" w:space="0" w:color="82C341" w:themeColor="background1"/>
          </w:tblBorders>
        </w:tblPrEx>
        <w:trPr>
          <w:trHeight w:val="606"/>
        </w:trPr>
        <w:tc>
          <w:tcPr>
            <w:tcW w:w="1843" w:type="dxa"/>
          </w:tcPr>
          <w:p w14:paraId="5672F9C5" w14:textId="367E5B04" w:rsidR="002961D7" w:rsidRPr="00750033" w:rsidRDefault="002961D7" w:rsidP="00F82786">
            <w:pPr>
              <w:pStyle w:val="TableText"/>
              <w:rPr>
                <w:rFonts w:cstheme="minorHAnsi"/>
                <w:szCs w:val="17"/>
              </w:rPr>
            </w:pPr>
            <w:r w:rsidRPr="00750033">
              <w:rPr>
                <w:rFonts w:cstheme="minorHAnsi"/>
                <w:szCs w:val="17"/>
              </w:rPr>
              <w:t>Container deposit scheme</w:t>
            </w:r>
          </w:p>
        </w:tc>
        <w:tc>
          <w:tcPr>
            <w:tcW w:w="1276" w:type="dxa"/>
          </w:tcPr>
          <w:p w14:paraId="13E4CBB7" w14:textId="4C8AA837" w:rsidR="002961D7" w:rsidRPr="00750033" w:rsidRDefault="002961D7" w:rsidP="00F82786">
            <w:pPr>
              <w:pStyle w:val="TableText"/>
              <w:rPr>
                <w:rFonts w:cstheme="minorHAnsi"/>
                <w:szCs w:val="17"/>
              </w:rPr>
            </w:pPr>
            <w:r w:rsidRPr="00750033">
              <w:rPr>
                <w:rFonts w:cstheme="minorHAnsi"/>
                <w:szCs w:val="17"/>
              </w:rPr>
              <w:t>CDS</w:t>
            </w:r>
          </w:p>
        </w:tc>
        <w:tc>
          <w:tcPr>
            <w:tcW w:w="4961" w:type="dxa"/>
          </w:tcPr>
          <w:p w14:paraId="4B67FA74" w14:textId="0B841A83" w:rsidR="002961D7" w:rsidRPr="00750033" w:rsidRDefault="00F32C39" w:rsidP="00F82786">
            <w:pPr>
              <w:pStyle w:val="TableText"/>
              <w:rPr>
                <w:rFonts w:cstheme="minorHAnsi"/>
                <w:szCs w:val="17"/>
              </w:rPr>
            </w:pPr>
            <w:r w:rsidRPr="00750033">
              <w:rPr>
                <w:rFonts w:cstheme="minorHAnsi"/>
                <w:szCs w:val="17"/>
              </w:rPr>
              <w:t xml:space="preserve">A government scheme to incentivise more and better recycling by offering a cash reward for the return of drink cans, </w:t>
            </w:r>
            <w:proofErr w:type="gramStart"/>
            <w:r w:rsidRPr="00750033">
              <w:rPr>
                <w:rFonts w:cstheme="minorHAnsi"/>
                <w:szCs w:val="17"/>
              </w:rPr>
              <w:t>bottles</w:t>
            </w:r>
            <w:proofErr w:type="gramEnd"/>
            <w:r w:rsidRPr="00750033">
              <w:rPr>
                <w:rFonts w:cstheme="minorHAnsi"/>
                <w:szCs w:val="17"/>
              </w:rPr>
              <w:t xml:space="preserve"> and cartons.</w:t>
            </w:r>
          </w:p>
        </w:tc>
      </w:tr>
      <w:tr w:rsidR="00926D52" w:rsidRPr="00E00B9E" w14:paraId="00CD7B7D" w14:textId="77777777" w:rsidTr="00750033">
        <w:tblPrEx>
          <w:tblBorders>
            <w:insideH w:val="single" w:sz="4" w:space="0" w:color="82C341" w:themeColor="background1"/>
          </w:tblBorders>
        </w:tblPrEx>
        <w:trPr>
          <w:trHeight w:val="606"/>
        </w:trPr>
        <w:tc>
          <w:tcPr>
            <w:tcW w:w="1843" w:type="dxa"/>
          </w:tcPr>
          <w:p w14:paraId="4526DB83" w14:textId="39D31767" w:rsidR="00926D52" w:rsidRPr="00750033" w:rsidRDefault="00926D52" w:rsidP="00926D52">
            <w:pPr>
              <w:pStyle w:val="TableText"/>
              <w:rPr>
                <w:rFonts w:cstheme="minorHAnsi"/>
                <w:szCs w:val="17"/>
              </w:rPr>
            </w:pPr>
            <w:r w:rsidRPr="00750033">
              <w:rPr>
                <w:rFonts w:cstheme="minorHAnsi"/>
                <w:szCs w:val="17"/>
              </w:rPr>
              <w:t>Coronavirus disease 2019</w:t>
            </w:r>
          </w:p>
        </w:tc>
        <w:tc>
          <w:tcPr>
            <w:tcW w:w="1276" w:type="dxa"/>
          </w:tcPr>
          <w:p w14:paraId="7EC00375" w14:textId="72358C34" w:rsidR="00926D52" w:rsidRPr="00750033" w:rsidRDefault="00926D52" w:rsidP="00926D52">
            <w:pPr>
              <w:pStyle w:val="TableText"/>
              <w:rPr>
                <w:rFonts w:cstheme="minorHAnsi"/>
                <w:szCs w:val="17"/>
              </w:rPr>
            </w:pPr>
            <w:r w:rsidRPr="00750033">
              <w:rPr>
                <w:rFonts w:cstheme="minorHAnsi"/>
                <w:szCs w:val="17"/>
              </w:rPr>
              <w:t>COVID, COVID-19</w:t>
            </w:r>
          </w:p>
        </w:tc>
        <w:tc>
          <w:tcPr>
            <w:tcW w:w="4961" w:type="dxa"/>
          </w:tcPr>
          <w:p w14:paraId="27519BA9" w14:textId="17B0C12E" w:rsidR="00926D52" w:rsidRPr="00750033" w:rsidRDefault="00926D52" w:rsidP="00926D52">
            <w:pPr>
              <w:pStyle w:val="TableText"/>
              <w:rPr>
                <w:rFonts w:cstheme="minorHAnsi"/>
                <w:szCs w:val="17"/>
              </w:rPr>
            </w:pPr>
            <w:r w:rsidRPr="00750033">
              <w:rPr>
                <w:rFonts w:cstheme="minorHAnsi"/>
                <w:szCs w:val="17"/>
                <w:lang w:eastAsia="en-AU"/>
              </w:rPr>
              <w:t>Coronavirus, also known as COVID</w:t>
            </w:r>
            <w:r w:rsidR="007864F9">
              <w:rPr>
                <w:rFonts w:cstheme="minorHAnsi"/>
                <w:szCs w:val="17"/>
                <w:lang w:eastAsia="en-AU"/>
              </w:rPr>
              <w:t>-19</w:t>
            </w:r>
            <w:r w:rsidRPr="00750033">
              <w:rPr>
                <w:rFonts w:cstheme="minorHAnsi"/>
                <w:szCs w:val="17"/>
                <w:lang w:eastAsia="en-AU"/>
              </w:rPr>
              <w:t>, is the contagious respiratory disease that began in 2019 and has resulted in an ongoing global pandemic.</w:t>
            </w:r>
          </w:p>
        </w:tc>
      </w:tr>
      <w:tr w:rsidR="00926D52" w:rsidRPr="00E00B9E" w14:paraId="7DC91D2E" w14:textId="77777777" w:rsidTr="00750033">
        <w:tblPrEx>
          <w:tblBorders>
            <w:insideH w:val="single" w:sz="4" w:space="0" w:color="82C341" w:themeColor="background1"/>
          </w:tblBorders>
        </w:tblPrEx>
        <w:trPr>
          <w:trHeight w:val="606"/>
        </w:trPr>
        <w:tc>
          <w:tcPr>
            <w:tcW w:w="1843" w:type="dxa"/>
          </w:tcPr>
          <w:p w14:paraId="6570976E" w14:textId="03D0FD27" w:rsidR="00926D52" w:rsidRPr="00750033" w:rsidRDefault="00926D52" w:rsidP="00926D52">
            <w:pPr>
              <w:pStyle w:val="TableText"/>
              <w:rPr>
                <w:rFonts w:cstheme="minorHAnsi"/>
                <w:szCs w:val="17"/>
              </w:rPr>
            </w:pPr>
            <w:r w:rsidRPr="00750033">
              <w:rPr>
                <w:rFonts w:cstheme="minorHAnsi"/>
                <w:szCs w:val="17"/>
              </w:rPr>
              <w:t>Council of Australian Governments</w:t>
            </w:r>
          </w:p>
        </w:tc>
        <w:tc>
          <w:tcPr>
            <w:tcW w:w="1276" w:type="dxa"/>
          </w:tcPr>
          <w:p w14:paraId="2B6E3FA3" w14:textId="038C7266" w:rsidR="00926D52" w:rsidRPr="00750033" w:rsidRDefault="00926D52" w:rsidP="00926D52">
            <w:pPr>
              <w:pStyle w:val="TableText"/>
              <w:rPr>
                <w:rFonts w:cstheme="minorHAnsi"/>
                <w:szCs w:val="17"/>
              </w:rPr>
            </w:pPr>
            <w:r w:rsidRPr="00750033">
              <w:rPr>
                <w:rFonts w:cstheme="minorHAnsi"/>
                <w:szCs w:val="17"/>
              </w:rPr>
              <w:t>COAG</w:t>
            </w:r>
          </w:p>
        </w:tc>
        <w:tc>
          <w:tcPr>
            <w:tcW w:w="4961" w:type="dxa"/>
          </w:tcPr>
          <w:p w14:paraId="3F8C208A" w14:textId="3E0D737E" w:rsidR="00926D52" w:rsidRPr="00750033" w:rsidRDefault="00926D52" w:rsidP="00926D52">
            <w:pPr>
              <w:pStyle w:val="TableText"/>
              <w:rPr>
                <w:rFonts w:cstheme="minorHAnsi"/>
                <w:szCs w:val="17"/>
                <w:lang w:eastAsia="en-AU"/>
              </w:rPr>
            </w:pPr>
            <w:r w:rsidRPr="00750033">
              <w:rPr>
                <w:rFonts w:cstheme="minorHAnsi"/>
                <w:szCs w:val="17"/>
              </w:rPr>
              <w:t>An intergovernmental forum in Australia whose role is to manage matters of national significance or matters that need coordinated action by all Australian governments.</w:t>
            </w:r>
          </w:p>
        </w:tc>
      </w:tr>
      <w:tr w:rsidR="00926D52" w:rsidRPr="00E00B9E" w14:paraId="6A550DBE" w14:textId="77777777" w:rsidTr="00750033">
        <w:tblPrEx>
          <w:tblBorders>
            <w:insideH w:val="single" w:sz="4" w:space="0" w:color="82C341" w:themeColor="background1"/>
          </w:tblBorders>
        </w:tblPrEx>
        <w:trPr>
          <w:trHeight w:val="1056"/>
        </w:trPr>
        <w:tc>
          <w:tcPr>
            <w:tcW w:w="1843" w:type="dxa"/>
          </w:tcPr>
          <w:p w14:paraId="5F99443C" w14:textId="02AFA685" w:rsidR="00926D52" w:rsidRPr="00750033" w:rsidRDefault="00926D52" w:rsidP="00926D52">
            <w:pPr>
              <w:pStyle w:val="TableText"/>
              <w:rPr>
                <w:rFonts w:cstheme="minorHAnsi"/>
                <w:szCs w:val="17"/>
              </w:rPr>
            </w:pPr>
            <w:r w:rsidRPr="00750033">
              <w:rPr>
                <w:rFonts w:cstheme="minorHAnsi"/>
                <w:szCs w:val="17"/>
              </w:rPr>
              <w:t>Department of Environment, Land, Water and Planning</w:t>
            </w:r>
          </w:p>
        </w:tc>
        <w:tc>
          <w:tcPr>
            <w:tcW w:w="1276" w:type="dxa"/>
          </w:tcPr>
          <w:p w14:paraId="15DBA7D0" w14:textId="77777777" w:rsidR="00926D52" w:rsidRPr="00750033" w:rsidRDefault="00926D52" w:rsidP="00926D52">
            <w:pPr>
              <w:pStyle w:val="TableText"/>
              <w:rPr>
                <w:rFonts w:cstheme="minorHAnsi"/>
                <w:szCs w:val="17"/>
              </w:rPr>
            </w:pPr>
            <w:r w:rsidRPr="00750033">
              <w:rPr>
                <w:rFonts w:cstheme="minorHAnsi"/>
                <w:szCs w:val="17"/>
              </w:rPr>
              <w:t>DELWP</w:t>
            </w:r>
          </w:p>
        </w:tc>
        <w:tc>
          <w:tcPr>
            <w:tcW w:w="4961" w:type="dxa"/>
          </w:tcPr>
          <w:p w14:paraId="26C18D43" w14:textId="77777777" w:rsidR="00926D52" w:rsidRPr="00750033" w:rsidRDefault="00926D52" w:rsidP="00926D52">
            <w:pPr>
              <w:pStyle w:val="TableText"/>
              <w:rPr>
                <w:rFonts w:cstheme="minorHAnsi"/>
                <w:szCs w:val="17"/>
              </w:rPr>
            </w:pPr>
            <w:r w:rsidRPr="00750033">
              <w:rPr>
                <w:rFonts w:cstheme="minorHAnsi"/>
                <w:szCs w:val="17"/>
              </w:rPr>
              <w:t>Victorian Government department providing policy planning, preparation of legislative amendments, leadership coordination and oversight of the environment portfolio.</w:t>
            </w:r>
          </w:p>
        </w:tc>
      </w:tr>
      <w:tr w:rsidR="00926D52" w:rsidRPr="00E00B9E" w14:paraId="65E1553D" w14:textId="77777777" w:rsidTr="00750033">
        <w:tblPrEx>
          <w:tblBorders>
            <w:insideH w:val="single" w:sz="4" w:space="0" w:color="82C341" w:themeColor="background1"/>
          </w:tblBorders>
        </w:tblPrEx>
        <w:trPr>
          <w:trHeight w:val="606"/>
        </w:trPr>
        <w:tc>
          <w:tcPr>
            <w:tcW w:w="1843" w:type="dxa"/>
          </w:tcPr>
          <w:p w14:paraId="5BFD1A06" w14:textId="77777777" w:rsidR="00926D52" w:rsidRPr="00750033" w:rsidRDefault="00926D52" w:rsidP="00926D52">
            <w:pPr>
              <w:pStyle w:val="TableText"/>
              <w:rPr>
                <w:rFonts w:cstheme="minorHAnsi"/>
                <w:szCs w:val="17"/>
              </w:rPr>
            </w:pPr>
            <w:r w:rsidRPr="00750033">
              <w:rPr>
                <w:rFonts w:cstheme="minorHAnsi"/>
                <w:szCs w:val="17"/>
              </w:rPr>
              <w:t>Environment Protection Authority</w:t>
            </w:r>
          </w:p>
        </w:tc>
        <w:tc>
          <w:tcPr>
            <w:tcW w:w="1276" w:type="dxa"/>
          </w:tcPr>
          <w:p w14:paraId="17DC3684" w14:textId="77777777" w:rsidR="00926D52" w:rsidRPr="00750033" w:rsidRDefault="00926D52" w:rsidP="00926D52">
            <w:pPr>
              <w:pStyle w:val="TableText"/>
              <w:rPr>
                <w:rFonts w:cstheme="minorHAnsi"/>
                <w:szCs w:val="17"/>
              </w:rPr>
            </w:pPr>
            <w:r w:rsidRPr="00750033">
              <w:rPr>
                <w:rFonts w:cstheme="minorHAnsi"/>
                <w:szCs w:val="17"/>
              </w:rPr>
              <w:t>EPA</w:t>
            </w:r>
          </w:p>
        </w:tc>
        <w:tc>
          <w:tcPr>
            <w:tcW w:w="4961" w:type="dxa"/>
          </w:tcPr>
          <w:p w14:paraId="762433BA" w14:textId="77777777" w:rsidR="00926D52" w:rsidRPr="00750033" w:rsidRDefault="00926D52" w:rsidP="00926D52">
            <w:pPr>
              <w:pStyle w:val="TableText"/>
              <w:rPr>
                <w:rFonts w:cstheme="minorHAnsi"/>
                <w:szCs w:val="17"/>
              </w:rPr>
            </w:pPr>
            <w:r w:rsidRPr="00750033">
              <w:rPr>
                <w:rFonts w:cstheme="minorHAnsi"/>
                <w:szCs w:val="17"/>
              </w:rPr>
              <w:t>EPA Victoria’s role is to be an effective environmental regulator and an influential authority on environmental impacts.</w:t>
            </w:r>
          </w:p>
        </w:tc>
      </w:tr>
      <w:tr w:rsidR="00926D52" w:rsidRPr="00E00B9E" w14:paraId="3DBA5448" w14:textId="77777777" w:rsidTr="00750033">
        <w:tblPrEx>
          <w:tblBorders>
            <w:insideH w:val="single" w:sz="4" w:space="0" w:color="82C341" w:themeColor="background1"/>
          </w:tblBorders>
        </w:tblPrEx>
        <w:trPr>
          <w:trHeight w:val="606"/>
        </w:trPr>
        <w:tc>
          <w:tcPr>
            <w:tcW w:w="1843" w:type="dxa"/>
          </w:tcPr>
          <w:p w14:paraId="108FE9F1" w14:textId="77777777" w:rsidR="00926D52" w:rsidRPr="00750033" w:rsidRDefault="00926D52" w:rsidP="00926D52">
            <w:pPr>
              <w:pStyle w:val="TableText"/>
              <w:rPr>
                <w:rFonts w:cstheme="minorHAnsi"/>
                <w:szCs w:val="17"/>
              </w:rPr>
            </w:pPr>
            <w:r w:rsidRPr="00750033">
              <w:rPr>
                <w:rFonts w:cstheme="minorHAnsi"/>
                <w:szCs w:val="17"/>
              </w:rPr>
              <w:t>Food organics</w:t>
            </w:r>
          </w:p>
        </w:tc>
        <w:tc>
          <w:tcPr>
            <w:tcW w:w="1276" w:type="dxa"/>
          </w:tcPr>
          <w:p w14:paraId="7C0E81C9" w14:textId="77777777" w:rsidR="00926D52" w:rsidRPr="00750033" w:rsidRDefault="00926D52" w:rsidP="00926D52">
            <w:pPr>
              <w:pStyle w:val="TableText"/>
              <w:rPr>
                <w:rFonts w:cstheme="minorHAnsi"/>
                <w:szCs w:val="17"/>
              </w:rPr>
            </w:pPr>
          </w:p>
        </w:tc>
        <w:tc>
          <w:tcPr>
            <w:tcW w:w="4961" w:type="dxa"/>
          </w:tcPr>
          <w:p w14:paraId="539607E9" w14:textId="48425AD2" w:rsidR="00926D52" w:rsidRPr="00750033" w:rsidRDefault="00926D52" w:rsidP="00926D52">
            <w:pPr>
              <w:pStyle w:val="TableText"/>
              <w:rPr>
                <w:rFonts w:cstheme="minorHAnsi"/>
                <w:szCs w:val="17"/>
              </w:rPr>
            </w:pPr>
            <w:r w:rsidRPr="00750033">
              <w:rPr>
                <w:rFonts w:cstheme="minorHAnsi"/>
                <w:szCs w:val="17"/>
              </w:rPr>
              <w:t xml:space="preserve">Food materials discarded from households or industry, including food processing waste, out-of-date or off-specification food, meat, </w:t>
            </w:r>
            <w:proofErr w:type="gramStart"/>
            <w:r w:rsidRPr="00750033">
              <w:rPr>
                <w:rFonts w:cstheme="minorHAnsi"/>
                <w:szCs w:val="17"/>
              </w:rPr>
              <w:t>fruit</w:t>
            </w:r>
            <w:proofErr w:type="gramEnd"/>
            <w:r w:rsidRPr="00750033">
              <w:rPr>
                <w:rFonts w:cstheme="minorHAnsi"/>
                <w:szCs w:val="17"/>
              </w:rPr>
              <w:t xml:space="preserve"> and vegetable scraps. Excludes liquid waste.</w:t>
            </w:r>
          </w:p>
        </w:tc>
      </w:tr>
      <w:tr w:rsidR="00696479" w:rsidRPr="00E00B9E" w14:paraId="36922B3C" w14:textId="77777777" w:rsidTr="00750033">
        <w:tblPrEx>
          <w:tblBorders>
            <w:insideH w:val="single" w:sz="4" w:space="0" w:color="82C341" w:themeColor="background1"/>
          </w:tblBorders>
        </w:tblPrEx>
        <w:trPr>
          <w:trHeight w:val="606"/>
        </w:trPr>
        <w:tc>
          <w:tcPr>
            <w:tcW w:w="1843" w:type="dxa"/>
          </w:tcPr>
          <w:p w14:paraId="715B2D51" w14:textId="77777777" w:rsidR="00696479" w:rsidRPr="00750033" w:rsidRDefault="00696479" w:rsidP="005E48AE">
            <w:pPr>
              <w:pStyle w:val="TableText"/>
              <w:rPr>
                <w:rFonts w:cstheme="minorHAnsi"/>
                <w:szCs w:val="17"/>
              </w:rPr>
            </w:pPr>
            <w:r w:rsidRPr="00750033">
              <w:rPr>
                <w:rFonts w:cstheme="minorHAnsi"/>
                <w:szCs w:val="17"/>
              </w:rPr>
              <w:t>Food organics and garden organics</w:t>
            </w:r>
          </w:p>
        </w:tc>
        <w:tc>
          <w:tcPr>
            <w:tcW w:w="1276" w:type="dxa"/>
          </w:tcPr>
          <w:p w14:paraId="51E65F1B" w14:textId="77777777" w:rsidR="00696479" w:rsidRPr="00750033" w:rsidRDefault="00696479" w:rsidP="005E48AE">
            <w:pPr>
              <w:pStyle w:val="TableText"/>
              <w:rPr>
                <w:rFonts w:cstheme="minorHAnsi"/>
                <w:szCs w:val="17"/>
              </w:rPr>
            </w:pPr>
            <w:r w:rsidRPr="00750033">
              <w:rPr>
                <w:rFonts w:cstheme="minorHAnsi"/>
                <w:szCs w:val="17"/>
              </w:rPr>
              <w:t>FOGO</w:t>
            </w:r>
          </w:p>
        </w:tc>
        <w:tc>
          <w:tcPr>
            <w:tcW w:w="4961" w:type="dxa"/>
          </w:tcPr>
          <w:p w14:paraId="0DDB7131" w14:textId="29453B9D" w:rsidR="00696479" w:rsidRPr="00750033" w:rsidRDefault="00696479" w:rsidP="005E48AE">
            <w:pPr>
              <w:pStyle w:val="TableText"/>
              <w:rPr>
                <w:rFonts w:cstheme="minorHAnsi"/>
                <w:szCs w:val="17"/>
              </w:rPr>
            </w:pPr>
            <w:r w:rsidRPr="00750033">
              <w:rPr>
                <w:rFonts w:cstheme="minorHAnsi"/>
                <w:szCs w:val="17"/>
              </w:rPr>
              <w:t xml:space="preserve">Acronym for </w:t>
            </w:r>
            <w:r w:rsidRPr="00750033">
              <w:rPr>
                <w:rFonts w:cstheme="minorHAnsi"/>
                <w:b/>
                <w:szCs w:val="17"/>
              </w:rPr>
              <w:t>f</w:t>
            </w:r>
            <w:r w:rsidRPr="00750033">
              <w:rPr>
                <w:rFonts w:cstheme="minorHAnsi"/>
                <w:szCs w:val="17"/>
              </w:rPr>
              <w:t xml:space="preserve">ood </w:t>
            </w:r>
            <w:r w:rsidRPr="00750033">
              <w:rPr>
                <w:rFonts w:cstheme="minorHAnsi"/>
                <w:b/>
                <w:szCs w:val="17"/>
              </w:rPr>
              <w:t>o</w:t>
            </w:r>
            <w:r w:rsidRPr="00750033">
              <w:rPr>
                <w:rFonts w:cstheme="minorHAnsi"/>
                <w:szCs w:val="17"/>
              </w:rPr>
              <w:t xml:space="preserve">rganics / </w:t>
            </w:r>
            <w:r w:rsidRPr="00750033">
              <w:rPr>
                <w:rFonts w:cstheme="minorHAnsi"/>
                <w:b/>
                <w:szCs w:val="17"/>
              </w:rPr>
              <w:t>g</w:t>
            </w:r>
            <w:r w:rsidRPr="00750033">
              <w:rPr>
                <w:rFonts w:cstheme="minorHAnsi"/>
                <w:szCs w:val="17"/>
              </w:rPr>
              <w:t xml:space="preserve">arden </w:t>
            </w:r>
            <w:r w:rsidRPr="00750033">
              <w:rPr>
                <w:rFonts w:cstheme="minorHAnsi"/>
                <w:b/>
                <w:szCs w:val="17"/>
              </w:rPr>
              <w:t>o</w:t>
            </w:r>
            <w:r w:rsidRPr="00750033">
              <w:rPr>
                <w:rFonts w:cstheme="minorHAnsi"/>
                <w:szCs w:val="17"/>
              </w:rPr>
              <w:t>rganics. FOGO are disposed of directly into the kerbside garden organics bin system.</w:t>
            </w:r>
          </w:p>
        </w:tc>
      </w:tr>
      <w:tr w:rsidR="00926D52" w:rsidRPr="00E00B9E" w14:paraId="711FEE8C" w14:textId="77777777" w:rsidTr="00750033">
        <w:tblPrEx>
          <w:tblBorders>
            <w:insideH w:val="single" w:sz="4" w:space="0" w:color="82C341" w:themeColor="background1"/>
          </w:tblBorders>
        </w:tblPrEx>
        <w:trPr>
          <w:trHeight w:val="373"/>
        </w:trPr>
        <w:tc>
          <w:tcPr>
            <w:tcW w:w="1843" w:type="dxa"/>
          </w:tcPr>
          <w:p w14:paraId="30401171" w14:textId="77777777" w:rsidR="00926D52" w:rsidRPr="00750033" w:rsidRDefault="00926D52" w:rsidP="00926D52">
            <w:pPr>
              <w:pStyle w:val="TableText"/>
              <w:rPr>
                <w:rFonts w:cstheme="minorHAnsi"/>
                <w:szCs w:val="17"/>
              </w:rPr>
            </w:pPr>
            <w:r w:rsidRPr="00750033">
              <w:rPr>
                <w:rFonts w:cstheme="minorHAnsi"/>
                <w:szCs w:val="17"/>
              </w:rPr>
              <w:t>Garden organics</w:t>
            </w:r>
          </w:p>
        </w:tc>
        <w:tc>
          <w:tcPr>
            <w:tcW w:w="1276" w:type="dxa"/>
          </w:tcPr>
          <w:p w14:paraId="24E9FA3D" w14:textId="77777777" w:rsidR="00926D52" w:rsidRPr="00750033" w:rsidRDefault="00926D52" w:rsidP="00926D52">
            <w:pPr>
              <w:pStyle w:val="TableText"/>
              <w:rPr>
                <w:rFonts w:cstheme="minorHAnsi"/>
                <w:szCs w:val="17"/>
              </w:rPr>
            </w:pPr>
          </w:p>
        </w:tc>
        <w:tc>
          <w:tcPr>
            <w:tcW w:w="4961" w:type="dxa"/>
          </w:tcPr>
          <w:p w14:paraId="3F31B600" w14:textId="600CBA38" w:rsidR="00926D52" w:rsidRPr="00750033" w:rsidRDefault="00926D52" w:rsidP="00926D52">
            <w:pPr>
              <w:pStyle w:val="TableText"/>
              <w:rPr>
                <w:rFonts w:cstheme="minorHAnsi"/>
                <w:szCs w:val="17"/>
              </w:rPr>
            </w:pPr>
            <w:r w:rsidRPr="00750033">
              <w:rPr>
                <w:rFonts w:cstheme="minorHAnsi"/>
                <w:szCs w:val="17"/>
              </w:rPr>
              <w:t xml:space="preserve">Organics derived from garden sources, such as grass clippings and tree </w:t>
            </w:r>
            <w:proofErr w:type="spellStart"/>
            <w:r w:rsidRPr="00750033">
              <w:rPr>
                <w:rFonts w:cstheme="minorHAnsi"/>
                <w:szCs w:val="17"/>
              </w:rPr>
              <w:t>prunings</w:t>
            </w:r>
            <w:proofErr w:type="spellEnd"/>
            <w:r w:rsidRPr="00750033">
              <w:rPr>
                <w:rFonts w:cstheme="minorHAnsi"/>
                <w:szCs w:val="17"/>
              </w:rPr>
              <w:t>.</w:t>
            </w:r>
          </w:p>
        </w:tc>
      </w:tr>
      <w:tr w:rsidR="00926D52" w:rsidRPr="00E00B9E" w14:paraId="0B8CF7FC" w14:textId="77777777" w:rsidTr="00750033">
        <w:tblPrEx>
          <w:tblBorders>
            <w:insideH w:val="single" w:sz="4" w:space="0" w:color="82C341" w:themeColor="background1"/>
          </w:tblBorders>
        </w:tblPrEx>
        <w:trPr>
          <w:trHeight w:val="606"/>
        </w:trPr>
        <w:tc>
          <w:tcPr>
            <w:tcW w:w="1843" w:type="dxa"/>
          </w:tcPr>
          <w:p w14:paraId="17C2FDFC" w14:textId="043F9C4A" w:rsidR="00926D52" w:rsidRPr="00750033" w:rsidRDefault="00926D52" w:rsidP="00926D52">
            <w:pPr>
              <w:pStyle w:val="TableText"/>
              <w:rPr>
                <w:rFonts w:cstheme="minorHAnsi"/>
                <w:szCs w:val="17"/>
              </w:rPr>
            </w:pPr>
            <w:r w:rsidRPr="00750033">
              <w:rPr>
                <w:rFonts w:cstheme="minorHAnsi"/>
                <w:szCs w:val="17"/>
              </w:rPr>
              <w:lastRenderedPageBreak/>
              <w:t>Gross state product</w:t>
            </w:r>
          </w:p>
        </w:tc>
        <w:tc>
          <w:tcPr>
            <w:tcW w:w="1276" w:type="dxa"/>
          </w:tcPr>
          <w:p w14:paraId="2E966C16" w14:textId="79BBAA42" w:rsidR="00926D52" w:rsidRPr="00750033" w:rsidRDefault="00926D52" w:rsidP="00926D52">
            <w:pPr>
              <w:pStyle w:val="TableText"/>
              <w:rPr>
                <w:rFonts w:cstheme="minorHAnsi"/>
                <w:color w:val="auto"/>
                <w:szCs w:val="17"/>
              </w:rPr>
            </w:pPr>
            <w:r w:rsidRPr="00750033">
              <w:rPr>
                <w:rFonts w:cstheme="minorHAnsi"/>
                <w:color w:val="auto"/>
                <w:szCs w:val="17"/>
              </w:rPr>
              <w:t>GSP</w:t>
            </w:r>
          </w:p>
        </w:tc>
        <w:tc>
          <w:tcPr>
            <w:tcW w:w="4961" w:type="dxa"/>
          </w:tcPr>
          <w:p w14:paraId="5BBD6307" w14:textId="20AF5F6C" w:rsidR="00926D52" w:rsidRPr="00750033" w:rsidRDefault="00926D52" w:rsidP="00926D52">
            <w:pPr>
              <w:pStyle w:val="TableText"/>
              <w:rPr>
                <w:rFonts w:cstheme="minorHAnsi"/>
                <w:color w:val="auto"/>
                <w:szCs w:val="17"/>
              </w:rPr>
            </w:pPr>
            <w:r w:rsidRPr="00750033">
              <w:rPr>
                <w:rFonts w:cstheme="minorHAnsi"/>
                <w:color w:val="auto"/>
                <w:szCs w:val="17"/>
                <w:bdr w:val="none" w:sz="0" w:space="0" w:color="auto" w:frame="1"/>
              </w:rPr>
              <w:t xml:space="preserve">Gross state product is a measurement of a </w:t>
            </w:r>
            <w:r w:rsidR="00FD11AC" w:rsidRPr="00750033">
              <w:rPr>
                <w:rFonts w:cstheme="minorHAnsi"/>
                <w:color w:val="auto"/>
                <w:szCs w:val="17"/>
                <w:bdr w:val="none" w:sz="0" w:space="0" w:color="auto" w:frame="1"/>
              </w:rPr>
              <w:t xml:space="preserve">state’s </w:t>
            </w:r>
            <w:r w:rsidRPr="00750033">
              <w:rPr>
                <w:rFonts w:cstheme="minorHAnsi"/>
                <w:color w:val="auto"/>
                <w:szCs w:val="17"/>
                <w:bdr w:val="none" w:sz="0" w:space="0" w:color="auto" w:frame="1"/>
              </w:rPr>
              <w:t>overall economic activity. It represents the monetary value of all finished goods and services produced within the state during the financial year.</w:t>
            </w:r>
            <w:r w:rsidRPr="00750033">
              <w:rPr>
                <w:rFonts w:cstheme="minorHAnsi"/>
                <w:color w:val="auto"/>
                <w:szCs w:val="17"/>
                <w:bdr w:val="none" w:sz="0" w:space="0" w:color="auto" w:frame="1"/>
                <w:shd w:val="clear" w:color="auto" w:fill="FFFFFF"/>
              </w:rPr>
              <w:t xml:space="preserve"> GSP differs from </w:t>
            </w:r>
            <w:r w:rsidR="00696479" w:rsidRPr="00750033">
              <w:rPr>
                <w:rFonts w:cstheme="minorHAnsi"/>
                <w:color w:val="auto"/>
                <w:szCs w:val="17"/>
                <w:bdr w:val="none" w:sz="0" w:space="0" w:color="auto" w:frame="1"/>
                <w:shd w:val="clear" w:color="auto" w:fill="FFFFFF"/>
              </w:rPr>
              <w:t xml:space="preserve">gross domestic product </w:t>
            </w:r>
            <w:r w:rsidRPr="00750033">
              <w:rPr>
                <w:rFonts w:cstheme="minorHAnsi"/>
                <w:color w:val="auto"/>
                <w:szCs w:val="17"/>
                <w:bdr w:val="none" w:sz="0" w:space="0" w:color="auto" w:frame="1"/>
                <w:shd w:val="clear" w:color="auto" w:fill="FFFFFF"/>
              </w:rPr>
              <w:t xml:space="preserve">(GDP) in that it measures the </w:t>
            </w:r>
            <w:r w:rsidR="00FD11AC" w:rsidRPr="00750033">
              <w:rPr>
                <w:rFonts w:cstheme="minorHAnsi"/>
                <w:color w:val="auto"/>
                <w:szCs w:val="17"/>
                <w:bdr w:val="none" w:sz="0" w:space="0" w:color="auto" w:frame="1"/>
                <w:shd w:val="clear" w:color="auto" w:fill="FFFFFF"/>
              </w:rPr>
              <w:t xml:space="preserve">state’s </w:t>
            </w:r>
            <w:r w:rsidRPr="00750033">
              <w:rPr>
                <w:rFonts w:cstheme="minorHAnsi"/>
                <w:color w:val="auto"/>
                <w:szCs w:val="17"/>
                <w:bdr w:val="none" w:sz="0" w:space="0" w:color="auto" w:frame="1"/>
                <w:shd w:val="clear" w:color="auto" w:fill="FFFFFF"/>
              </w:rPr>
              <w:t>economic activity, whereas GDP encompasses all economic activity in Australia</w:t>
            </w:r>
            <w:r w:rsidR="00696479" w:rsidRPr="00750033">
              <w:rPr>
                <w:rFonts w:cstheme="minorHAnsi"/>
                <w:color w:val="auto"/>
                <w:szCs w:val="17"/>
                <w:bdr w:val="none" w:sz="0" w:space="0" w:color="auto" w:frame="1"/>
                <w:shd w:val="clear" w:color="auto" w:fill="FFFFFF"/>
              </w:rPr>
              <w:t>.</w:t>
            </w:r>
          </w:p>
        </w:tc>
      </w:tr>
      <w:tr w:rsidR="00926D52" w:rsidRPr="00E00B9E" w14:paraId="373361CC" w14:textId="77777777" w:rsidTr="00750033">
        <w:tblPrEx>
          <w:tblBorders>
            <w:insideH w:val="single" w:sz="4" w:space="0" w:color="82C341" w:themeColor="background1"/>
          </w:tblBorders>
        </w:tblPrEx>
        <w:trPr>
          <w:trHeight w:val="606"/>
        </w:trPr>
        <w:tc>
          <w:tcPr>
            <w:tcW w:w="1843" w:type="dxa"/>
          </w:tcPr>
          <w:p w14:paraId="0071CCD2" w14:textId="34A30806" w:rsidR="00926D52" w:rsidRPr="00750033" w:rsidRDefault="00926D52" w:rsidP="00926D52">
            <w:pPr>
              <w:pStyle w:val="TableText"/>
              <w:rPr>
                <w:rFonts w:cstheme="minorHAnsi"/>
                <w:szCs w:val="17"/>
              </w:rPr>
            </w:pPr>
            <w:r w:rsidRPr="00750033">
              <w:rPr>
                <w:rFonts w:cstheme="minorHAnsi"/>
                <w:szCs w:val="17"/>
              </w:rPr>
              <w:t>High-density polyethylene</w:t>
            </w:r>
          </w:p>
        </w:tc>
        <w:tc>
          <w:tcPr>
            <w:tcW w:w="1276" w:type="dxa"/>
          </w:tcPr>
          <w:p w14:paraId="28CB41EC" w14:textId="6D77B0EF" w:rsidR="00926D52" w:rsidRPr="00750033" w:rsidRDefault="00926D52" w:rsidP="00926D52">
            <w:pPr>
              <w:pStyle w:val="TableText"/>
              <w:rPr>
                <w:rFonts w:cstheme="minorHAnsi"/>
                <w:szCs w:val="17"/>
              </w:rPr>
            </w:pPr>
            <w:r w:rsidRPr="00750033">
              <w:rPr>
                <w:rFonts w:cstheme="minorHAnsi"/>
                <w:szCs w:val="17"/>
              </w:rPr>
              <w:t>HDPE, PE-HD</w:t>
            </w:r>
          </w:p>
        </w:tc>
        <w:tc>
          <w:tcPr>
            <w:tcW w:w="4961" w:type="dxa"/>
          </w:tcPr>
          <w:p w14:paraId="18ACC5F7" w14:textId="3CDC89E9" w:rsidR="00926D52" w:rsidRPr="00750033" w:rsidRDefault="00926D52" w:rsidP="00926D52">
            <w:pPr>
              <w:pStyle w:val="TableText"/>
              <w:rPr>
                <w:rFonts w:cstheme="minorHAnsi"/>
                <w:szCs w:val="17"/>
              </w:rPr>
            </w:pPr>
            <w:r w:rsidRPr="00750033">
              <w:rPr>
                <w:rFonts w:cstheme="minorHAnsi"/>
                <w:szCs w:val="17"/>
              </w:rPr>
              <w:t>A member of the polyethylene family of plastics, typically referred to as HDPE, used to make products such as milk bottles, pipes and shopping bags. HDPE may be coloured or opaque. PIC 2.</w:t>
            </w:r>
          </w:p>
        </w:tc>
      </w:tr>
      <w:tr w:rsidR="00926D52" w:rsidRPr="00E00B9E" w14:paraId="0CCBAC8A" w14:textId="77777777" w:rsidTr="00750033">
        <w:tblPrEx>
          <w:tblBorders>
            <w:insideH w:val="single" w:sz="4" w:space="0" w:color="82C341" w:themeColor="background1"/>
          </w:tblBorders>
        </w:tblPrEx>
        <w:trPr>
          <w:trHeight w:val="606"/>
        </w:trPr>
        <w:tc>
          <w:tcPr>
            <w:tcW w:w="1843" w:type="dxa"/>
          </w:tcPr>
          <w:p w14:paraId="493B8EC3" w14:textId="77777777" w:rsidR="00926D52" w:rsidRPr="00750033" w:rsidRDefault="00926D52" w:rsidP="00926D52">
            <w:pPr>
              <w:pStyle w:val="TableText"/>
              <w:rPr>
                <w:rFonts w:cstheme="minorHAnsi"/>
                <w:szCs w:val="17"/>
              </w:rPr>
            </w:pPr>
            <w:r w:rsidRPr="00750033">
              <w:rPr>
                <w:rFonts w:cstheme="minorHAnsi"/>
                <w:szCs w:val="17"/>
              </w:rPr>
              <w:t>Kerbside collection</w:t>
            </w:r>
          </w:p>
        </w:tc>
        <w:tc>
          <w:tcPr>
            <w:tcW w:w="1276" w:type="dxa"/>
          </w:tcPr>
          <w:p w14:paraId="0CE0A11D" w14:textId="77777777" w:rsidR="00926D52" w:rsidRPr="00750033" w:rsidRDefault="00926D52" w:rsidP="00926D52">
            <w:pPr>
              <w:pStyle w:val="TableText"/>
              <w:rPr>
                <w:rFonts w:cstheme="minorHAnsi"/>
                <w:szCs w:val="17"/>
              </w:rPr>
            </w:pPr>
          </w:p>
        </w:tc>
        <w:tc>
          <w:tcPr>
            <w:tcW w:w="4961" w:type="dxa"/>
          </w:tcPr>
          <w:p w14:paraId="209199F2" w14:textId="77777777" w:rsidR="00926D52" w:rsidRPr="00750033" w:rsidRDefault="00926D52" w:rsidP="00926D52">
            <w:pPr>
              <w:pStyle w:val="TableText"/>
              <w:rPr>
                <w:rFonts w:cstheme="minorHAnsi"/>
                <w:szCs w:val="17"/>
              </w:rPr>
            </w:pPr>
            <w:r w:rsidRPr="00750033">
              <w:rPr>
                <w:rFonts w:cstheme="minorHAnsi"/>
                <w:szCs w:val="17"/>
              </w:rPr>
              <w:t xml:space="preserve">Materials and waste collected by local councils, including garbage, commingled </w:t>
            </w:r>
            <w:proofErr w:type="gramStart"/>
            <w:r w:rsidRPr="00750033">
              <w:rPr>
                <w:rFonts w:cstheme="minorHAnsi"/>
                <w:szCs w:val="17"/>
              </w:rPr>
              <w:t>recyclables</w:t>
            </w:r>
            <w:proofErr w:type="gramEnd"/>
            <w:r w:rsidRPr="00750033">
              <w:rPr>
                <w:rFonts w:cstheme="minorHAnsi"/>
                <w:szCs w:val="17"/>
              </w:rPr>
              <w:t xml:space="preserve"> and garden organics, but excluding hard waste.</w:t>
            </w:r>
          </w:p>
        </w:tc>
      </w:tr>
      <w:tr w:rsidR="00926D52" w:rsidRPr="00E00B9E" w14:paraId="02C36168" w14:textId="77777777" w:rsidTr="00750033">
        <w:tblPrEx>
          <w:tblBorders>
            <w:insideH w:val="single" w:sz="4" w:space="0" w:color="82C341" w:themeColor="background1"/>
          </w:tblBorders>
        </w:tblPrEx>
        <w:trPr>
          <w:trHeight w:val="265"/>
        </w:trPr>
        <w:tc>
          <w:tcPr>
            <w:tcW w:w="1843" w:type="dxa"/>
          </w:tcPr>
          <w:p w14:paraId="70A60179" w14:textId="02EC687D" w:rsidR="00926D52" w:rsidRPr="00750033" w:rsidRDefault="00926D52" w:rsidP="00926D52">
            <w:pPr>
              <w:pStyle w:val="TableText"/>
              <w:rPr>
                <w:rFonts w:cstheme="minorHAnsi"/>
                <w:szCs w:val="17"/>
              </w:rPr>
            </w:pPr>
            <w:proofErr w:type="spellStart"/>
            <w:r w:rsidRPr="00750033">
              <w:rPr>
                <w:rFonts w:cstheme="minorHAnsi"/>
                <w:szCs w:val="17"/>
              </w:rPr>
              <w:t>Kilotonne</w:t>
            </w:r>
            <w:proofErr w:type="spellEnd"/>
          </w:p>
        </w:tc>
        <w:tc>
          <w:tcPr>
            <w:tcW w:w="1276" w:type="dxa"/>
          </w:tcPr>
          <w:p w14:paraId="2B93769E" w14:textId="42712401" w:rsidR="00926D52" w:rsidRPr="00750033" w:rsidRDefault="00280084" w:rsidP="00926D52">
            <w:pPr>
              <w:pStyle w:val="TableText"/>
              <w:rPr>
                <w:rFonts w:cstheme="minorHAnsi"/>
                <w:szCs w:val="17"/>
              </w:rPr>
            </w:pPr>
            <w:r w:rsidRPr="00750033">
              <w:rPr>
                <w:rFonts w:cstheme="minorHAnsi"/>
                <w:szCs w:val="17"/>
              </w:rPr>
              <w:t>kt</w:t>
            </w:r>
          </w:p>
        </w:tc>
        <w:tc>
          <w:tcPr>
            <w:tcW w:w="4961" w:type="dxa"/>
          </w:tcPr>
          <w:p w14:paraId="533A6862" w14:textId="128AA153" w:rsidR="00926D52" w:rsidRPr="00750033" w:rsidRDefault="00926D52" w:rsidP="00926D52">
            <w:pPr>
              <w:pStyle w:val="TableText"/>
              <w:rPr>
                <w:rFonts w:cstheme="minorHAnsi"/>
                <w:szCs w:val="17"/>
              </w:rPr>
            </w:pPr>
            <w:r w:rsidRPr="00750033">
              <w:rPr>
                <w:rFonts w:eastAsia="Calibri" w:cstheme="minorHAnsi"/>
                <w:szCs w:val="17"/>
              </w:rPr>
              <w:t>A unit of weight equal to 1,000 metric tonnes.</w:t>
            </w:r>
          </w:p>
        </w:tc>
      </w:tr>
      <w:tr w:rsidR="00926D52" w:rsidRPr="00E00B9E" w14:paraId="320CD161" w14:textId="77777777" w:rsidTr="00750033">
        <w:tblPrEx>
          <w:tblBorders>
            <w:insideH w:val="single" w:sz="4" w:space="0" w:color="82C341" w:themeColor="background1"/>
          </w:tblBorders>
        </w:tblPrEx>
        <w:trPr>
          <w:trHeight w:val="388"/>
        </w:trPr>
        <w:tc>
          <w:tcPr>
            <w:tcW w:w="1843" w:type="dxa"/>
          </w:tcPr>
          <w:p w14:paraId="7CA6D284" w14:textId="77777777" w:rsidR="00926D52" w:rsidRPr="00750033" w:rsidRDefault="00926D52" w:rsidP="00926D52">
            <w:pPr>
              <w:pStyle w:val="TableText"/>
              <w:rPr>
                <w:rFonts w:cstheme="minorHAnsi"/>
                <w:szCs w:val="17"/>
              </w:rPr>
            </w:pPr>
            <w:r w:rsidRPr="00750033">
              <w:rPr>
                <w:rFonts w:cstheme="minorHAnsi"/>
                <w:szCs w:val="17"/>
              </w:rPr>
              <w:t>Landfill</w:t>
            </w:r>
          </w:p>
        </w:tc>
        <w:tc>
          <w:tcPr>
            <w:tcW w:w="1276" w:type="dxa"/>
          </w:tcPr>
          <w:p w14:paraId="26E70E7C" w14:textId="77777777" w:rsidR="00926D52" w:rsidRPr="00750033" w:rsidRDefault="00926D52" w:rsidP="00926D52">
            <w:pPr>
              <w:pStyle w:val="TableText"/>
              <w:rPr>
                <w:rFonts w:cstheme="minorHAnsi"/>
                <w:szCs w:val="17"/>
              </w:rPr>
            </w:pPr>
          </w:p>
        </w:tc>
        <w:tc>
          <w:tcPr>
            <w:tcW w:w="4961" w:type="dxa"/>
          </w:tcPr>
          <w:p w14:paraId="092380B2" w14:textId="352DA978" w:rsidR="00926D52" w:rsidRPr="00750033" w:rsidRDefault="00926D52" w:rsidP="00926D52">
            <w:pPr>
              <w:pStyle w:val="TableText"/>
              <w:rPr>
                <w:rFonts w:cstheme="minorHAnsi"/>
                <w:szCs w:val="17"/>
              </w:rPr>
            </w:pPr>
            <w:r w:rsidRPr="00750033">
              <w:rPr>
                <w:rFonts w:cstheme="minorHAnsi"/>
                <w:szCs w:val="17"/>
              </w:rPr>
              <w:t>A waste disposal site used for the controlled deposit of solid waste onto or into land.</w:t>
            </w:r>
          </w:p>
        </w:tc>
      </w:tr>
      <w:tr w:rsidR="00C004B5" w:rsidRPr="00E00B9E" w14:paraId="4E4944F8" w14:textId="77777777" w:rsidTr="00750033">
        <w:tblPrEx>
          <w:tblBorders>
            <w:insideH w:val="single" w:sz="4" w:space="0" w:color="82C341" w:themeColor="background1"/>
          </w:tblBorders>
        </w:tblPrEx>
        <w:trPr>
          <w:trHeight w:val="606"/>
        </w:trPr>
        <w:tc>
          <w:tcPr>
            <w:tcW w:w="1843" w:type="dxa"/>
          </w:tcPr>
          <w:p w14:paraId="6DA869C3" w14:textId="23CBAA1A" w:rsidR="00C004B5" w:rsidRPr="00750033" w:rsidRDefault="00C004B5" w:rsidP="00C004B5">
            <w:pPr>
              <w:pStyle w:val="TableText"/>
              <w:rPr>
                <w:rFonts w:cstheme="minorHAnsi"/>
                <w:szCs w:val="17"/>
              </w:rPr>
            </w:pPr>
            <w:r w:rsidRPr="00750033">
              <w:rPr>
                <w:rFonts w:cstheme="minorHAnsi"/>
                <w:szCs w:val="17"/>
              </w:rPr>
              <w:t>Low-density polyethylene</w:t>
            </w:r>
          </w:p>
        </w:tc>
        <w:tc>
          <w:tcPr>
            <w:tcW w:w="1276" w:type="dxa"/>
          </w:tcPr>
          <w:p w14:paraId="70EE4D55" w14:textId="574962DD" w:rsidR="00C004B5" w:rsidRPr="00750033" w:rsidRDefault="00C004B5" w:rsidP="00C004B5">
            <w:pPr>
              <w:pStyle w:val="TableText"/>
              <w:rPr>
                <w:rFonts w:cstheme="minorHAnsi"/>
                <w:szCs w:val="17"/>
              </w:rPr>
            </w:pPr>
            <w:r w:rsidRPr="00750033">
              <w:rPr>
                <w:rFonts w:cstheme="minorHAnsi"/>
                <w:szCs w:val="17"/>
              </w:rPr>
              <w:t>LDPE, PE-LD / LLD</w:t>
            </w:r>
          </w:p>
        </w:tc>
        <w:tc>
          <w:tcPr>
            <w:tcW w:w="4961" w:type="dxa"/>
          </w:tcPr>
          <w:p w14:paraId="01199A83" w14:textId="356293B3" w:rsidR="00C004B5" w:rsidRPr="00750033" w:rsidRDefault="00C004B5" w:rsidP="00C004B5">
            <w:pPr>
              <w:pStyle w:val="TableText"/>
              <w:rPr>
                <w:rFonts w:cstheme="minorHAnsi"/>
                <w:szCs w:val="17"/>
              </w:rPr>
            </w:pPr>
            <w:r w:rsidRPr="00750033">
              <w:rPr>
                <w:rFonts w:cstheme="minorHAnsi"/>
                <w:szCs w:val="17"/>
              </w:rPr>
              <w:t xml:space="preserve">A member of the polyolefin family of plastics, typically referred to as LDPE. LDPE is a flexible material usually used as film for packaging or as bags. PIC 4. </w:t>
            </w:r>
          </w:p>
        </w:tc>
      </w:tr>
      <w:tr w:rsidR="00C004B5" w:rsidRPr="00E00B9E" w14:paraId="36E2A542" w14:textId="77777777" w:rsidTr="00750033">
        <w:tblPrEx>
          <w:tblBorders>
            <w:insideH w:val="single" w:sz="4" w:space="0" w:color="82C341" w:themeColor="background1"/>
          </w:tblBorders>
        </w:tblPrEx>
        <w:trPr>
          <w:trHeight w:val="1056"/>
        </w:trPr>
        <w:tc>
          <w:tcPr>
            <w:tcW w:w="1843" w:type="dxa"/>
          </w:tcPr>
          <w:p w14:paraId="6BE7AC78" w14:textId="77777777" w:rsidR="00C004B5" w:rsidRPr="00750033" w:rsidRDefault="00C004B5" w:rsidP="00C004B5">
            <w:pPr>
              <w:pStyle w:val="TableText"/>
              <w:rPr>
                <w:rFonts w:cstheme="minorHAnsi"/>
                <w:szCs w:val="17"/>
              </w:rPr>
            </w:pPr>
            <w:r w:rsidRPr="00750033">
              <w:rPr>
                <w:rFonts w:cstheme="minorHAnsi"/>
                <w:szCs w:val="17"/>
              </w:rPr>
              <w:t>Material recovery facility</w:t>
            </w:r>
          </w:p>
        </w:tc>
        <w:tc>
          <w:tcPr>
            <w:tcW w:w="1276" w:type="dxa"/>
          </w:tcPr>
          <w:p w14:paraId="31D05CC0" w14:textId="77777777" w:rsidR="00C004B5" w:rsidRPr="00750033" w:rsidRDefault="00C004B5" w:rsidP="00C004B5">
            <w:pPr>
              <w:pStyle w:val="TableText"/>
              <w:rPr>
                <w:rFonts w:cstheme="minorHAnsi"/>
                <w:szCs w:val="17"/>
              </w:rPr>
            </w:pPr>
            <w:r w:rsidRPr="00750033">
              <w:rPr>
                <w:rFonts w:cstheme="minorHAnsi"/>
                <w:szCs w:val="17"/>
              </w:rPr>
              <w:t>MRF</w:t>
            </w:r>
          </w:p>
        </w:tc>
        <w:tc>
          <w:tcPr>
            <w:tcW w:w="4961" w:type="dxa"/>
          </w:tcPr>
          <w:p w14:paraId="2182ED9F" w14:textId="77777777" w:rsidR="00C004B5" w:rsidRPr="00750033" w:rsidRDefault="00C004B5" w:rsidP="00C004B5">
            <w:pPr>
              <w:pStyle w:val="TableText"/>
              <w:rPr>
                <w:rFonts w:cstheme="minorHAnsi"/>
                <w:szCs w:val="17"/>
              </w:rPr>
            </w:pPr>
            <w:r w:rsidRPr="00750033">
              <w:rPr>
                <w:rFonts w:cstheme="minorHAnsi"/>
                <w:szCs w:val="17"/>
              </w:rPr>
              <w:t xml:space="preserve">A centre for the receipt, sorting and transfer of materials recovered from the waste stream before transporting to another facility for recovery and management. At the MRF, materials may undergo mechanical treatment for sorting by characteristics such as weight, size, </w:t>
            </w:r>
            <w:proofErr w:type="gramStart"/>
            <w:r w:rsidRPr="00750033">
              <w:rPr>
                <w:rFonts w:cstheme="minorHAnsi"/>
                <w:szCs w:val="17"/>
              </w:rPr>
              <w:t>magnetism</w:t>
            </w:r>
            <w:proofErr w:type="gramEnd"/>
            <w:r w:rsidRPr="00750033">
              <w:rPr>
                <w:rFonts w:cstheme="minorHAnsi"/>
                <w:szCs w:val="17"/>
              </w:rPr>
              <w:t xml:space="preserve"> and optical density and may include cleaning and compression. Materials may be received as mixed streams such as commingled recyclables from households and businesses or single streams such as metals.</w:t>
            </w:r>
          </w:p>
        </w:tc>
      </w:tr>
      <w:tr w:rsidR="00C004B5" w:rsidRPr="00E00B9E" w14:paraId="739970C4" w14:textId="77777777" w:rsidTr="00750033">
        <w:tblPrEx>
          <w:tblBorders>
            <w:insideH w:val="single" w:sz="4" w:space="0" w:color="82C341" w:themeColor="background1"/>
          </w:tblBorders>
        </w:tblPrEx>
        <w:trPr>
          <w:trHeight w:val="560"/>
        </w:trPr>
        <w:tc>
          <w:tcPr>
            <w:tcW w:w="1843" w:type="dxa"/>
          </w:tcPr>
          <w:p w14:paraId="080266A8" w14:textId="5F4012C5" w:rsidR="00C004B5" w:rsidRPr="00750033" w:rsidRDefault="004619A5" w:rsidP="00C004B5">
            <w:pPr>
              <w:pStyle w:val="TableText"/>
              <w:rPr>
                <w:rFonts w:cstheme="minorHAnsi"/>
                <w:szCs w:val="17"/>
              </w:rPr>
            </w:pPr>
            <w:r>
              <w:rPr>
                <w:rFonts w:cstheme="minorHAnsi"/>
                <w:szCs w:val="17"/>
              </w:rPr>
              <w:t>Million tonnes</w:t>
            </w:r>
          </w:p>
        </w:tc>
        <w:tc>
          <w:tcPr>
            <w:tcW w:w="1276" w:type="dxa"/>
          </w:tcPr>
          <w:p w14:paraId="5F28E195" w14:textId="7F111E96" w:rsidR="00C004B5" w:rsidRPr="00750033" w:rsidRDefault="00C004B5" w:rsidP="00C004B5">
            <w:pPr>
              <w:pStyle w:val="TableText"/>
              <w:rPr>
                <w:rFonts w:cstheme="minorHAnsi"/>
                <w:szCs w:val="17"/>
              </w:rPr>
            </w:pPr>
            <w:r w:rsidRPr="00750033">
              <w:rPr>
                <w:rFonts w:cstheme="minorHAnsi"/>
                <w:szCs w:val="17"/>
              </w:rPr>
              <w:t>Mt</w:t>
            </w:r>
          </w:p>
        </w:tc>
        <w:tc>
          <w:tcPr>
            <w:tcW w:w="4961" w:type="dxa"/>
          </w:tcPr>
          <w:p w14:paraId="3E62E935" w14:textId="162026EA" w:rsidR="00C004B5" w:rsidRPr="00750033" w:rsidRDefault="00C004B5" w:rsidP="00C004B5">
            <w:pPr>
              <w:pStyle w:val="TableText"/>
              <w:rPr>
                <w:rFonts w:cstheme="minorHAnsi"/>
                <w:szCs w:val="17"/>
              </w:rPr>
            </w:pPr>
            <w:r w:rsidRPr="00750033">
              <w:rPr>
                <w:rFonts w:cstheme="minorHAnsi"/>
                <w:szCs w:val="17"/>
              </w:rPr>
              <w:t>A unit of weight equal to 1</w:t>
            </w:r>
            <w:r w:rsidR="00DE7F3B" w:rsidRPr="00750033">
              <w:rPr>
                <w:rFonts w:cstheme="minorHAnsi"/>
                <w:szCs w:val="17"/>
              </w:rPr>
              <w:t>,</w:t>
            </w:r>
            <w:r w:rsidRPr="00750033">
              <w:rPr>
                <w:rFonts w:cstheme="minorHAnsi"/>
                <w:szCs w:val="17"/>
              </w:rPr>
              <w:t>000 kilotonnes. A</w:t>
            </w:r>
            <w:r w:rsidR="00DE7F3B" w:rsidRPr="00750033">
              <w:rPr>
                <w:rFonts w:cstheme="minorHAnsi"/>
                <w:szCs w:val="17"/>
              </w:rPr>
              <w:t>l</w:t>
            </w:r>
            <w:r w:rsidRPr="00750033">
              <w:rPr>
                <w:rFonts w:cstheme="minorHAnsi"/>
                <w:szCs w:val="17"/>
              </w:rPr>
              <w:t>s</w:t>
            </w:r>
            <w:r w:rsidR="00DE7F3B" w:rsidRPr="00750033">
              <w:rPr>
                <w:rFonts w:cstheme="minorHAnsi"/>
                <w:szCs w:val="17"/>
              </w:rPr>
              <w:t>o</w:t>
            </w:r>
            <w:r w:rsidRPr="00750033">
              <w:rPr>
                <w:rFonts w:cstheme="minorHAnsi"/>
                <w:szCs w:val="17"/>
              </w:rPr>
              <w:t xml:space="preserve"> referred to as a </w:t>
            </w:r>
            <w:r w:rsidR="004619A5">
              <w:rPr>
                <w:rFonts w:cstheme="minorHAnsi"/>
                <w:szCs w:val="17"/>
              </w:rPr>
              <w:t>mega</w:t>
            </w:r>
            <w:r w:rsidRPr="00750033">
              <w:rPr>
                <w:rFonts w:cstheme="minorHAnsi"/>
                <w:szCs w:val="17"/>
              </w:rPr>
              <w:t xml:space="preserve">tonnes. </w:t>
            </w:r>
          </w:p>
        </w:tc>
      </w:tr>
      <w:tr w:rsidR="00C004B5" w:rsidRPr="00E00B9E" w14:paraId="380A0939" w14:textId="77777777" w:rsidTr="00750033">
        <w:tblPrEx>
          <w:tblBorders>
            <w:insideH w:val="single" w:sz="4" w:space="0" w:color="82C341" w:themeColor="background1"/>
          </w:tblBorders>
        </w:tblPrEx>
        <w:trPr>
          <w:trHeight w:val="606"/>
        </w:trPr>
        <w:tc>
          <w:tcPr>
            <w:tcW w:w="1843" w:type="dxa"/>
          </w:tcPr>
          <w:p w14:paraId="2FEAAD2B" w14:textId="77777777" w:rsidR="00C004B5" w:rsidRPr="00750033" w:rsidRDefault="00C004B5" w:rsidP="00C004B5">
            <w:pPr>
              <w:pStyle w:val="TableText"/>
              <w:rPr>
                <w:rFonts w:cstheme="minorHAnsi"/>
                <w:szCs w:val="17"/>
              </w:rPr>
            </w:pPr>
            <w:r w:rsidRPr="00750033">
              <w:rPr>
                <w:rFonts w:cstheme="minorHAnsi"/>
                <w:szCs w:val="17"/>
              </w:rPr>
              <w:t>Mulch</w:t>
            </w:r>
          </w:p>
        </w:tc>
        <w:tc>
          <w:tcPr>
            <w:tcW w:w="1276" w:type="dxa"/>
          </w:tcPr>
          <w:p w14:paraId="59021C71" w14:textId="77777777" w:rsidR="00C004B5" w:rsidRPr="00750033" w:rsidRDefault="00C004B5" w:rsidP="00C004B5">
            <w:pPr>
              <w:pStyle w:val="TableText"/>
              <w:rPr>
                <w:rFonts w:cstheme="minorHAnsi"/>
                <w:szCs w:val="17"/>
              </w:rPr>
            </w:pPr>
          </w:p>
        </w:tc>
        <w:tc>
          <w:tcPr>
            <w:tcW w:w="4961" w:type="dxa"/>
          </w:tcPr>
          <w:p w14:paraId="410A0261" w14:textId="6B4B16A8" w:rsidR="00C004B5" w:rsidRPr="00750033" w:rsidRDefault="00C004B5" w:rsidP="00C004B5">
            <w:pPr>
              <w:pStyle w:val="TableText"/>
              <w:rPr>
                <w:rFonts w:cstheme="minorHAnsi"/>
                <w:szCs w:val="17"/>
              </w:rPr>
            </w:pPr>
            <w:r w:rsidRPr="00750033">
              <w:rPr>
                <w:rFonts w:cstheme="minorHAnsi"/>
                <w:szCs w:val="17"/>
              </w:rPr>
              <w:t xml:space="preserve">Any composted or non-composted organic material, excluding plastic, </w:t>
            </w:r>
            <w:r w:rsidR="00DE7F3B" w:rsidRPr="00750033">
              <w:rPr>
                <w:rFonts w:cstheme="minorHAnsi"/>
                <w:szCs w:val="17"/>
              </w:rPr>
              <w:t xml:space="preserve">that </w:t>
            </w:r>
            <w:r w:rsidRPr="00750033">
              <w:rPr>
                <w:rFonts w:cstheme="minorHAnsi"/>
                <w:szCs w:val="17"/>
              </w:rPr>
              <w:t>is suitable for placing on soil surfaces to restrict moisture loss from the soil and to provide a source of nutrients to aid plant growth.</w:t>
            </w:r>
          </w:p>
        </w:tc>
      </w:tr>
      <w:tr w:rsidR="00C004B5" w:rsidRPr="00E00B9E" w14:paraId="224A273F" w14:textId="77777777" w:rsidTr="00750033">
        <w:tblPrEx>
          <w:tblBorders>
            <w:insideH w:val="single" w:sz="4" w:space="0" w:color="82C341" w:themeColor="background1"/>
          </w:tblBorders>
        </w:tblPrEx>
        <w:trPr>
          <w:trHeight w:val="839"/>
        </w:trPr>
        <w:tc>
          <w:tcPr>
            <w:tcW w:w="1843" w:type="dxa"/>
          </w:tcPr>
          <w:p w14:paraId="74109C35" w14:textId="7BB7DA58" w:rsidR="00C004B5" w:rsidRPr="00750033" w:rsidRDefault="00C004B5" w:rsidP="00C004B5">
            <w:pPr>
              <w:pStyle w:val="TableText"/>
              <w:rPr>
                <w:rFonts w:cstheme="minorHAnsi"/>
                <w:szCs w:val="17"/>
              </w:rPr>
            </w:pPr>
            <w:r w:rsidRPr="00750033">
              <w:rPr>
                <w:rFonts w:cstheme="minorHAnsi"/>
                <w:szCs w:val="17"/>
              </w:rPr>
              <w:t>Municipal solid waste</w:t>
            </w:r>
          </w:p>
        </w:tc>
        <w:tc>
          <w:tcPr>
            <w:tcW w:w="1276" w:type="dxa"/>
          </w:tcPr>
          <w:p w14:paraId="3C45888D" w14:textId="77777777" w:rsidR="00C004B5" w:rsidRPr="00750033" w:rsidRDefault="00C004B5" w:rsidP="00C004B5">
            <w:pPr>
              <w:pStyle w:val="TableText"/>
              <w:rPr>
                <w:rFonts w:cstheme="minorHAnsi"/>
                <w:szCs w:val="17"/>
              </w:rPr>
            </w:pPr>
            <w:r w:rsidRPr="00750033">
              <w:rPr>
                <w:rFonts w:cstheme="minorHAnsi"/>
                <w:szCs w:val="17"/>
              </w:rPr>
              <w:t>MSW</w:t>
            </w:r>
          </w:p>
        </w:tc>
        <w:tc>
          <w:tcPr>
            <w:tcW w:w="4961" w:type="dxa"/>
          </w:tcPr>
          <w:p w14:paraId="52946742" w14:textId="77777777" w:rsidR="00C004B5" w:rsidRPr="00750033" w:rsidRDefault="00C004B5" w:rsidP="00C004B5">
            <w:pPr>
              <w:pStyle w:val="TableText"/>
              <w:rPr>
                <w:rFonts w:cstheme="minorHAnsi"/>
                <w:szCs w:val="17"/>
              </w:rPr>
            </w:pPr>
            <w:r w:rsidRPr="00750033">
              <w:rPr>
                <w:rFonts w:cstheme="minorHAnsi"/>
                <w:szCs w:val="17"/>
              </w:rPr>
              <w:t>Solid waste managed predominantly from domestic premises (residual and hard waste) and council activities such as street sweeping, litter collection and street tree lopping. Municipal waste also includes waste dropped off at transfer stations and construction waste from residential owner / occupier renovations.</w:t>
            </w:r>
          </w:p>
        </w:tc>
      </w:tr>
      <w:tr w:rsidR="00C004B5" w:rsidRPr="00E00B9E" w14:paraId="04BA0DA8" w14:textId="77777777" w:rsidTr="00750033">
        <w:tblPrEx>
          <w:tblBorders>
            <w:insideH w:val="single" w:sz="4" w:space="0" w:color="82C341" w:themeColor="background1"/>
          </w:tblBorders>
        </w:tblPrEx>
        <w:trPr>
          <w:trHeight w:val="373"/>
        </w:trPr>
        <w:tc>
          <w:tcPr>
            <w:tcW w:w="1843" w:type="dxa"/>
          </w:tcPr>
          <w:p w14:paraId="11D04E51" w14:textId="77777777" w:rsidR="00C004B5" w:rsidRPr="00750033" w:rsidRDefault="00C004B5" w:rsidP="00C004B5">
            <w:pPr>
              <w:pStyle w:val="TableText"/>
              <w:rPr>
                <w:rFonts w:cstheme="minorHAnsi"/>
                <w:szCs w:val="17"/>
              </w:rPr>
            </w:pPr>
            <w:r w:rsidRPr="00750033">
              <w:rPr>
                <w:rFonts w:cstheme="minorHAnsi"/>
                <w:szCs w:val="17"/>
              </w:rPr>
              <w:t>Nonferrous metals</w:t>
            </w:r>
          </w:p>
        </w:tc>
        <w:tc>
          <w:tcPr>
            <w:tcW w:w="1276" w:type="dxa"/>
          </w:tcPr>
          <w:p w14:paraId="7F593644" w14:textId="77777777" w:rsidR="00C004B5" w:rsidRPr="00750033" w:rsidRDefault="00C004B5" w:rsidP="00C004B5">
            <w:pPr>
              <w:pStyle w:val="TableText"/>
              <w:rPr>
                <w:rFonts w:cstheme="minorHAnsi"/>
                <w:szCs w:val="17"/>
              </w:rPr>
            </w:pPr>
          </w:p>
        </w:tc>
        <w:tc>
          <w:tcPr>
            <w:tcW w:w="4961" w:type="dxa"/>
          </w:tcPr>
          <w:p w14:paraId="1C83BB6D" w14:textId="77777777" w:rsidR="00C004B5" w:rsidRPr="00750033" w:rsidRDefault="00C004B5" w:rsidP="00C004B5">
            <w:pPr>
              <w:pStyle w:val="TableText"/>
              <w:rPr>
                <w:rFonts w:cstheme="minorHAnsi"/>
                <w:szCs w:val="17"/>
              </w:rPr>
            </w:pPr>
            <w:r w:rsidRPr="00750033">
              <w:rPr>
                <w:rFonts w:cstheme="minorHAnsi"/>
                <w:szCs w:val="17"/>
              </w:rPr>
              <w:t xml:space="preserve">Metals that contain very little or no iron, </w:t>
            </w:r>
            <w:proofErr w:type="gramStart"/>
            <w:r w:rsidRPr="00750033">
              <w:rPr>
                <w:rFonts w:cstheme="minorHAnsi"/>
                <w:szCs w:val="17"/>
              </w:rPr>
              <w:t>e.g.</w:t>
            </w:r>
            <w:proofErr w:type="gramEnd"/>
            <w:r w:rsidRPr="00750033">
              <w:rPr>
                <w:rFonts w:cstheme="minorHAnsi"/>
                <w:szCs w:val="17"/>
              </w:rPr>
              <w:t xml:space="preserve"> copper, brass, bronze and aluminium.</w:t>
            </w:r>
          </w:p>
        </w:tc>
      </w:tr>
      <w:tr w:rsidR="00C004B5" w:rsidRPr="00E00B9E" w14:paraId="2DEA5057" w14:textId="77777777" w:rsidTr="00750033">
        <w:tblPrEx>
          <w:tblBorders>
            <w:insideH w:val="single" w:sz="4" w:space="0" w:color="82C341" w:themeColor="background1"/>
          </w:tblBorders>
        </w:tblPrEx>
        <w:trPr>
          <w:trHeight w:val="373"/>
        </w:trPr>
        <w:tc>
          <w:tcPr>
            <w:tcW w:w="1843" w:type="dxa"/>
          </w:tcPr>
          <w:p w14:paraId="28C6510C" w14:textId="3050CBD3" w:rsidR="00C004B5" w:rsidRPr="00750033" w:rsidRDefault="00C004B5" w:rsidP="00C004B5">
            <w:pPr>
              <w:pStyle w:val="TableText"/>
              <w:rPr>
                <w:rFonts w:cstheme="minorHAnsi"/>
                <w:szCs w:val="17"/>
              </w:rPr>
            </w:pPr>
            <w:r w:rsidRPr="00750033">
              <w:rPr>
                <w:rFonts w:cstheme="minorHAnsi"/>
                <w:szCs w:val="17"/>
              </w:rPr>
              <w:t>Organics</w:t>
            </w:r>
          </w:p>
        </w:tc>
        <w:tc>
          <w:tcPr>
            <w:tcW w:w="1276" w:type="dxa"/>
          </w:tcPr>
          <w:p w14:paraId="5B1FF154" w14:textId="77777777" w:rsidR="00C004B5" w:rsidRPr="00750033" w:rsidRDefault="00C004B5" w:rsidP="00C004B5">
            <w:pPr>
              <w:pStyle w:val="TableText"/>
              <w:rPr>
                <w:rFonts w:cstheme="minorHAnsi"/>
                <w:szCs w:val="17"/>
              </w:rPr>
            </w:pPr>
          </w:p>
        </w:tc>
        <w:tc>
          <w:tcPr>
            <w:tcW w:w="4961" w:type="dxa"/>
          </w:tcPr>
          <w:p w14:paraId="26A8304D" w14:textId="3AB12B3C" w:rsidR="00C004B5" w:rsidRPr="00750033" w:rsidRDefault="00C004B5" w:rsidP="00C004B5">
            <w:pPr>
              <w:pStyle w:val="TableText"/>
              <w:rPr>
                <w:rFonts w:cstheme="minorHAnsi"/>
                <w:szCs w:val="17"/>
              </w:rPr>
            </w:pPr>
            <w:r w:rsidRPr="00750033">
              <w:rPr>
                <w:rFonts w:cstheme="minorHAnsi"/>
                <w:szCs w:val="17"/>
              </w:rPr>
              <w:t xml:space="preserve">Any combination of food materials discarded from households or industry and / or organics </w:t>
            </w:r>
            <w:r w:rsidR="00373F2A" w:rsidRPr="00750033">
              <w:rPr>
                <w:rFonts w:cstheme="minorHAnsi"/>
                <w:szCs w:val="17"/>
              </w:rPr>
              <w:t>derived</w:t>
            </w:r>
            <w:r w:rsidRPr="00750033">
              <w:rPr>
                <w:rFonts w:cstheme="minorHAnsi"/>
                <w:szCs w:val="17"/>
              </w:rPr>
              <w:t xml:space="preserve"> from garden sources.</w:t>
            </w:r>
          </w:p>
          <w:p w14:paraId="737A17A7" w14:textId="1D51BADD" w:rsidR="00C004B5" w:rsidRPr="00750033" w:rsidRDefault="00C004B5" w:rsidP="00C004B5">
            <w:pPr>
              <w:pStyle w:val="TableText"/>
              <w:rPr>
                <w:rFonts w:cstheme="minorHAnsi"/>
                <w:szCs w:val="17"/>
              </w:rPr>
            </w:pPr>
            <w:r w:rsidRPr="00750033">
              <w:rPr>
                <w:rFonts w:cstheme="minorHAnsi"/>
                <w:szCs w:val="17"/>
              </w:rPr>
              <w:t xml:space="preserve">Food organics may include food processing waste, out-of-date or off-specification food, meat, </w:t>
            </w:r>
            <w:proofErr w:type="gramStart"/>
            <w:r w:rsidRPr="00750033">
              <w:rPr>
                <w:rFonts w:cstheme="minorHAnsi"/>
                <w:szCs w:val="17"/>
              </w:rPr>
              <w:t>fruit</w:t>
            </w:r>
            <w:proofErr w:type="gramEnd"/>
            <w:r w:rsidRPr="00750033">
              <w:rPr>
                <w:rFonts w:cstheme="minorHAnsi"/>
                <w:szCs w:val="17"/>
              </w:rPr>
              <w:t xml:space="preserve"> and vegetable scraps. Excludes liquid waste. Garden organics may include grass clippings, tree </w:t>
            </w:r>
            <w:proofErr w:type="spellStart"/>
            <w:r w:rsidRPr="00750033">
              <w:rPr>
                <w:rFonts w:cstheme="minorHAnsi"/>
                <w:szCs w:val="17"/>
              </w:rPr>
              <w:t>prunings</w:t>
            </w:r>
            <w:proofErr w:type="spellEnd"/>
            <w:r w:rsidRPr="00750033">
              <w:rPr>
                <w:rFonts w:cstheme="minorHAnsi"/>
                <w:szCs w:val="17"/>
              </w:rPr>
              <w:t>, etc.</w:t>
            </w:r>
          </w:p>
        </w:tc>
      </w:tr>
      <w:tr w:rsidR="00C004B5" w:rsidRPr="00E00B9E" w14:paraId="17CCA55B" w14:textId="77777777" w:rsidTr="00750033">
        <w:tblPrEx>
          <w:tblBorders>
            <w:insideH w:val="single" w:sz="4" w:space="0" w:color="82C341" w:themeColor="background1"/>
          </w:tblBorders>
        </w:tblPrEx>
        <w:trPr>
          <w:trHeight w:val="606"/>
        </w:trPr>
        <w:tc>
          <w:tcPr>
            <w:tcW w:w="1843" w:type="dxa"/>
          </w:tcPr>
          <w:p w14:paraId="70AA9D53" w14:textId="77777777" w:rsidR="00C004B5" w:rsidRPr="00750033" w:rsidRDefault="00C004B5" w:rsidP="00C004B5">
            <w:pPr>
              <w:pStyle w:val="TableText"/>
              <w:rPr>
                <w:rFonts w:cstheme="minorHAnsi"/>
                <w:szCs w:val="17"/>
              </w:rPr>
            </w:pPr>
            <w:r w:rsidRPr="00750033">
              <w:rPr>
                <w:rFonts w:cstheme="minorHAnsi"/>
                <w:szCs w:val="17"/>
              </w:rPr>
              <w:t>Packaging</w:t>
            </w:r>
          </w:p>
        </w:tc>
        <w:tc>
          <w:tcPr>
            <w:tcW w:w="1276" w:type="dxa"/>
          </w:tcPr>
          <w:p w14:paraId="5C627B4D" w14:textId="77777777" w:rsidR="00C004B5" w:rsidRPr="00750033" w:rsidRDefault="00C004B5" w:rsidP="00C004B5">
            <w:pPr>
              <w:pStyle w:val="TableText"/>
              <w:rPr>
                <w:rFonts w:cstheme="minorHAnsi"/>
                <w:szCs w:val="17"/>
              </w:rPr>
            </w:pPr>
          </w:p>
        </w:tc>
        <w:tc>
          <w:tcPr>
            <w:tcW w:w="4961" w:type="dxa"/>
          </w:tcPr>
          <w:p w14:paraId="49212671" w14:textId="77777777" w:rsidR="00C004B5" w:rsidRPr="00750033" w:rsidRDefault="00C004B5" w:rsidP="00C004B5">
            <w:pPr>
              <w:pStyle w:val="TableText"/>
              <w:rPr>
                <w:rFonts w:cstheme="minorHAnsi"/>
                <w:szCs w:val="17"/>
              </w:rPr>
            </w:pPr>
            <w:r w:rsidRPr="00750033">
              <w:rPr>
                <w:rFonts w:cstheme="minorHAnsi"/>
                <w:szCs w:val="17"/>
              </w:rPr>
              <w:t xml:space="preserve">Material used for the containment, protection, marketing or handling of product. Includes primary, </w:t>
            </w:r>
            <w:proofErr w:type="gramStart"/>
            <w:r w:rsidRPr="00750033">
              <w:rPr>
                <w:rFonts w:cstheme="minorHAnsi"/>
                <w:szCs w:val="17"/>
              </w:rPr>
              <w:t>secondary</w:t>
            </w:r>
            <w:proofErr w:type="gramEnd"/>
            <w:r w:rsidRPr="00750033">
              <w:rPr>
                <w:rFonts w:cstheme="minorHAnsi"/>
                <w:szCs w:val="17"/>
              </w:rPr>
              <w:t xml:space="preserve"> and tertiary / freight packaging in both consumer and industrial packaging applications.</w:t>
            </w:r>
          </w:p>
        </w:tc>
      </w:tr>
      <w:tr w:rsidR="00C004B5" w:rsidRPr="00E00B9E" w14:paraId="01298B3B" w14:textId="77777777" w:rsidTr="00750033">
        <w:tblPrEx>
          <w:tblBorders>
            <w:insideH w:val="single" w:sz="4" w:space="0" w:color="82C341" w:themeColor="background1"/>
          </w:tblBorders>
        </w:tblPrEx>
        <w:trPr>
          <w:trHeight w:val="606"/>
        </w:trPr>
        <w:tc>
          <w:tcPr>
            <w:tcW w:w="1843" w:type="dxa"/>
          </w:tcPr>
          <w:p w14:paraId="57999AE9" w14:textId="25A1AADB" w:rsidR="00C004B5" w:rsidRPr="00750033" w:rsidRDefault="00C004B5" w:rsidP="00C004B5">
            <w:pPr>
              <w:pStyle w:val="TableText"/>
              <w:rPr>
                <w:rFonts w:cstheme="minorHAnsi"/>
                <w:szCs w:val="17"/>
              </w:rPr>
            </w:pPr>
            <w:r w:rsidRPr="00750033">
              <w:rPr>
                <w:rFonts w:cstheme="minorHAnsi"/>
                <w:szCs w:val="17"/>
              </w:rPr>
              <w:lastRenderedPageBreak/>
              <w:t xml:space="preserve">Plastic </w:t>
            </w:r>
            <w:r w:rsidR="002D2627" w:rsidRPr="00750033">
              <w:rPr>
                <w:rFonts w:cstheme="minorHAnsi"/>
                <w:szCs w:val="17"/>
              </w:rPr>
              <w:t>I</w:t>
            </w:r>
            <w:r w:rsidRPr="00750033">
              <w:rPr>
                <w:rFonts w:cstheme="minorHAnsi"/>
                <w:szCs w:val="17"/>
              </w:rPr>
              <w:t xml:space="preserve">dentification </w:t>
            </w:r>
            <w:r w:rsidR="002D2627" w:rsidRPr="00750033">
              <w:rPr>
                <w:rFonts w:cstheme="minorHAnsi"/>
                <w:szCs w:val="17"/>
              </w:rPr>
              <w:t>Code</w:t>
            </w:r>
          </w:p>
        </w:tc>
        <w:tc>
          <w:tcPr>
            <w:tcW w:w="1276" w:type="dxa"/>
          </w:tcPr>
          <w:p w14:paraId="3AD8C8FE" w14:textId="62C8CEE3" w:rsidR="00C004B5" w:rsidRPr="00750033" w:rsidRDefault="00C004B5" w:rsidP="00C004B5">
            <w:pPr>
              <w:pStyle w:val="TableText"/>
              <w:rPr>
                <w:rFonts w:cstheme="minorHAnsi"/>
                <w:szCs w:val="17"/>
              </w:rPr>
            </w:pPr>
            <w:r w:rsidRPr="00750033">
              <w:rPr>
                <w:rFonts w:cstheme="minorHAnsi"/>
                <w:szCs w:val="17"/>
              </w:rPr>
              <w:t>PIC</w:t>
            </w:r>
          </w:p>
        </w:tc>
        <w:tc>
          <w:tcPr>
            <w:tcW w:w="4961" w:type="dxa"/>
          </w:tcPr>
          <w:p w14:paraId="29A384C7" w14:textId="46245DAA" w:rsidR="00C004B5" w:rsidRPr="00750033" w:rsidRDefault="00C004B5" w:rsidP="00C004B5">
            <w:pPr>
              <w:pStyle w:val="TableText"/>
              <w:rPr>
                <w:rFonts w:cstheme="minorHAnsi"/>
                <w:szCs w:val="17"/>
              </w:rPr>
            </w:pPr>
            <w:r w:rsidRPr="00750033">
              <w:rPr>
                <w:rFonts w:cstheme="minorHAnsi"/>
                <w:szCs w:val="17"/>
              </w:rPr>
              <w:t>A grading system used for the classification of polymer types</w:t>
            </w:r>
            <w:r w:rsidR="00373F2A" w:rsidRPr="00750033">
              <w:rPr>
                <w:rFonts w:cstheme="minorHAnsi"/>
                <w:szCs w:val="17"/>
              </w:rPr>
              <w:t>,</w:t>
            </w:r>
            <w:r w:rsidRPr="00750033">
              <w:rPr>
                <w:rFonts w:cstheme="minorHAnsi"/>
                <w:szCs w:val="17"/>
              </w:rPr>
              <w:t xml:space="preserve"> </w:t>
            </w:r>
            <w:proofErr w:type="gramStart"/>
            <w:r w:rsidRPr="00750033">
              <w:rPr>
                <w:rFonts w:cstheme="minorHAnsi"/>
                <w:szCs w:val="17"/>
              </w:rPr>
              <w:t>e.g.</w:t>
            </w:r>
            <w:proofErr w:type="gramEnd"/>
            <w:r w:rsidRPr="00750033">
              <w:rPr>
                <w:rFonts w:cstheme="minorHAnsi"/>
                <w:szCs w:val="17"/>
              </w:rPr>
              <w:t xml:space="preserve"> PET </w:t>
            </w:r>
            <w:r w:rsidR="00373F2A" w:rsidRPr="00750033">
              <w:rPr>
                <w:rFonts w:cstheme="minorHAnsi"/>
                <w:szCs w:val="17"/>
              </w:rPr>
              <w:t xml:space="preserve">is </w:t>
            </w:r>
            <w:r w:rsidRPr="00750033">
              <w:rPr>
                <w:rFonts w:cstheme="minorHAnsi"/>
                <w:szCs w:val="17"/>
              </w:rPr>
              <w:t>PIC 1.</w:t>
            </w:r>
          </w:p>
        </w:tc>
      </w:tr>
      <w:tr w:rsidR="00C004B5" w:rsidRPr="00E00B9E" w14:paraId="745348CB" w14:textId="77777777" w:rsidTr="00750033">
        <w:tblPrEx>
          <w:tblBorders>
            <w:insideH w:val="single" w:sz="4" w:space="0" w:color="82C341" w:themeColor="background1"/>
          </w:tblBorders>
        </w:tblPrEx>
        <w:trPr>
          <w:trHeight w:val="606"/>
        </w:trPr>
        <w:tc>
          <w:tcPr>
            <w:tcW w:w="1843" w:type="dxa"/>
          </w:tcPr>
          <w:p w14:paraId="2CA38707" w14:textId="77777777" w:rsidR="00C004B5" w:rsidRPr="00750033" w:rsidRDefault="00C004B5" w:rsidP="00C004B5">
            <w:pPr>
              <w:pStyle w:val="TableText"/>
              <w:rPr>
                <w:rFonts w:cstheme="minorHAnsi"/>
                <w:szCs w:val="17"/>
              </w:rPr>
            </w:pPr>
            <w:r w:rsidRPr="00750033">
              <w:rPr>
                <w:rFonts w:cstheme="minorHAnsi"/>
                <w:szCs w:val="17"/>
              </w:rPr>
              <w:t xml:space="preserve">Polyethylene terephthalate </w:t>
            </w:r>
          </w:p>
        </w:tc>
        <w:tc>
          <w:tcPr>
            <w:tcW w:w="1276" w:type="dxa"/>
          </w:tcPr>
          <w:p w14:paraId="187FE253" w14:textId="77777777" w:rsidR="00C004B5" w:rsidRPr="00750033" w:rsidRDefault="00C004B5" w:rsidP="00C004B5">
            <w:pPr>
              <w:pStyle w:val="TableText"/>
              <w:rPr>
                <w:rFonts w:cstheme="minorHAnsi"/>
                <w:szCs w:val="17"/>
              </w:rPr>
            </w:pPr>
            <w:r w:rsidRPr="00750033">
              <w:rPr>
                <w:rFonts w:cstheme="minorHAnsi"/>
                <w:szCs w:val="17"/>
              </w:rPr>
              <w:t>PET</w:t>
            </w:r>
          </w:p>
        </w:tc>
        <w:tc>
          <w:tcPr>
            <w:tcW w:w="4961" w:type="dxa"/>
          </w:tcPr>
          <w:p w14:paraId="7D1A4844" w14:textId="5B7116A0" w:rsidR="00C004B5" w:rsidRPr="00750033" w:rsidRDefault="00C004B5" w:rsidP="00C004B5">
            <w:pPr>
              <w:pStyle w:val="TableText"/>
              <w:rPr>
                <w:rFonts w:cstheme="minorHAnsi"/>
                <w:szCs w:val="17"/>
              </w:rPr>
            </w:pPr>
            <w:r w:rsidRPr="00750033">
              <w:rPr>
                <w:rFonts w:cstheme="minorHAnsi"/>
                <w:szCs w:val="17"/>
              </w:rPr>
              <w:t>A member of the polyethylene family of plastics, typically referred to as PET, used to make products such as soft drink bottles, film packaging and fabrics. PIC 1.</w:t>
            </w:r>
          </w:p>
        </w:tc>
      </w:tr>
      <w:tr w:rsidR="00C004B5" w:rsidRPr="00E00B9E" w14:paraId="4F56C5CF" w14:textId="77777777" w:rsidTr="00750033">
        <w:tblPrEx>
          <w:tblBorders>
            <w:insideH w:val="single" w:sz="4" w:space="0" w:color="82C341" w:themeColor="background1"/>
          </w:tblBorders>
        </w:tblPrEx>
        <w:trPr>
          <w:trHeight w:val="606"/>
        </w:trPr>
        <w:tc>
          <w:tcPr>
            <w:tcW w:w="1843" w:type="dxa"/>
          </w:tcPr>
          <w:p w14:paraId="3A1C89C2" w14:textId="77777777" w:rsidR="00C004B5" w:rsidRPr="00750033" w:rsidRDefault="00C004B5" w:rsidP="00C004B5">
            <w:pPr>
              <w:pStyle w:val="TableText"/>
              <w:rPr>
                <w:rFonts w:cstheme="minorHAnsi"/>
                <w:szCs w:val="17"/>
              </w:rPr>
            </w:pPr>
            <w:r w:rsidRPr="00750033">
              <w:rPr>
                <w:rFonts w:cstheme="minorHAnsi"/>
                <w:szCs w:val="17"/>
              </w:rPr>
              <w:t xml:space="preserve">Polypropylene </w:t>
            </w:r>
          </w:p>
        </w:tc>
        <w:tc>
          <w:tcPr>
            <w:tcW w:w="1276" w:type="dxa"/>
          </w:tcPr>
          <w:p w14:paraId="73DDB49C" w14:textId="77777777" w:rsidR="00C004B5" w:rsidRPr="00750033" w:rsidRDefault="00C004B5" w:rsidP="00C004B5">
            <w:pPr>
              <w:pStyle w:val="TableText"/>
              <w:rPr>
                <w:rFonts w:cstheme="minorHAnsi"/>
                <w:szCs w:val="17"/>
              </w:rPr>
            </w:pPr>
            <w:r w:rsidRPr="00750033">
              <w:rPr>
                <w:rFonts w:cstheme="minorHAnsi"/>
                <w:szCs w:val="17"/>
              </w:rPr>
              <w:t>PP</w:t>
            </w:r>
          </w:p>
        </w:tc>
        <w:tc>
          <w:tcPr>
            <w:tcW w:w="4961" w:type="dxa"/>
          </w:tcPr>
          <w:p w14:paraId="1B66BC69" w14:textId="18E5AA7C" w:rsidR="00C004B5" w:rsidRPr="00750033" w:rsidRDefault="00C004B5" w:rsidP="00C004B5">
            <w:pPr>
              <w:pStyle w:val="TableText"/>
              <w:rPr>
                <w:rFonts w:cstheme="minorHAnsi"/>
                <w:szCs w:val="17"/>
              </w:rPr>
            </w:pPr>
            <w:r w:rsidRPr="00750033">
              <w:rPr>
                <w:rFonts w:cstheme="minorHAnsi"/>
                <w:szCs w:val="17"/>
              </w:rPr>
              <w:t xml:space="preserve">A member of the polyolefin family of plastics, typically referred to as PP. PP is light, </w:t>
            </w:r>
            <w:proofErr w:type="gramStart"/>
            <w:r w:rsidRPr="00750033">
              <w:rPr>
                <w:rFonts w:cstheme="minorHAnsi"/>
                <w:szCs w:val="17"/>
              </w:rPr>
              <w:t>rigid</w:t>
            </w:r>
            <w:proofErr w:type="gramEnd"/>
            <w:r w:rsidRPr="00750033">
              <w:rPr>
                <w:rFonts w:cstheme="minorHAnsi"/>
                <w:szCs w:val="17"/>
              </w:rPr>
              <w:t xml:space="preserve"> and glossy and is used to make products such as washing machine agitators, clear film packaging, carpet fibres and housewares. PIC 5.</w:t>
            </w:r>
          </w:p>
        </w:tc>
      </w:tr>
      <w:tr w:rsidR="00C004B5" w:rsidRPr="00E00B9E" w14:paraId="162EDAA2" w14:textId="77777777" w:rsidTr="00750033">
        <w:tblPrEx>
          <w:tblBorders>
            <w:insideH w:val="single" w:sz="4" w:space="0" w:color="82C341" w:themeColor="background1"/>
          </w:tblBorders>
        </w:tblPrEx>
        <w:trPr>
          <w:trHeight w:val="373"/>
        </w:trPr>
        <w:tc>
          <w:tcPr>
            <w:tcW w:w="1843" w:type="dxa"/>
          </w:tcPr>
          <w:p w14:paraId="017644D0" w14:textId="47886C44" w:rsidR="00C004B5" w:rsidRPr="00750033" w:rsidRDefault="00C004B5" w:rsidP="00C004B5">
            <w:pPr>
              <w:pStyle w:val="TableText"/>
              <w:rPr>
                <w:rFonts w:cstheme="minorHAnsi"/>
                <w:szCs w:val="17"/>
              </w:rPr>
            </w:pPr>
            <w:r w:rsidRPr="00750033">
              <w:rPr>
                <w:rFonts w:cstheme="minorHAnsi"/>
                <w:szCs w:val="17"/>
              </w:rPr>
              <w:t>Polystyrene or expanded polystyrene</w:t>
            </w:r>
          </w:p>
        </w:tc>
        <w:tc>
          <w:tcPr>
            <w:tcW w:w="1276" w:type="dxa"/>
          </w:tcPr>
          <w:p w14:paraId="313A8C98" w14:textId="2882175D" w:rsidR="00C004B5" w:rsidRPr="00750033" w:rsidRDefault="00C004B5" w:rsidP="00C004B5">
            <w:pPr>
              <w:pStyle w:val="TableText"/>
              <w:rPr>
                <w:rFonts w:cstheme="minorHAnsi"/>
                <w:szCs w:val="17"/>
              </w:rPr>
            </w:pPr>
            <w:r w:rsidRPr="00750033">
              <w:rPr>
                <w:rFonts w:cstheme="minorHAnsi"/>
                <w:szCs w:val="17"/>
              </w:rPr>
              <w:t>PS, PS-E</w:t>
            </w:r>
          </w:p>
        </w:tc>
        <w:tc>
          <w:tcPr>
            <w:tcW w:w="4961" w:type="dxa"/>
          </w:tcPr>
          <w:p w14:paraId="2E30836E" w14:textId="59268BD8" w:rsidR="00C004B5" w:rsidRPr="00750033" w:rsidRDefault="00C004B5" w:rsidP="00C004B5">
            <w:pPr>
              <w:pStyle w:val="TableText"/>
              <w:rPr>
                <w:rFonts w:cstheme="minorHAnsi"/>
                <w:szCs w:val="17"/>
              </w:rPr>
            </w:pPr>
            <w:r w:rsidRPr="00750033">
              <w:rPr>
                <w:rFonts w:cstheme="minorHAnsi"/>
                <w:szCs w:val="17"/>
              </w:rPr>
              <w:t xml:space="preserve">A member of the styrene family of plastics, typically referred to as PS. PS can be either a solid or foamed and is used to make protective packaging like packing peanuts </w:t>
            </w:r>
            <w:r w:rsidR="004213AA" w:rsidRPr="00750033">
              <w:rPr>
                <w:rFonts w:cstheme="minorHAnsi"/>
                <w:szCs w:val="17"/>
              </w:rPr>
              <w:t xml:space="preserve">as well as yoghurt containers and disposable cutlery. </w:t>
            </w:r>
            <w:r w:rsidRPr="00750033">
              <w:rPr>
                <w:rFonts w:cstheme="minorHAnsi"/>
                <w:szCs w:val="17"/>
              </w:rPr>
              <w:t>PIC 6.</w:t>
            </w:r>
          </w:p>
        </w:tc>
      </w:tr>
      <w:tr w:rsidR="00C004B5" w:rsidRPr="00E00B9E" w14:paraId="05C76252" w14:textId="77777777" w:rsidTr="00750033">
        <w:tblPrEx>
          <w:tblBorders>
            <w:insideH w:val="single" w:sz="4" w:space="0" w:color="82C341" w:themeColor="background1"/>
          </w:tblBorders>
        </w:tblPrEx>
        <w:trPr>
          <w:trHeight w:val="373"/>
        </w:trPr>
        <w:tc>
          <w:tcPr>
            <w:tcW w:w="1843" w:type="dxa"/>
          </w:tcPr>
          <w:p w14:paraId="65B729CA" w14:textId="56064A7E" w:rsidR="00C004B5" w:rsidRPr="00750033" w:rsidRDefault="00C004B5" w:rsidP="00C004B5">
            <w:pPr>
              <w:pStyle w:val="TableText"/>
              <w:rPr>
                <w:rFonts w:cstheme="minorHAnsi"/>
                <w:szCs w:val="17"/>
              </w:rPr>
            </w:pPr>
            <w:r w:rsidRPr="00750033">
              <w:rPr>
                <w:rFonts w:cstheme="minorHAnsi"/>
                <w:szCs w:val="17"/>
              </w:rPr>
              <w:t>Polyvinyl chloride</w:t>
            </w:r>
          </w:p>
        </w:tc>
        <w:tc>
          <w:tcPr>
            <w:tcW w:w="1276" w:type="dxa"/>
          </w:tcPr>
          <w:p w14:paraId="3ECB09EB" w14:textId="6C8296A9" w:rsidR="00C004B5" w:rsidRPr="00750033" w:rsidRDefault="00C004B5" w:rsidP="00C004B5">
            <w:pPr>
              <w:pStyle w:val="TableText"/>
              <w:rPr>
                <w:rFonts w:cstheme="minorHAnsi"/>
                <w:szCs w:val="17"/>
              </w:rPr>
            </w:pPr>
            <w:r w:rsidRPr="00750033">
              <w:rPr>
                <w:rFonts w:cstheme="minorHAnsi"/>
                <w:szCs w:val="17"/>
              </w:rPr>
              <w:t>PVC</w:t>
            </w:r>
          </w:p>
        </w:tc>
        <w:tc>
          <w:tcPr>
            <w:tcW w:w="4961" w:type="dxa"/>
          </w:tcPr>
          <w:p w14:paraId="0E48468E" w14:textId="36CFB0DD" w:rsidR="00C004B5" w:rsidRPr="00750033" w:rsidRDefault="00C004B5" w:rsidP="00C004B5">
            <w:pPr>
              <w:pStyle w:val="TableText"/>
              <w:rPr>
                <w:rFonts w:cstheme="minorHAnsi"/>
                <w:szCs w:val="17"/>
              </w:rPr>
            </w:pPr>
            <w:r w:rsidRPr="00750033">
              <w:rPr>
                <w:rFonts w:cstheme="minorHAnsi"/>
                <w:szCs w:val="17"/>
              </w:rPr>
              <w:t>A member of the polyvinyl family of plastics, typically referred to as PVC. PVC can be made into either a rigid form, used to make products such as construction pipe, bottles</w:t>
            </w:r>
            <w:r w:rsidR="009166EB" w:rsidRPr="00750033">
              <w:rPr>
                <w:rFonts w:cstheme="minorHAnsi"/>
                <w:szCs w:val="17"/>
              </w:rPr>
              <w:t xml:space="preserve"> and </w:t>
            </w:r>
            <w:r w:rsidRPr="00750033">
              <w:rPr>
                <w:rFonts w:cstheme="minorHAnsi"/>
                <w:szCs w:val="17"/>
              </w:rPr>
              <w:t xml:space="preserve">bank cards, or into a soft form used to make products such as electrical cabling insulation, imitation </w:t>
            </w:r>
            <w:proofErr w:type="gramStart"/>
            <w:r w:rsidRPr="00750033">
              <w:rPr>
                <w:rFonts w:cstheme="minorHAnsi"/>
                <w:szCs w:val="17"/>
              </w:rPr>
              <w:t>leather</w:t>
            </w:r>
            <w:proofErr w:type="gramEnd"/>
            <w:r w:rsidRPr="00750033">
              <w:rPr>
                <w:rFonts w:cstheme="minorHAnsi"/>
                <w:szCs w:val="17"/>
              </w:rPr>
              <w:t xml:space="preserve"> and vinyl records. PIC 3.</w:t>
            </w:r>
          </w:p>
        </w:tc>
      </w:tr>
      <w:tr w:rsidR="00C004B5" w:rsidRPr="00E00B9E" w14:paraId="7C72DEB0" w14:textId="77777777" w:rsidTr="00750033">
        <w:tblPrEx>
          <w:tblBorders>
            <w:insideH w:val="single" w:sz="4" w:space="0" w:color="82C341" w:themeColor="background1"/>
          </w:tblBorders>
        </w:tblPrEx>
        <w:trPr>
          <w:trHeight w:val="373"/>
        </w:trPr>
        <w:tc>
          <w:tcPr>
            <w:tcW w:w="1843" w:type="dxa"/>
          </w:tcPr>
          <w:p w14:paraId="4EEF82D8" w14:textId="77777777" w:rsidR="00C004B5" w:rsidRPr="00750033" w:rsidRDefault="00C004B5" w:rsidP="00C004B5">
            <w:pPr>
              <w:pStyle w:val="TableText"/>
              <w:rPr>
                <w:rFonts w:cstheme="minorHAnsi"/>
                <w:szCs w:val="17"/>
              </w:rPr>
            </w:pPr>
            <w:r w:rsidRPr="00750033">
              <w:rPr>
                <w:rFonts w:cstheme="minorHAnsi"/>
                <w:szCs w:val="17"/>
              </w:rPr>
              <w:t>Recovered</w:t>
            </w:r>
          </w:p>
        </w:tc>
        <w:tc>
          <w:tcPr>
            <w:tcW w:w="1276" w:type="dxa"/>
          </w:tcPr>
          <w:p w14:paraId="557B80D8" w14:textId="77777777" w:rsidR="00C004B5" w:rsidRPr="00750033" w:rsidRDefault="00C004B5" w:rsidP="00C004B5">
            <w:pPr>
              <w:pStyle w:val="TableText"/>
              <w:rPr>
                <w:rFonts w:cstheme="minorHAnsi"/>
                <w:szCs w:val="17"/>
              </w:rPr>
            </w:pPr>
          </w:p>
        </w:tc>
        <w:tc>
          <w:tcPr>
            <w:tcW w:w="4961" w:type="dxa"/>
          </w:tcPr>
          <w:p w14:paraId="7E0AB947" w14:textId="77777777" w:rsidR="00C004B5" w:rsidRPr="00750033" w:rsidRDefault="00C004B5" w:rsidP="00C004B5">
            <w:pPr>
              <w:pStyle w:val="TableText"/>
              <w:rPr>
                <w:rFonts w:cstheme="minorHAnsi"/>
                <w:szCs w:val="17"/>
              </w:rPr>
            </w:pPr>
            <w:r w:rsidRPr="00750033">
              <w:rPr>
                <w:rFonts w:cstheme="minorHAnsi"/>
                <w:szCs w:val="17"/>
              </w:rPr>
              <w:t>Materials recovered and diverted from landfill for reprocessing or use.</w:t>
            </w:r>
          </w:p>
        </w:tc>
      </w:tr>
      <w:tr w:rsidR="00C004B5" w:rsidRPr="00E00B9E" w14:paraId="6018BA2B" w14:textId="77777777" w:rsidTr="00750033">
        <w:tblPrEx>
          <w:tblBorders>
            <w:insideH w:val="single" w:sz="4" w:space="0" w:color="82C341" w:themeColor="background1"/>
          </w:tblBorders>
        </w:tblPrEx>
        <w:trPr>
          <w:trHeight w:val="606"/>
        </w:trPr>
        <w:tc>
          <w:tcPr>
            <w:tcW w:w="1843" w:type="dxa"/>
          </w:tcPr>
          <w:p w14:paraId="5DD5F68E" w14:textId="77777777" w:rsidR="00C004B5" w:rsidRPr="00750033" w:rsidRDefault="00C004B5" w:rsidP="00C004B5">
            <w:pPr>
              <w:pStyle w:val="TableText"/>
              <w:rPr>
                <w:rFonts w:cstheme="minorHAnsi"/>
                <w:szCs w:val="17"/>
              </w:rPr>
            </w:pPr>
            <w:r w:rsidRPr="00750033">
              <w:rPr>
                <w:rFonts w:cstheme="minorHAnsi"/>
                <w:szCs w:val="17"/>
              </w:rPr>
              <w:t>Recycle / Recycling</w:t>
            </w:r>
          </w:p>
        </w:tc>
        <w:tc>
          <w:tcPr>
            <w:tcW w:w="1276" w:type="dxa"/>
          </w:tcPr>
          <w:p w14:paraId="74607FB9" w14:textId="77777777" w:rsidR="00C004B5" w:rsidRPr="00750033" w:rsidRDefault="00C004B5" w:rsidP="00C004B5">
            <w:pPr>
              <w:pStyle w:val="TableText"/>
              <w:rPr>
                <w:rFonts w:cstheme="minorHAnsi"/>
                <w:szCs w:val="17"/>
              </w:rPr>
            </w:pPr>
          </w:p>
        </w:tc>
        <w:tc>
          <w:tcPr>
            <w:tcW w:w="4961" w:type="dxa"/>
          </w:tcPr>
          <w:p w14:paraId="3510C9C1" w14:textId="77777777" w:rsidR="00C004B5" w:rsidRPr="00750033" w:rsidRDefault="00C004B5" w:rsidP="00C004B5">
            <w:pPr>
              <w:pStyle w:val="TableText"/>
              <w:rPr>
                <w:rFonts w:cstheme="minorHAnsi"/>
                <w:szCs w:val="17"/>
              </w:rPr>
            </w:pPr>
            <w:r w:rsidRPr="00750033">
              <w:rPr>
                <w:rFonts w:cstheme="minorHAnsi"/>
                <w:szCs w:val="17"/>
              </w:rPr>
              <w:t>To convert waste into a reusable material. In common practice, the term is used to cover a wide range of activities, including collecting, sorting, reprocessing and reuse.</w:t>
            </w:r>
          </w:p>
        </w:tc>
      </w:tr>
      <w:tr w:rsidR="000052BB" w:rsidRPr="00E00B9E" w14:paraId="0C71735F" w14:textId="77777777" w:rsidTr="00750033">
        <w:tblPrEx>
          <w:tblBorders>
            <w:insideH w:val="single" w:sz="4" w:space="0" w:color="82C341" w:themeColor="background1"/>
          </w:tblBorders>
        </w:tblPrEx>
        <w:trPr>
          <w:trHeight w:val="373"/>
        </w:trPr>
        <w:tc>
          <w:tcPr>
            <w:tcW w:w="1843" w:type="dxa"/>
          </w:tcPr>
          <w:p w14:paraId="38144F0F" w14:textId="432E26DB" w:rsidR="000052BB" w:rsidRPr="00750033" w:rsidRDefault="000052BB" w:rsidP="00C004B5">
            <w:pPr>
              <w:pStyle w:val="TableText"/>
              <w:rPr>
                <w:rFonts w:cstheme="minorHAnsi"/>
                <w:szCs w:val="17"/>
              </w:rPr>
            </w:pPr>
            <w:r w:rsidRPr="00750033">
              <w:rPr>
                <w:rFonts w:cstheme="minorHAnsi"/>
                <w:i/>
                <w:iCs/>
                <w:szCs w:val="17"/>
                <w:lang w:eastAsia="en-AU"/>
              </w:rPr>
              <w:t>Recycling Victoria</w:t>
            </w:r>
          </w:p>
        </w:tc>
        <w:tc>
          <w:tcPr>
            <w:tcW w:w="1276" w:type="dxa"/>
          </w:tcPr>
          <w:p w14:paraId="7E29B8E1" w14:textId="204A86F6" w:rsidR="000052BB" w:rsidRPr="00750033" w:rsidRDefault="000052BB" w:rsidP="00C004B5">
            <w:pPr>
              <w:pStyle w:val="TableText"/>
              <w:rPr>
                <w:rFonts w:cstheme="minorHAnsi"/>
                <w:szCs w:val="17"/>
              </w:rPr>
            </w:pPr>
            <w:r w:rsidRPr="00750033">
              <w:rPr>
                <w:rFonts w:cstheme="minorHAnsi"/>
                <w:szCs w:val="17"/>
              </w:rPr>
              <w:t>RV</w:t>
            </w:r>
          </w:p>
        </w:tc>
        <w:tc>
          <w:tcPr>
            <w:tcW w:w="4961" w:type="dxa"/>
          </w:tcPr>
          <w:p w14:paraId="21A6860D" w14:textId="0C1EEC7D" w:rsidR="000052BB" w:rsidRPr="00750033" w:rsidRDefault="000052BB" w:rsidP="00C004B5">
            <w:pPr>
              <w:pStyle w:val="TableText"/>
              <w:rPr>
                <w:rFonts w:cstheme="minorHAnsi"/>
                <w:szCs w:val="17"/>
              </w:rPr>
            </w:pPr>
            <w:r w:rsidRPr="00750033">
              <w:rPr>
                <w:rFonts w:cstheme="minorHAnsi"/>
                <w:i/>
                <w:iCs/>
                <w:szCs w:val="17"/>
                <w:lang w:eastAsia="en-AU"/>
              </w:rPr>
              <w:t>Recycling Victoria</w:t>
            </w:r>
            <w:r w:rsidRPr="00750033">
              <w:rPr>
                <w:rFonts w:cstheme="minorHAnsi"/>
                <w:szCs w:val="17"/>
                <w:lang w:eastAsia="en-AU"/>
              </w:rPr>
              <w:t xml:space="preserve"> (short for </w:t>
            </w:r>
            <w:r w:rsidRPr="00750033">
              <w:rPr>
                <w:rFonts w:cstheme="minorHAnsi"/>
                <w:i/>
                <w:szCs w:val="17"/>
              </w:rPr>
              <w:t>Recycling Victoria: A New Economy</w:t>
            </w:r>
            <w:r w:rsidRPr="00750033">
              <w:rPr>
                <w:rFonts w:cstheme="minorHAnsi"/>
                <w:iCs/>
                <w:szCs w:val="17"/>
              </w:rPr>
              <w:t>)</w:t>
            </w:r>
            <w:r w:rsidRPr="00750033">
              <w:rPr>
                <w:rFonts w:cstheme="minorHAnsi"/>
                <w:i/>
                <w:szCs w:val="17"/>
              </w:rPr>
              <w:t xml:space="preserve"> </w:t>
            </w:r>
            <w:r w:rsidRPr="00750033">
              <w:rPr>
                <w:rFonts w:cstheme="minorHAnsi"/>
                <w:szCs w:val="17"/>
                <w:lang w:eastAsia="en-AU"/>
              </w:rPr>
              <w:t>– a policy or framework of the Victorian Government to transition the state to a circular economy.</w:t>
            </w:r>
          </w:p>
        </w:tc>
      </w:tr>
      <w:tr w:rsidR="00C004B5" w:rsidRPr="00E00B9E" w14:paraId="79FDB93E" w14:textId="77777777" w:rsidTr="00750033">
        <w:tblPrEx>
          <w:tblBorders>
            <w:insideH w:val="single" w:sz="4" w:space="0" w:color="82C341" w:themeColor="background1"/>
          </w:tblBorders>
        </w:tblPrEx>
        <w:trPr>
          <w:trHeight w:val="373"/>
        </w:trPr>
        <w:tc>
          <w:tcPr>
            <w:tcW w:w="1843" w:type="dxa"/>
          </w:tcPr>
          <w:p w14:paraId="2FAAE148" w14:textId="77777777" w:rsidR="00C004B5" w:rsidRPr="00750033" w:rsidRDefault="00C004B5" w:rsidP="00C004B5">
            <w:pPr>
              <w:pStyle w:val="TableText"/>
              <w:rPr>
                <w:rFonts w:cstheme="minorHAnsi"/>
                <w:szCs w:val="17"/>
              </w:rPr>
            </w:pPr>
            <w:r w:rsidRPr="00750033">
              <w:rPr>
                <w:rFonts w:cstheme="minorHAnsi"/>
                <w:szCs w:val="17"/>
              </w:rPr>
              <w:t>Reprocess</w:t>
            </w:r>
          </w:p>
        </w:tc>
        <w:tc>
          <w:tcPr>
            <w:tcW w:w="1276" w:type="dxa"/>
          </w:tcPr>
          <w:p w14:paraId="499162F1" w14:textId="77777777" w:rsidR="00C004B5" w:rsidRPr="00750033" w:rsidRDefault="00C004B5" w:rsidP="00C004B5">
            <w:pPr>
              <w:pStyle w:val="TableText"/>
              <w:rPr>
                <w:rFonts w:cstheme="minorHAnsi"/>
                <w:szCs w:val="17"/>
              </w:rPr>
            </w:pPr>
          </w:p>
        </w:tc>
        <w:tc>
          <w:tcPr>
            <w:tcW w:w="4961" w:type="dxa"/>
          </w:tcPr>
          <w:p w14:paraId="698DA4F2" w14:textId="77777777" w:rsidR="00C004B5" w:rsidRPr="00750033" w:rsidRDefault="00C004B5" w:rsidP="00C004B5">
            <w:pPr>
              <w:pStyle w:val="TableText"/>
              <w:rPr>
                <w:rFonts w:cstheme="minorHAnsi"/>
                <w:szCs w:val="17"/>
              </w:rPr>
            </w:pPr>
            <w:r w:rsidRPr="00750033">
              <w:rPr>
                <w:rFonts w:cstheme="minorHAnsi"/>
                <w:szCs w:val="17"/>
              </w:rPr>
              <w:t>To put a material that has been used through an industrial process to change it so it can be used again.</w:t>
            </w:r>
          </w:p>
        </w:tc>
      </w:tr>
      <w:tr w:rsidR="00C004B5" w:rsidRPr="00E00B9E" w14:paraId="6EF808F1" w14:textId="77777777" w:rsidTr="00750033">
        <w:trPr>
          <w:trHeight w:val="433"/>
        </w:trPr>
        <w:tc>
          <w:tcPr>
            <w:tcW w:w="1843" w:type="dxa"/>
          </w:tcPr>
          <w:p w14:paraId="15B87DDB" w14:textId="77777777" w:rsidR="00C004B5" w:rsidRPr="00750033" w:rsidRDefault="00C004B5" w:rsidP="00C004B5">
            <w:pPr>
              <w:pStyle w:val="TableText"/>
              <w:rPr>
                <w:rFonts w:cstheme="minorHAnsi"/>
                <w:szCs w:val="17"/>
              </w:rPr>
            </w:pPr>
            <w:proofErr w:type="spellStart"/>
            <w:r w:rsidRPr="00750033">
              <w:rPr>
                <w:rFonts w:cstheme="minorHAnsi"/>
                <w:szCs w:val="17"/>
              </w:rPr>
              <w:t>Reprocessor</w:t>
            </w:r>
            <w:proofErr w:type="spellEnd"/>
            <w:r w:rsidRPr="00750033">
              <w:rPr>
                <w:rFonts w:cstheme="minorHAnsi"/>
                <w:szCs w:val="17"/>
              </w:rPr>
              <w:t xml:space="preserve"> / Reprocessing facility</w:t>
            </w:r>
          </w:p>
        </w:tc>
        <w:tc>
          <w:tcPr>
            <w:tcW w:w="1276" w:type="dxa"/>
          </w:tcPr>
          <w:p w14:paraId="61C0F7A0" w14:textId="77777777" w:rsidR="00C004B5" w:rsidRPr="00750033" w:rsidRDefault="00C004B5" w:rsidP="00C004B5">
            <w:pPr>
              <w:pStyle w:val="TableText"/>
              <w:rPr>
                <w:rFonts w:cstheme="minorHAnsi"/>
                <w:szCs w:val="17"/>
              </w:rPr>
            </w:pPr>
          </w:p>
        </w:tc>
        <w:tc>
          <w:tcPr>
            <w:tcW w:w="4961" w:type="dxa"/>
          </w:tcPr>
          <w:p w14:paraId="42E89063" w14:textId="7C81109C" w:rsidR="00C004B5" w:rsidRPr="00750033" w:rsidRDefault="00C004B5" w:rsidP="00C004B5">
            <w:pPr>
              <w:pStyle w:val="TableText"/>
              <w:rPr>
                <w:rFonts w:cstheme="minorHAnsi"/>
                <w:szCs w:val="17"/>
              </w:rPr>
            </w:pPr>
            <w:r w:rsidRPr="00750033">
              <w:rPr>
                <w:rFonts w:cstheme="minorHAnsi"/>
                <w:szCs w:val="17"/>
              </w:rPr>
              <w:t>Facility that uses an industrial process to change the physical structure and properties of materials so they can be used again. This can include facilities that dismantle products, such as tyres, e-waste and mattresses and waste-to-energy facilities that use materials to generate energy.</w:t>
            </w:r>
          </w:p>
        </w:tc>
      </w:tr>
      <w:tr w:rsidR="00C004B5" w:rsidRPr="00E00B9E" w14:paraId="5A1EAB0B" w14:textId="77777777" w:rsidTr="00750033">
        <w:tblPrEx>
          <w:tblBorders>
            <w:insideH w:val="single" w:sz="4" w:space="0" w:color="82C341" w:themeColor="background1"/>
          </w:tblBorders>
        </w:tblPrEx>
        <w:trPr>
          <w:trHeight w:val="373"/>
        </w:trPr>
        <w:tc>
          <w:tcPr>
            <w:tcW w:w="1843" w:type="dxa"/>
          </w:tcPr>
          <w:p w14:paraId="3C7C03BB" w14:textId="77777777" w:rsidR="00C004B5" w:rsidRPr="00750033" w:rsidRDefault="00C004B5" w:rsidP="00C004B5">
            <w:pPr>
              <w:pStyle w:val="TableText"/>
              <w:rPr>
                <w:rFonts w:cstheme="minorHAnsi"/>
                <w:szCs w:val="17"/>
              </w:rPr>
            </w:pPr>
            <w:r w:rsidRPr="00750033">
              <w:rPr>
                <w:rFonts w:cstheme="minorHAnsi"/>
                <w:szCs w:val="17"/>
              </w:rPr>
              <w:t>Solid waste</w:t>
            </w:r>
          </w:p>
        </w:tc>
        <w:tc>
          <w:tcPr>
            <w:tcW w:w="1276" w:type="dxa"/>
          </w:tcPr>
          <w:p w14:paraId="7CA7F246" w14:textId="77777777" w:rsidR="00C004B5" w:rsidRPr="00750033" w:rsidRDefault="00C004B5" w:rsidP="00C004B5">
            <w:pPr>
              <w:pStyle w:val="TableText"/>
              <w:rPr>
                <w:rFonts w:cstheme="minorHAnsi"/>
                <w:szCs w:val="17"/>
              </w:rPr>
            </w:pPr>
          </w:p>
        </w:tc>
        <w:tc>
          <w:tcPr>
            <w:tcW w:w="4961" w:type="dxa"/>
          </w:tcPr>
          <w:p w14:paraId="5206635C" w14:textId="59128461" w:rsidR="00C004B5" w:rsidRPr="00750033" w:rsidRDefault="00C004B5" w:rsidP="00C004B5">
            <w:pPr>
              <w:pStyle w:val="TableText"/>
              <w:rPr>
                <w:rFonts w:cstheme="minorHAnsi"/>
                <w:szCs w:val="17"/>
              </w:rPr>
            </w:pPr>
            <w:r w:rsidRPr="00750033">
              <w:rPr>
                <w:rFonts w:cstheme="minorHAnsi"/>
                <w:szCs w:val="17"/>
              </w:rPr>
              <w:t>Non-hazardous, non-prescribed, solid waste ranging from municipal garbage to industrial waste.</w:t>
            </w:r>
          </w:p>
        </w:tc>
      </w:tr>
      <w:tr w:rsidR="00C004B5" w:rsidRPr="00E00B9E" w14:paraId="01FDA70E" w14:textId="77777777" w:rsidTr="00750033">
        <w:tblPrEx>
          <w:tblBorders>
            <w:insideH w:val="single" w:sz="4" w:space="0" w:color="82C341" w:themeColor="background1"/>
          </w:tblBorders>
        </w:tblPrEx>
        <w:trPr>
          <w:trHeight w:val="388"/>
        </w:trPr>
        <w:tc>
          <w:tcPr>
            <w:tcW w:w="1843" w:type="dxa"/>
          </w:tcPr>
          <w:p w14:paraId="6594B10A" w14:textId="77777777" w:rsidR="00C004B5" w:rsidRPr="00750033" w:rsidRDefault="00C004B5" w:rsidP="00C004B5">
            <w:pPr>
              <w:pStyle w:val="TableText"/>
              <w:rPr>
                <w:rFonts w:cstheme="minorHAnsi"/>
                <w:szCs w:val="17"/>
              </w:rPr>
            </w:pPr>
            <w:r w:rsidRPr="00750033">
              <w:rPr>
                <w:rFonts w:cstheme="minorHAnsi"/>
                <w:szCs w:val="17"/>
              </w:rPr>
              <w:t>Stockpiling</w:t>
            </w:r>
          </w:p>
        </w:tc>
        <w:tc>
          <w:tcPr>
            <w:tcW w:w="1276" w:type="dxa"/>
          </w:tcPr>
          <w:p w14:paraId="1458C9FE" w14:textId="77777777" w:rsidR="00C004B5" w:rsidRPr="00750033" w:rsidRDefault="00C004B5" w:rsidP="00C004B5">
            <w:pPr>
              <w:pStyle w:val="TableText"/>
              <w:rPr>
                <w:rFonts w:cstheme="minorHAnsi"/>
                <w:szCs w:val="17"/>
              </w:rPr>
            </w:pPr>
          </w:p>
        </w:tc>
        <w:tc>
          <w:tcPr>
            <w:tcW w:w="4961" w:type="dxa"/>
          </w:tcPr>
          <w:p w14:paraId="2D49C454" w14:textId="77777777" w:rsidR="00C004B5" w:rsidRPr="00750033" w:rsidRDefault="00C004B5" w:rsidP="00C004B5">
            <w:pPr>
              <w:pStyle w:val="TableText"/>
              <w:rPr>
                <w:rFonts w:cstheme="minorHAnsi"/>
                <w:szCs w:val="17"/>
              </w:rPr>
            </w:pPr>
            <w:r w:rsidRPr="00750033">
              <w:rPr>
                <w:rFonts w:cstheme="minorHAnsi"/>
                <w:szCs w:val="17"/>
              </w:rPr>
              <w:t>Storing of excess recovered / reprocessed materials.</w:t>
            </w:r>
          </w:p>
        </w:tc>
      </w:tr>
      <w:tr w:rsidR="00C004B5" w:rsidRPr="00E00B9E" w14:paraId="0078DB93" w14:textId="77777777" w:rsidTr="00750033">
        <w:tblPrEx>
          <w:tblBorders>
            <w:insideH w:val="single" w:sz="4" w:space="0" w:color="82C341" w:themeColor="background1"/>
          </w:tblBorders>
        </w:tblPrEx>
        <w:trPr>
          <w:trHeight w:val="433"/>
        </w:trPr>
        <w:tc>
          <w:tcPr>
            <w:tcW w:w="1843" w:type="dxa"/>
          </w:tcPr>
          <w:p w14:paraId="7AFE8412" w14:textId="61B0D629" w:rsidR="00C004B5" w:rsidRPr="00750033" w:rsidRDefault="00C004B5" w:rsidP="00C004B5">
            <w:pPr>
              <w:pStyle w:val="TableText"/>
              <w:ind w:right="-942"/>
              <w:rPr>
                <w:rFonts w:cstheme="minorHAnsi"/>
                <w:szCs w:val="17"/>
              </w:rPr>
            </w:pPr>
            <w:r w:rsidRPr="00750033">
              <w:rPr>
                <w:rFonts w:cstheme="minorHAnsi"/>
                <w:szCs w:val="17"/>
              </w:rPr>
              <w:t>Sustainability Victoria</w:t>
            </w:r>
          </w:p>
        </w:tc>
        <w:tc>
          <w:tcPr>
            <w:tcW w:w="1276" w:type="dxa"/>
          </w:tcPr>
          <w:p w14:paraId="111DAB64" w14:textId="77777777" w:rsidR="00C004B5" w:rsidRPr="00750033" w:rsidRDefault="00C004B5" w:rsidP="00C004B5">
            <w:pPr>
              <w:pStyle w:val="TableText"/>
              <w:rPr>
                <w:rFonts w:cstheme="minorHAnsi"/>
                <w:szCs w:val="17"/>
              </w:rPr>
            </w:pPr>
            <w:r w:rsidRPr="00750033">
              <w:rPr>
                <w:rFonts w:cstheme="minorHAnsi"/>
                <w:szCs w:val="17"/>
              </w:rPr>
              <w:t>SV</w:t>
            </w:r>
          </w:p>
        </w:tc>
        <w:tc>
          <w:tcPr>
            <w:tcW w:w="4961" w:type="dxa"/>
          </w:tcPr>
          <w:p w14:paraId="3A44E7AE" w14:textId="2C45DCF1" w:rsidR="00C004B5" w:rsidRPr="00750033" w:rsidRDefault="00C004B5" w:rsidP="002A6D76">
            <w:pPr>
              <w:pStyle w:val="TableText"/>
              <w:ind w:left="-4" w:firstLine="4"/>
              <w:rPr>
                <w:rFonts w:cstheme="minorHAnsi"/>
                <w:szCs w:val="17"/>
              </w:rPr>
            </w:pPr>
            <w:r w:rsidRPr="00750033">
              <w:rPr>
                <w:rFonts w:cstheme="minorHAnsi"/>
                <w:szCs w:val="17"/>
              </w:rPr>
              <w:t xml:space="preserve">Statutory authority established in October 2005 under the </w:t>
            </w:r>
            <w:r w:rsidR="00373F2A" w:rsidRPr="00750033">
              <w:rPr>
                <w:rFonts w:cstheme="minorHAnsi"/>
                <w:i/>
                <w:szCs w:val="17"/>
              </w:rPr>
              <w:t>Sustainability Victoria</w:t>
            </w:r>
            <w:r w:rsidRPr="00750033">
              <w:rPr>
                <w:rFonts w:cstheme="minorHAnsi"/>
                <w:i/>
                <w:szCs w:val="17"/>
              </w:rPr>
              <w:t xml:space="preserve"> Act 2005</w:t>
            </w:r>
            <w:r w:rsidRPr="00750033">
              <w:rPr>
                <w:rFonts w:cstheme="minorHAnsi"/>
                <w:szCs w:val="17"/>
              </w:rPr>
              <w:t xml:space="preserve"> with the key objective of facilitating and promoting environmental sustainability in the use of resources. SV works across the areas of energy, waste and water with communities, </w:t>
            </w:r>
            <w:proofErr w:type="gramStart"/>
            <w:r w:rsidRPr="00750033">
              <w:rPr>
                <w:rFonts w:cstheme="minorHAnsi"/>
                <w:szCs w:val="17"/>
              </w:rPr>
              <w:t>industries</w:t>
            </w:r>
            <w:proofErr w:type="gramEnd"/>
            <w:r w:rsidRPr="00750033">
              <w:rPr>
                <w:rFonts w:cstheme="minorHAnsi"/>
                <w:szCs w:val="17"/>
              </w:rPr>
              <w:t xml:space="preserve"> and government, applying the best ideas and encouraging action to enable change in environmental practices.</w:t>
            </w:r>
          </w:p>
        </w:tc>
      </w:tr>
      <w:tr w:rsidR="00C004B5" w:rsidRPr="00E00B9E" w14:paraId="251337D3" w14:textId="77777777" w:rsidTr="00750033">
        <w:tblPrEx>
          <w:tblBorders>
            <w:insideH w:val="single" w:sz="4" w:space="0" w:color="82C341" w:themeColor="background1"/>
          </w:tblBorders>
        </w:tblPrEx>
        <w:trPr>
          <w:trHeight w:val="788"/>
        </w:trPr>
        <w:tc>
          <w:tcPr>
            <w:tcW w:w="1843" w:type="dxa"/>
          </w:tcPr>
          <w:p w14:paraId="3F1238E6" w14:textId="7A4EAD82" w:rsidR="00C004B5" w:rsidRPr="00750033" w:rsidRDefault="00C004B5" w:rsidP="00C004B5">
            <w:pPr>
              <w:pStyle w:val="TableText"/>
              <w:rPr>
                <w:rFonts w:cstheme="minorHAnsi"/>
                <w:szCs w:val="17"/>
              </w:rPr>
            </w:pPr>
            <w:r w:rsidRPr="00750033">
              <w:rPr>
                <w:rFonts w:cstheme="minorHAnsi"/>
                <w:szCs w:val="17"/>
              </w:rPr>
              <w:t>Victorian Recycling Industry Annual Survey</w:t>
            </w:r>
          </w:p>
        </w:tc>
        <w:tc>
          <w:tcPr>
            <w:tcW w:w="1276" w:type="dxa"/>
          </w:tcPr>
          <w:p w14:paraId="391D9A8F" w14:textId="2C010AE0" w:rsidR="00C004B5" w:rsidRPr="00750033" w:rsidRDefault="00C004B5" w:rsidP="00C004B5">
            <w:pPr>
              <w:pStyle w:val="TableText"/>
              <w:rPr>
                <w:rFonts w:cstheme="minorHAnsi"/>
                <w:szCs w:val="17"/>
              </w:rPr>
            </w:pPr>
            <w:r w:rsidRPr="00750033">
              <w:rPr>
                <w:rFonts w:cstheme="minorHAnsi"/>
                <w:szCs w:val="17"/>
              </w:rPr>
              <w:t>VRIAS</w:t>
            </w:r>
          </w:p>
        </w:tc>
        <w:tc>
          <w:tcPr>
            <w:tcW w:w="4961" w:type="dxa"/>
          </w:tcPr>
          <w:p w14:paraId="3FBF32F8" w14:textId="2EE36644" w:rsidR="00C004B5" w:rsidRPr="00750033" w:rsidRDefault="008253E9" w:rsidP="000201F3">
            <w:pPr>
              <w:pStyle w:val="TableText"/>
              <w:ind w:left="-4" w:firstLine="4"/>
              <w:rPr>
                <w:rFonts w:cstheme="minorHAnsi"/>
                <w:szCs w:val="17"/>
              </w:rPr>
            </w:pPr>
            <w:r w:rsidRPr="00750033">
              <w:rPr>
                <w:rFonts w:cstheme="minorHAnsi"/>
                <w:szCs w:val="17"/>
              </w:rPr>
              <w:t>A survey carried out by SV that collects information on</w:t>
            </w:r>
            <w:r w:rsidR="000201F3" w:rsidRPr="00750033">
              <w:rPr>
                <w:rFonts w:cstheme="minorHAnsi"/>
                <w:szCs w:val="17"/>
              </w:rPr>
              <w:t xml:space="preserve"> </w:t>
            </w:r>
            <w:r w:rsidRPr="00750033">
              <w:rPr>
                <w:rFonts w:cstheme="minorHAnsi"/>
                <w:szCs w:val="17"/>
              </w:rPr>
              <w:t>the tonnages of waste managed by the</w:t>
            </w:r>
            <w:r w:rsidR="000201F3" w:rsidRPr="00750033">
              <w:rPr>
                <w:rFonts w:cstheme="minorHAnsi"/>
                <w:szCs w:val="17"/>
              </w:rPr>
              <w:t xml:space="preserve"> </w:t>
            </w:r>
            <w:r w:rsidRPr="00750033">
              <w:rPr>
                <w:rFonts w:cstheme="minorHAnsi"/>
                <w:szCs w:val="17"/>
              </w:rPr>
              <w:t>resource recovery sector.</w:t>
            </w:r>
          </w:p>
        </w:tc>
      </w:tr>
      <w:tr w:rsidR="00C004B5" w:rsidRPr="00E00B9E" w14:paraId="1B4942DF" w14:textId="77777777" w:rsidTr="00750033">
        <w:tblPrEx>
          <w:tblBorders>
            <w:insideH w:val="single" w:sz="4" w:space="0" w:color="82C341" w:themeColor="background1"/>
          </w:tblBorders>
        </w:tblPrEx>
        <w:trPr>
          <w:trHeight w:val="1072"/>
        </w:trPr>
        <w:tc>
          <w:tcPr>
            <w:tcW w:w="1843" w:type="dxa"/>
          </w:tcPr>
          <w:p w14:paraId="378C5651" w14:textId="77777777" w:rsidR="00C004B5" w:rsidRPr="00750033" w:rsidRDefault="00C004B5" w:rsidP="00C004B5">
            <w:pPr>
              <w:pStyle w:val="TableText"/>
              <w:rPr>
                <w:rFonts w:cstheme="minorHAnsi"/>
                <w:szCs w:val="17"/>
              </w:rPr>
            </w:pPr>
            <w:r w:rsidRPr="00750033">
              <w:rPr>
                <w:rFonts w:cstheme="minorHAnsi"/>
                <w:szCs w:val="17"/>
              </w:rPr>
              <w:t>Waste</w:t>
            </w:r>
          </w:p>
        </w:tc>
        <w:tc>
          <w:tcPr>
            <w:tcW w:w="1276" w:type="dxa"/>
          </w:tcPr>
          <w:p w14:paraId="1DD838F2" w14:textId="77777777" w:rsidR="00C004B5" w:rsidRPr="00750033" w:rsidRDefault="00C004B5" w:rsidP="00C004B5">
            <w:pPr>
              <w:pStyle w:val="TableText"/>
              <w:rPr>
                <w:rFonts w:cstheme="minorHAnsi"/>
                <w:szCs w:val="17"/>
              </w:rPr>
            </w:pPr>
          </w:p>
        </w:tc>
        <w:tc>
          <w:tcPr>
            <w:tcW w:w="4961" w:type="dxa"/>
          </w:tcPr>
          <w:p w14:paraId="0B0D60DA" w14:textId="1B4530DB" w:rsidR="00C004B5" w:rsidRPr="00750033" w:rsidRDefault="00C004B5" w:rsidP="00C004B5">
            <w:pPr>
              <w:pStyle w:val="TableText"/>
              <w:rPr>
                <w:rFonts w:cstheme="minorHAnsi"/>
                <w:szCs w:val="17"/>
              </w:rPr>
            </w:pPr>
            <w:r w:rsidRPr="00750033">
              <w:rPr>
                <w:rFonts w:cstheme="minorHAnsi"/>
                <w:szCs w:val="17"/>
              </w:rPr>
              <w:t xml:space="preserve">Any discarded, rejected, unwanted, </w:t>
            </w:r>
            <w:proofErr w:type="gramStart"/>
            <w:r w:rsidRPr="00750033">
              <w:rPr>
                <w:rFonts w:cstheme="minorHAnsi"/>
                <w:szCs w:val="17"/>
              </w:rPr>
              <w:t>surplus</w:t>
            </w:r>
            <w:proofErr w:type="gramEnd"/>
            <w:r w:rsidRPr="00750033">
              <w:rPr>
                <w:rFonts w:cstheme="minorHAnsi"/>
                <w:szCs w:val="17"/>
              </w:rPr>
              <w:t xml:space="preserve"> or abandoned matter, including where intended for recycling, reprocessing, recovery, purification or sale. Anything that is no longer valued by its owner for use or </w:t>
            </w:r>
            <w:proofErr w:type="gramStart"/>
            <w:r w:rsidRPr="00750033">
              <w:rPr>
                <w:rFonts w:cstheme="minorHAnsi"/>
                <w:szCs w:val="17"/>
              </w:rPr>
              <w:t>sale</w:t>
            </w:r>
            <w:proofErr w:type="gramEnd"/>
            <w:r w:rsidRPr="00750033">
              <w:rPr>
                <w:rFonts w:cstheme="minorHAnsi"/>
                <w:szCs w:val="17"/>
              </w:rPr>
              <w:t xml:space="preserve"> and which is, or will be, discarded. </w:t>
            </w:r>
            <w:r w:rsidRPr="00750033">
              <w:rPr>
                <w:rFonts w:cstheme="minorHAnsi"/>
                <w:szCs w:val="17"/>
              </w:rPr>
              <w:lastRenderedPageBreak/>
              <w:t>In this document, the term ‘solid waste’ refers to non-hazardous, non-prescribed, solid waste materials ranging from municipal garbage to industrial waste.</w:t>
            </w:r>
          </w:p>
        </w:tc>
      </w:tr>
      <w:tr w:rsidR="004C7F60" w:rsidRPr="00E00B9E" w14:paraId="2A930EA6" w14:textId="77777777" w:rsidTr="00750033">
        <w:tblPrEx>
          <w:tblBorders>
            <w:insideH w:val="single" w:sz="4" w:space="0" w:color="82C341" w:themeColor="background1"/>
          </w:tblBorders>
        </w:tblPrEx>
        <w:trPr>
          <w:trHeight w:val="770"/>
        </w:trPr>
        <w:tc>
          <w:tcPr>
            <w:tcW w:w="1843" w:type="dxa"/>
          </w:tcPr>
          <w:p w14:paraId="3736C95F" w14:textId="0F39CB1E" w:rsidR="004C7F60" w:rsidRPr="00750033" w:rsidRDefault="004C7F60" w:rsidP="004C7F60">
            <w:pPr>
              <w:pStyle w:val="TableText"/>
              <w:rPr>
                <w:rFonts w:cstheme="minorHAnsi"/>
                <w:szCs w:val="17"/>
              </w:rPr>
            </w:pPr>
            <w:r w:rsidRPr="00750033">
              <w:rPr>
                <w:rFonts w:cstheme="minorHAnsi"/>
                <w:i/>
                <w:iCs/>
                <w:szCs w:val="17"/>
              </w:rPr>
              <w:lastRenderedPageBreak/>
              <w:t xml:space="preserve">Waste and Recycling in Victoria </w:t>
            </w:r>
            <w:r w:rsidR="00F14585" w:rsidRPr="00750033">
              <w:rPr>
                <w:rFonts w:cstheme="minorHAnsi"/>
                <w:i/>
                <w:iCs/>
                <w:szCs w:val="17"/>
              </w:rPr>
              <w:t>–</w:t>
            </w:r>
            <w:r w:rsidRPr="00750033">
              <w:rPr>
                <w:rFonts w:cstheme="minorHAnsi"/>
                <w:i/>
                <w:iCs/>
                <w:szCs w:val="17"/>
              </w:rPr>
              <w:t xml:space="preserve"> Local Government </w:t>
            </w:r>
            <w:r w:rsidR="005D2691" w:rsidRPr="00750033">
              <w:rPr>
                <w:rFonts w:cstheme="minorHAnsi"/>
                <w:i/>
                <w:iCs/>
                <w:szCs w:val="17"/>
              </w:rPr>
              <w:t xml:space="preserve">Waste Services </w:t>
            </w:r>
            <w:r w:rsidRPr="00750033">
              <w:rPr>
                <w:rFonts w:cstheme="minorHAnsi"/>
                <w:i/>
                <w:iCs/>
                <w:szCs w:val="17"/>
              </w:rPr>
              <w:t>Report</w:t>
            </w:r>
          </w:p>
        </w:tc>
        <w:tc>
          <w:tcPr>
            <w:tcW w:w="1276" w:type="dxa"/>
          </w:tcPr>
          <w:p w14:paraId="4BD81B47" w14:textId="5400268C" w:rsidR="004C7F60" w:rsidRPr="00750033" w:rsidRDefault="004C7F60" w:rsidP="004C7F60">
            <w:pPr>
              <w:pStyle w:val="TableText"/>
              <w:rPr>
                <w:rFonts w:cstheme="minorHAnsi"/>
                <w:szCs w:val="17"/>
              </w:rPr>
            </w:pPr>
            <w:r w:rsidRPr="00750033">
              <w:rPr>
                <w:rFonts w:cstheme="minorHAnsi"/>
                <w:szCs w:val="17"/>
              </w:rPr>
              <w:t>LG</w:t>
            </w:r>
            <w:r w:rsidR="005D2691" w:rsidRPr="00750033">
              <w:rPr>
                <w:rFonts w:cstheme="minorHAnsi"/>
                <w:szCs w:val="17"/>
              </w:rPr>
              <w:t>WS</w:t>
            </w:r>
            <w:r w:rsidRPr="00750033">
              <w:rPr>
                <w:rFonts w:cstheme="minorHAnsi"/>
                <w:szCs w:val="17"/>
              </w:rPr>
              <w:t>R</w:t>
            </w:r>
          </w:p>
        </w:tc>
        <w:tc>
          <w:tcPr>
            <w:tcW w:w="4961" w:type="dxa"/>
          </w:tcPr>
          <w:p w14:paraId="3C9B3D7F" w14:textId="124D7DFE" w:rsidR="004C7F60" w:rsidRPr="00750033" w:rsidRDefault="004C7F60" w:rsidP="004C7F60">
            <w:pPr>
              <w:pStyle w:val="TableText"/>
              <w:rPr>
                <w:rFonts w:cstheme="minorHAnsi"/>
                <w:szCs w:val="17"/>
              </w:rPr>
            </w:pPr>
            <w:r w:rsidRPr="00750033">
              <w:rPr>
                <w:rFonts w:cstheme="minorHAnsi"/>
                <w:szCs w:val="17"/>
              </w:rPr>
              <w:t>A technical report containing the complete data analysis of waste management and recycling services by Victorian local governments</w:t>
            </w:r>
            <w:r w:rsidR="000201F3" w:rsidRPr="00750033">
              <w:rPr>
                <w:rFonts w:cstheme="minorHAnsi"/>
                <w:szCs w:val="17"/>
              </w:rPr>
              <w:t>.</w:t>
            </w:r>
          </w:p>
        </w:tc>
      </w:tr>
      <w:tr w:rsidR="00C34CB3" w:rsidRPr="00E00B9E" w14:paraId="148BF82F" w14:textId="77777777" w:rsidTr="00750033">
        <w:tblPrEx>
          <w:tblBorders>
            <w:insideH w:val="single" w:sz="4" w:space="0" w:color="82C341" w:themeColor="background1"/>
          </w:tblBorders>
        </w:tblPrEx>
        <w:trPr>
          <w:trHeight w:val="810"/>
        </w:trPr>
        <w:tc>
          <w:tcPr>
            <w:tcW w:w="1843" w:type="dxa"/>
          </w:tcPr>
          <w:p w14:paraId="1D2305E2" w14:textId="6E2B0FE4" w:rsidR="00C34CB3" w:rsidRPr="00750033" w:rsidRDefault="00C34CB3" w:rsidP="004C7F60">
            <w:pPr>
              <w:pStyle w:val="TableText"/>
              <w:rPr>
                <w:rFonts w:cstheme="minorHAnsi"/>
                <w:i/>
                <w:iCs/>
                <w:szCs w:val="17"/>
              </w:rPr>
            </w:pPr>
            <w:r w:rsidRPr="00750033">
              <w:rPr>
                <w:rFonts w:cstheme="minorHAnsi"/>
                <w:i/>
                <w:iCs/>
                <w:szCs w:val="17"/>
              </w:rPr>
              <w:t xml:space="preserve">Waste and Recycling in Victoria – Recycling Industry </w:t>
            </w:r>
            <w:r w:rsidR="00FB2E95" w:rsidRPr="00750033">
              <w:rPr>
                <w:rFonts w:cstheme="minorHAnsi"/>
                <w:i/>
                <w:iCs/>
                <w:szCs w:val="17"/>
              </w:rPr>
              <w:t xml:space="preserve">Waste </w:t>
            </w:r>
            <w:r w:rsidRPr="00750033">
              <w:rPr>
                <w:rFonts w:cstheme="minorHAnsi"/>
                <w:i/>
                <w:iCs/>
                <w:szCs w:val="17"/>
              </w:rPr>
              <w:t>Report</w:t>
            </w:r>
          </w:p>
        </w:tc>
        <w:tc>
          <w:tcPr>
            <w:tcW w:w="1276" w:type="dxa"/>
          </w:tcPr>
          <w:p w14:paraId="63A57502" w14:textId="78E435D0" w:rsidR="00C34CB3" w:rsidRPr="00750033" w:rsidRDefault="00C34CB3" w:rsidP="004C7F60">
            <w:pPr>
              <w:pStyle w:val="TableText"/>
              <w:rPr>
                <w:rFonts w:cstheme="minorHAnsi"/>
                <w:szCs w:val="17"/>
              </w:rPr>
            </w:pPr>
            <w:r w:rsidRPr="00750033">
              <w:rPr>
                <w:rFonts w:cstheme="minorHAnsi"/>
                <w:szCs w:val="17"/>
              </w:rPr>
              <w:t>RI</w:t>
            </w:r>
            <w:r w:rsidR="00FB2E95" w:rsidRPr="00750033">
              <w:rPr>
                <w:rFonts w:cstheme="minorHAnsi"/>
                <w:szCs w:val="17"/>
              </w:rPr>
              <w:t>W</w:t>
            </w:r>
            <w:r w:rsidRPr="00750033">
              <w:rPr>
                <w:rFonts w:cstheme="minorHAnsi"/>
                <w:szCs w:val="17"/>
              </w:rPr>
              <w:t>R</w:t>
            </w:r>
          </w:p>
        </w:tc>
        <w:tc>
          <w:tcPr>
            <w:tcW w:w="4961" w:type="dxa"/>
          </w:tcPr>
          <w:p w14:paraId="5D86B99F" w14:textId="0D1D70E4" w:rsidR="00C34CB3" w:rsidRPr="00750033" w:rsidRDefault="00A1038B" w:rsidP="004C7F60">
            <w:pPr>
              <w:pStyle w:val="TableText"/>
              <w:rPr>
                <w:rFonts w:cstheme="minorHAnsi"/>
                <w:szCs w:val="17"/>
              </w:rPr>
            </w:pPr>
            <w:r w:rsidRPr="00750033">
              <w:rPr>
                <w:rFonts w:cstheme="minorHAnsi"/>
                <w:szCs w:val="17"/>
              </w:rPr>
              <w:t xml:space="preserve">A technical report containing the complete data analysis of waste management and recovery by </w:t>
            </w:r>
            <w:r w:rsidR="00414475" w:rsidRPr="00750033">
              <w:rPr>
                <w:rFonts w:cstheme="minorHAnsi"/>
                <w:szCs w:val="17"/>
              </w:rPr>
              <w:t xml:space="preserve">the </w:t>
            </w:r>
            <w:r w:rsidRPr="00750033">
              <w:rPr>
                <w:rFonts w:cstheme="minorHAnsi"/>
                <w:szCs w:val="17"/>
              </w:rPr>
              <w:t>Victorian recycling industry.</w:t>
            </w:r>
          </w:p>
        </w:tc>
      </w:tr>
      <w:tr w:rsidR="004C7F60" w:rsidRPr="00E00B9E" w14:paraId="354EFCC4" w14:textId="77777777" w:rsidTr="00750033">
        <w:tblPrEx>
          <w:tblBorders>
            <w:insideH w:val="single" w:sz="4" w:space="0" w:color="82C341" w:themeColor="background1"/>
          </w:tblBorders>
        </w:tblPrEx>
        <w:trPr>
          <w:trHeight w:val="810"/>
        </w:trPr>
        <w:tc>
          <w:tcPr>
            <w:tcW w:w="1843" w:type="dxa"/>
          </w:tcPr>
          <w:p w14:paraId="5DA8A9B1" w14:textId="4EC42391" w:rsidR="004C7F60" w:rsidRPr="00750033" w:rsidRDefault="004C7F60" w:rsidP="004C7F60">
            <w:pPr>
              <w:pStyle w:val="TableText"/>
              <w:rPr>
                <w:rFonts w:cstheme="minorHAnsi"/>
                <w:i/>
                <w:iCs/>
                <w:szCs w:val="17"/>
              </w:rPr>
            </w:pPr>
            <w:r w:rsidRPr="00750033">
              <w:rPr>
                <w:rFonts w:cstheme="minorHAnsi"/>
                <w:i/>
                <w:iCs/>
                <w:szCs w:val="17"/>
              </w:rPr>
              <w:t xml:space="preserve">Waste and Recycling in Victoria – </w:t>
            </w:r>
            <w:r w:rsidR="008236C4" w:rsidRPr="00750033">
              <w:rPr>
                <w:rFonts w:cstheme="minorHAnsi"/>
                <w:i/>
                <w:iCs/>
                <w:szCs w:val="17"/>
              </w:rPr>
              <w:t xml:space="preserve">Strategic </w:t>
            </w:r>
            <w:r w:rsidRPr="00750033">
              <w:rPr>
                <w:rFonts w:cstheme="minorHAnsi"/>
                <w:i/>
                <w:iCs/>
                <w:szCs w:val="17"/>
              </w:rPr>
              <w:t>Summary Report</w:t>
            </w:r>
          </w:p>
        </w:tc>
        <w:tc>
          <w:tcPr>
            <w:tcW w:w="1276" w:type="dxa"/>
          </w:tcPr>
          <w:p w14:paraId="2A82C358" w14:textId="1DA5475C" w:rsidR="004C7F60" w:rsidRPr="00750033" w:rsidRDefault="004C7F60" w:rsidP="004C7F60">
            <w:pPr>
              <w:pStyle w:val="TableText"/>
              <w:rPr>
                <w:rFonts w:cstheme="minorHAnsi"/>
                <w:szCs w:val="17"/>
              </w:rPr>
            </w:pPr>
            <w:r w:rsidRPr="00750033">
              <w:rPr>
                <w:rFonts w:cstheme="minorHAnsi"/>
                <w:szCs w:val="17"/>
              </w:rPr>
              <w:t>S</w:t>
            </w:r>
            <w:r w:rsidR="008236C4" w:rsidRPr="00750033">
              <w:rPr>
                <w:rFonts w:cstheme="minorHAnsi"/>
                <w:szCs w:val="17"/>
              </w:rPr>
              <w:t>S</w:t>
            </w:r>
            <w:r w:rsidRPr="00750033">
              <w:rPr>
                <w:rFonts w:cstheme="minorHAnsi"/>
                <w:szCs w:val="17"/>
              </w:rPr>
              <w:t>R</w:t>
            </w:r>
          </w:p>
        </w:tc>
        <w:tc>
          <w:tcPr>
            <w:tcW w:w="4961" w:type="dxa"/>
          </w:tcPr>
          <w:p w14:paraId="758CCADA" w14:textId="68D14F21" w:rsidR="004C7F60" w:rsidRPr="00750033" w:rsidRDefault="004C7F60" w:rsidP="004C7F60">
            <w:pPr>
              <w:pStyle w:val="TableText"/>
              <w:rPr>
                <w:rFonts w:cstheme="minorHAnsi"/>
                <w:szCs w:val="17"/>
              </w:rPr>
            </w:pPr>
            <w:r w:rsidRPr="00750033">
              <w:rPr>
                <w:rFonts w:cstheme="minorHAnsi"/>
                <w:szCs w:val="17"/>
              </w:rPr>
              <w:t xml:space="preserve">A summary report containing highlights from this technical report and the accompanying </w:t>
            </w:r>
            <w:r w:rsidR="005D2691" w:rsidRPr="00750033">
              <w:rPr>
                <w:rFonts w:cstheme="minorHAnsi"/>
                <w:szCs w:val="17"/>
              </w:rPr>
              <w:t>LGWSR</w:t>
            </w:r>
            <w:r w:rsidRPr="00750033">
              <w:rPr>
                <w:rFonts w:cstheme="minorHAnsi"/>
                <w:szCs w:val="17"/>
              </w:rPr>
              <w:t xml:space="preserve"> and a broader discussion of the state of waste in Victoria.</w:t>
            </w:r>
          </w:p>
        </w:tc>
      </w:tr>
      <w:bookmarkEnd w:id="131"/>
    </w:tbl>
    <w:p w14:paraId="1B44D228" w14:textId="16AE6578" w:rsidR="001F3331" w:rsidRDefault="001F3331">
      <w:pPr>
        <w:spacing w:after="0" w:line="240" w:lineRule="auto"/>
        <w:rPr>
          <w:rFonts w:asciiTheme="majorHAnsi" w:eastAsiaTheme="majorEastAsia" w:hAnsiTheme="majorHAnsi" w:cstheme="majorBidi"/>
          <w:bCs/>
          <w:sz w:val="28"/>
          <w:szCs w:val="28"/>
        </w:rPr>
      </w:pPr>
      <w:r>
        <w:br w:type="page"/>
      </w:r>
    </w:p>
    <w:p w14:paraId="6A0F2703" w14:textId="6F97EF88" w:rsidR="000D5A58" w:rsidRPr="00BC2909" w:rsidRDefault="001F3331" w:rsidP="002E271E">
      <w:pPr>
        <w:pStyle w:val="SectionDividerTitle"/>
        <w:framePr w:wrap="around"/>
        <w:rPr>
          <w:color w:val="auto"/>
        </w:rPr>
      </w:pPr>
      <w:bookmarkStart w:id="132" w:name="_Ref80209049"/>
      <w:bookmarkStart w:id="133" w:name="_Ref80209069"/>
      <w:bookmarkStart w:id="134" w:name="_Toc83108382"/>
      <w:r>
        <w:lastRenderedPageBreak/>
        <w:t xml:space="preserve">Appendix A: </w:t>
      </w:r>
      <w:bookmarkStart w:id="135" w:name="_Ref80209103"/>
      <w:bookmarkEnd w:id="132"/>
      <w:bookmarkEnd w:id="133"/>
      <w:r w:rsidR="00B43A25">
        <w:t>C</w:t>
      </w:r>
      <w:r w:rsidR="002E271E">
        <w:t xml:space="preserve">omparison </w:t>
      </w:r>
      <w:r w:rsidR="00B43A25">
        <w:t xml:space="preserve">of </w:t>
      </w:r>
      <w:r w:rsidR="00684698">
        <w:t>survey data</w:t>
      </w:r>
      <w:bookmarkEnd w:id="134"/>
      <w:bookmarkEnd w:id="135"/>
    </w:p>
    <w:p w14:paraId="7113E90F" w14:textId="5D2B96DB" w:rsidR="00A9671C" w:rsidRDefault="00B433B3" w:rsidP="00B43A25">
      <w:r>
        <w:rPr>
          <w:noProof/>
          <w:lang w:eastAsia="en-AU"/>
        </w:rPr>
        <w:drawing>
          <wp:anchor distT="0" distB="0" distL="114300" distR="114300" simplePos="0" relativeHeight="251658246" behindDoc="1" locked="1" layoutInCell="1" allowOverlap="1" wp14:anchorId="18443596" wp14:editId="68780C2E">
            <wp:simplePos x="0" y="0"/>
            <wp:positionH relativeFrom="page">
              <wp:posOffset>-22225</wp:posOffset>
            </wp:positionH>
            <wp:positionV relativeFrom="page">
              <wp:posOffset>-1270</wp:posOffset>
            </wp:positionV>
            <wp:extent cx="7559675" cy="3095625"/>
            <wp:effectExtent l="0" t="0" r="3175" b="9525"/>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24">
                      <a:clrChange>
                        <a:clrFrom>
                          <a:srgbClr val="FFFFFF"/>
                        </a:clrFrom>
                        <a:clrTo>
                          <a:srgbClr val="FFFFFF">
                            <a:alpha val="0"/>
                          </a:srgbClr>
                        </a:clrTo>
                      </a:clrChange>
                    </a:blip>
                    <a:stretch>
                      <a:fillRect/>
                    </a:stretch>
                  </pic:blipFill>
                  <pic:spPr>
                    <a:xfrm>
                      <a:off x="0" y="0"/>
                      <a:ext cx="7559675" cy="3095625"/>
                    </a:xfrm>
                    <a:prstGeom prst="rect">
                      <a:avLst/>
                    </a:prstGeom>
                  </pic:spPr>
                </pic:pic>
              </a:graphicData>
            </a:graphic>
            <wp14:sizeRelH relativeFrom="margin">
              <wp14:pctWidth>0</wp14:pctWidth>
            </wp14:sizeRelH>
            <wp14:sizeRelV relativeFrom="margin">
              <wp14:pctHeight>0</wp14:pctHeight>
            </wp14:sizeRelV>
          </wp:anchor>
        </w:drawing>
      </w:r>
    </w:p>
    <w:p w14:paraId="05ADCC9F" w14:textId="77777777" w:rsidR="00A9671C" w:rsidRDefault="00A9671C" w:rsidP="00B43A25"/>
    <w:p w14:paraId="23BA9B45" w14:textId="6B51750B" w:rsidR="00B43A25" w:rsidRPr="001141B2" w:rsidRDefault="00B43A25" w:rsidP="00B43A25">
      <w:proofErr w:type="gramStart"/>
      <w:r w:rsidRPr="001141B2">
        <w:t>At a glance</w:t>
      </w:r>
      <w:proofErr w:type="gramEnd"/>
      <w:r w:rsidRPr="001141B2">
        <w:t xml:space="preserve">, </w:t>
      </w:r>
      <w:r w:rsidRPr="001141B2">
        <w:fldChar w:fldCharType="begin"/>
      </w:r>
      <w:r w:rsidRPr="001141B2">
        <w:instrText xml:space="preserve"> REF _Ref41983294 \h  \* MERGEFORMAT </w:instrText>
      </w:r>
      <w:r w:rsidRPr="001141B2">
        <w:fldChar w:fldCharType="separate"/>
      </w:r>
      <w:r w:rsidR="00176C53" w:rsidRPr="001141B2">
        <w:t xml:space="preserve">Table </w:t>
      </w:r>
      <w:r w:rsidR="00176C53">
        <w:rPr>
          <w:noProof/>
          <w:lang w:eastAsia="en-AU"/>
        </w:rPr>
        <w:t>5</w:t>
      </w:r>
      <w:r w:rsidRPr="001141B2">
        <w:fldChar w:fldCharType="end"/>
      </w:r>
      <w:r>
        <w:t xml:space="preserve"> </w:t>
      </w:r>
      <w:r w:rsidRPr="001141B2">
        <w:t xml:space="preserve">high-level summary data from </w:t>
      </w:r>
      <w:r w:rsidRPr="007C14F5">
        <w:rPr>
          <w:i/>
          <w:iCs/>
        </w:rPr>
        <w:t>Waste and Recycling in Victoria</w:t>
      </w:r>
      <w:r w:rsidR="00985E4A">
        <w:rPr>
          <w:i/>
          <w:iCs/>
        </w:rPr>
        <w:t xml:space="preserve"> </w:t>
      </w:r>
      <w:r>
        <w:rPr>
          <w:i/>
          <w:iCs/>
        </w:rPr>
        <w:t xml:space="preserve">– </w:t>
      </w:r>
      <w:r w:rsidR="00985E4A">
        <w:rPr>
          <w:i/>
          <w:iCs/>
        </w:rPr>
        <w:t xml:space="preserve">Recycling </w:t>
      </w:r>
      <w:r>
        <w:rPr>
          <w:i/>
          <w:iCs/>
        </w:rPr>
        <w:t xml:space="preserve">Industry </w:t>
      </w:r>
      <w:r w:rsidR="00FB2E95">
        <w:rPr>
          <w:i/>
          <w:iCs/>
        </w:rPr>
        <w:t xml:space="preserve">Waste </w:t>
      </w:r>
      <w:r w:rsidRPr="00C06887">
        <w:rPr>
          <w:i/>
          <w:iCs/>
        </w:rPr>
        <w:t>Report</w:t>
      </w:r>
      <w:r>
        <w:rPr>
          <w:i/>
          <w:iCs/>
        </w:rPr>
        <w:t xml:space="preserve"> 2019–20 </w:t>
      </w:r>
      <w:r w:rsidRPr="001341FB">
        <w:t>(</w:t>
      </w:r>
      <w:r w:rsidR="00985E4A" w:rsidRPr="001341FB">
        <w:t>RI</w:t>
      </w:r>
      <w:r w:rsidR="00FB2E95">
        <w:t>W</w:t>
      </w:r>
      <w:r w:rsidR="00985E4A" w:rsidRPr="001341FB">
        <w:t>R</w:t>
      </w:r>
      <w:r w:rsidRPr="001341FB">
        <w:t>)</w:t>
      </w:r>
      <w:r>
        <w:rPr>
          <w:i/>
          <w:iCs/>
        </w:rPr>
        <w:t xml:space="preserve"> </w:t>
      </w:r>
      <w:r w:rsidRPr="001141B2">
        <w:t xml:space="preserve">and </w:t>
      </w:r>
      <w:r w:rsidRPr="007C14F5">
        <w:rPr>
          <w:i/>
          <w:iCs/>
        </w:rPr>
        <w:t xml:space="preserve">Waste and Recycling in Victoria – </w:t>
      </w:r>
      <w:r w:rsidR="005D2691">
        <w:rPr>
          <w:i/>
          <w:iCs/>
        </w:rPr>
        <w:t xml:space="preserve">Local Government Waste Services Report </w:t>
      </w:r>
      <w:r w:rsidRPr="001341FB">
        <w:t>(</w:t>
      </w:r>
      <w:r w:rsidR="005D2691" w:rsidRPr="001341FB">
        <w:t>LGWSR</w:t>
      </w:r>
      <w:r w:rsidRPr="001341FB">
        <w:t>)</w:t>
      </w:r>
      <w:r>
        <w:rPr>
          <w:i/>
          <w:iCs/>
        </w:rPr>
        <w:t xml:space="preserve"> </w:t>
      </w:r>
      <w:r w:rsidRPr="001141B2">
        <w:t>appear quite similar</w:t>
      </w:r>
      <w:r>
        <w:t>.</w:t>
      </w:r>
    </w:p>
    <w:p w14:paraId="48E36DD9" w14:textId="5932D900" w:rsidR="00B43A25" w:rsidRDefault="00B43A25" w:rsidP="00B43A25">
      <w:pPr>
        <w:pStyle w:val="FigureCaption"/>
        <w:rPr>
          <w:rFonts w:ascii="Arial" w:eastAsia="Arial" w:hAnsi="Arial"/>
          <w:color w:val="82C341"/>
        </w:rPr>
      </w:pPr>
      <w:bookmarkStart w:id="136" w:name="_Ref41983294"/>
      <w:bookmarkStart w:id="137" w:name="_Toc77852576"/>
      <w:r w:rsidRPr="001141B2">
        <w:t xml:space="preserve">Table </w:t>
      </w:r>
      <w:r w:rsidR="0085736C">
        <w:fldChar w:fldCharType="begin"/>
      </w:r>
      <w:r w:rsidR="0085736C">
        <w:instrText xml:space="preserve"> SEQ Table \* ARABIC </w:instrText>
      </w:r>
      <w:r w:rsidR="0085736C">
        <w:fldChar w:fldCharType="separate"/>
      </w:r>
      <w:r w:rsidR="00176C53">
        <w:rPr>
          <w:noProof/>
        </w:rPr>
        <w:t>5</w:t>
      </w:r>
      <w:r w:rsidR="0085736C">
        <w:rPr>
          <w:noProof/>
        </w:rPr>
        <w:fldChar w:fldCharType="end"/>
      </w:r>
      <w:bookmarkEnd w:id="136"/>
      <w:r w:rsidRPr="001141B2">
        <w:t xml:space="preserve">: </w:t>
      </w:r>
      <w:r w:rsidR="00985E4A">
        <w:t>RI</w:t>
      </w:r>
      <w:r w:rsidR="00FB2E95">
        <w:t>W</w:t>
      </w:r>
      <w:r w:rsidR="00985E4A">
        <w:t>R</w:t>
      </w:r>
      <w:r w:rsidRPr="001141B2">
        <w:t xml:space="preserve"> and </w:t>
      </w:r>
      <w:r w:rsidR="005D2691">
        <w:t>LGWSR</w:t>
      </w:r>
      <w:r w:rsidRPr="001141B2">
        <w:t xml:space="preserve"> comparison at aggregated </w:t>
      </w:r>
      <w:r w:rsidRPr="003171D9">
        <w:t xml:space="preserve">level, </w:t>
      </w:r>
      <w:r w:rsidRPr="003171D9">
        <w:rPr>
          <w:rFonts w:ascii="Arial" w:eastAsia="Arial" w:hAnsi="Arial"/>
        </w:rPr>
        <w:t>2019–20</w:t>
      </w:r>
      <w:bookmarkEnd w:id="137"/>
    </w:p>
    <w:tbl>
      <w:tblPr>
        <w:tblStyle w:val="SVTable"/>
        <w:tblW w:w="5000" w:type="pct"/>
        <w:tblLook w:val="04E0" w:firstRow="1" w:lastRow="1" w:firstColumn="1" w:lastColumn="0" w:noHBand="0" w:noVBand="1"/>
      </w:tblPr>
      <w:tblGrid>
        <w:gridCol w:w="1811"/>
        <w:gridCol w:w="2271"/>
        <w:gridCol w:w="2637"/>
        <w:gridCol w:w="1048"/>
      </w:tblGrid>
      <w:tr w:rsidR="00B43A25" w:rsidRPr="003171D9" w14:paraId="1952C256" w14:textId="77777777" w:rsidTr="00E1055E">
        <w:trPr>
          <w:cnfStyle w:val="100000000000" w:firstRow="1" w:lastRow="0" w:firstColumn="0" w:lastColumn="0" w:oddVBand="0" w:evenVBand="0" w:oddHBand="0" w:evenHBand="0" w:firstRowFirstColumn="0" w:firstRowLastColumn="0" w:lastRowFirstColumn="0" w:lastRowLastColumn="0"/>
        </w:trPr>
        <w:tc>
          <w:tcPr>
            <w:tcW w:w="1178" w:type="pct"/>
            <w:tcBorders>
              <w:bottom w:val="single" w:sz="4" w:space="0" w:color="82C341" w:themeColor="background1"/>
            </w:tcBorders>
          </w:tcPr>
          <w:p w14:paraId="57F9F81F" w14:textId="77777777" w:rsidR="00B43A25" w:rsidRPr="00C63DE3" w:rsidRDefault="00B43A25" w:rsidP="00E1055E">
            <w:pPr>
              <w:pStyle w:val="TableHeading"/>
              <w:rPr>
                <w:b/>
                <w:color w:val="auto"/>
              </w:rPr>
            </w:pPr>
            <w:r w:rsidRPr="00C63DE3">
              <w:rPr>
                <w:b/>
                <w:color w:val="auto"/>
              </w:rPr>
              <w:t>Data point</w:t>
            </w:r>
          </w:p>
        </w:tc>
        <w:tc>
          <w:tcPr>
            <w:tcW w:w="1474" w:type="pct"/>
            <w:tcBorders>
              <w:bottom w:val="single" w:sz="4" w:space="0" w:color="82C341" w:themeColor="background1"/>
            </w:tcBorders>
          </w:tcPr>
          <w:p w14:paraId="2BB09262" w14:textId="03052B2E" w:rsidR="00B43A25" w:rsidRPr="00C63DE3" w:rsidRDefault="00985E4A" w:rsidP="00E1055E">
            <w:pPr>
              <w:pStyle w:val="TableHeading"/>
              <w:jc w:val="right"/>
              <w:rPr>
                <w:b/>
                <w:color w:val="auto"/>
              </w:rPr>
            </w:pPr>
            <w:r w:rsidRPr="00C63DE3">
              <w:rPr>
                <w:b/>
                <w:color w:val="auto"/>
              </w:rPr>
              <w:t>RI</w:t>
            </w:r>
            <w:r w:rsidR="00FB2E95" w:rsidRPr="00C63DE3">
              <w:rPr>
                <w:b/>
                <w:color w:val="auto"/>
              </w:rPr>
              <w:t>W</w:t>
            </w:r>
            <w:r w:rsidRPr="00C63DE3">
              <w:rPr>
                <w:b/>
                <w:color w:val="auto"/>
              </w:rPr>
              <w:t>R</w:t>
            </w:r>
            <w:r w:rsidR="00B43A25" w:rsidRPr="00C63DE3">
              <w:rPr>
                <w:b/>
                <w:color w:val="auto"/>
              </w:rPr>
              <w:t xml:space="preserve"> (MSW only)</w:t>
            </w:r>
          </w:p>
        </w:tc>
        <w:tc>
          <w:tcPr>
            <w:tcW w:w="1710" w:type="pct"/>
            <w:tcBorders>
              <w:bottom w:val="single" w:sz="4" w:space="0" w:color="82C341" w:themeColor="background1"/>
            </w:tcBorders>
          </w:tcPr>
          <w:p w14:paraId="2FEC7A44" w14:textId="708F19CE" w:rsidR="00B43A25" w:rsidRPr="00C63DE3" w:rsidRDefault="005D2691" w:rsidP="00E1055E">
            <w:pPr>
              <w:pStyle w:val="TableHeading"/>
              <w:jc w:val="right"/>
              <w:rPr>
                <w:b/>
                <w:color w:val="auto"/>
              </w:rPr>
            </w:pPr>
            <w:r w:rsidRPr="00C63DE3">
              <w:rPr>
                <w:b/>
                <w:color w:val="auto"/>
              </w:rPr>
              <w:t>LGWSR</w:t>
            </w:r>
          </w:p>
        </w:tc>
        <w:tc>
          <w:tcPr>
            <w:tcW w:w="638" w:type="pct"/>
            <w:tcBorders>
              <w:bottom w:val="single" w:sz="4" w:space="0" w:color="82C341" w:themeColor="background1"/>
            </w:tcBorders>
            <w:vAlign w:val="center"/>
          </w:tcPr>
          <w:p w14:paraId="1E1B532E" w14:textId="77777777" w:rsidR="00B43A25" w:rsidRPr="00C63DE3" w:rsidRDefault="00B43A25" w:rsidP="00E1055E">
            <w:pPr>
              <w:pStyle w:val="TableHeading"/>
              <w:jc w:val="right"/>
              <w:rPr>
                <w:b/>
                <w:color w:val="auto"/>
              </w:rPr>
            </w:pPr>
            <w:r w:rsidRPr="00C63DE3">
              <w:rPr>
                <w:b/>
                <w:color w:val="auto"/>
              </w:rPr>
              <w:t>Difference</w:t>
            </w:r>
          </w:p>
        </w:tc>
      </w:tr>
      <w:tr w:rsidR="00B43A25" w:rsidRPr="003171D9" w14:paraId="16CAEE42" w14:textId="77777777" w:rsidTr="00E1055E">
        <w:tc>
          <w:tcPr>
            <w:tcW w:w="1178" w:type="pct"/>
            <w:tcBorders>
              <w:top w:val="single" w:sz="4" w:space="0" w:color="82C341" w:themeColor="background1"/>
              <w:bottom w:val="single" w:sz="4" w:space="0" w:color="82C341" w:themeColor="background1"/>
            </w:tcBorders>
            <w:shd w:val="clear" w:color="auto" w:fill="auto"/>
          </w:tcPr>
          <w:p w14:paraId="16F620AE" w14:textId="77777777" w:rsidR="00B43A25" w:rsidRPr="003171D9" w:rsidRDefault="00B43A25" w:rsidP="00E1055E">
            <w:pPr>
              <w:pStyle w:val="TableText"/>
              <w:rPr>
                <w:b/>
                <w:bCs w:val="0"/>
                <w:color w:val="auto"/>
              </w:rPr>
            </w:pPr>
            <w:r w:rsidRPr="003171D9">
              <w:rPr>
                <w:b/>
                <w:bCs w:val="0"/>
                <w:color w:val="auto"/>
              </w:rPr>
              <w:t>Total waste to landfill (tonnes)</w:t>
            </w:r>
          </w:p>
        </w:tc>
        <w:tc>
          <w:tcPr>
            <w:tcW w:w="1474" w:type="pct"/>
            <w:tcBorders>
              <w:top w:val="single" w:sz="4" w:space="0" w:color="82C341" w:themeColor="background1"/>
              <w:bottom w:val="single" w:sz="4" w:space="0" w:color="82C341" w:themeColor="background1"/>
            </w:tcBorders>
          </w:tcPr>
          <w:p w14:paraId="7B5078F7" w14:textId="77777777" w:rsidR="00B43A25" w:rsidRPr="003171D9" w:rsidRDefault="00B43A25" w:rsidP="00E1055E">
            <w:pPr>
              <w:pStyle w:val="TableText"/>
              <w:jc w:val="right"/>
              <w:rPr>
                <w:b/>
                <w:bCs w:val="0"/>
                <w:color w:val="auto"/>
              </w:rPr>
            </w:pPr>
            <w:r w:rsidRPr="003171D9">
              <w:rPr>
                <w:b/>
                <w:bCs w:val="0"/>
                <w:color w:val="auto"/>
              </w:rPr>
              <w:t>1,787,600</w:t>
            </w:r>
          </w:p>
        </w:tc>
        <w:tc>
          <w:tcPr>
            <w:tcW w:w="1710" w:type="pct"/>
            <w:tcBorders>
              <w:top w:val="single" w:sz="4" w:space="0" w:color="82C341" w:themeColor="background1"/>
              <w:bottom w:val="single" w:sz="4" w:space="0" w:color="82C341" w:themeColor="background1"/>
            </w:tcBorders>
          </w:tcPr>
          <w:p w14:paraId="593DA00D" w14:textId="77777777" w:rsidR="00B43A25" w:rsidRPr="003171D9" w:rsidRDefault="00B43A25" w:rsidP="00E1055E">
            <w:pPr>
              <w:pStyle w:val="TableText"/>
              <w:jc w:val="right"/>
              <w:rPr>
                <w:b/>
                <w:bCs w:val="0"/>
                <w:color w:val="auto"/>
              </w:rPr>
            </w:pPr>
            <w:r w:rsidRPr="003171D9">
              <w:rPr>
                <w:b/>
                <w:bCs w:val="0"/>
                <w:color w:val="auto"/>
              </w:rPr>
              <w:t>1,653,300</w:t>
            </w:r>
          </w:p>
        </w:tc>
        <w:tc>
          <w:tcPr>
            <w:tcW w:w="638" w:type="pct"/>
            <w:tcBorders>
              <w:top w:val="single" w:sz="4" w:space="0" w:color="82C341" w:themeColor="background1"/>
              <w:bottom w:val="nil"/>
            </w:tcBorders>
            <w:shd w:val="clear" w:color="auto" w:fill="auto"/>
          </w:tcPr>
          <w:p w14:paraId="2C320A89" w14:textId="158A4E82" w:rsidR="00B43A25" w:rsidRPr="003171D9" w:rsidRDefault="00004775" w:rsidP="00E1055E">
            <w:pPr>
              <w:pStyle w:val="TableText"/>
              <w:jc w:val="right"/>
              <w:rPr>
                <w:b/>
                <w:bCs w:val="0"/>
                <w:color w:val="auto"/>
              </w:rPr>
            </w:pPr>
            <w:r>
              <w:rPr>
                <w:b/>
                <w:bCs w:val="0"/>
                <w:color w:val="auto"/>
              </w:rPr>
              <w:t>7.5</w:t>
            </w:r>
            <w:r w:rsidR="00B43A25" w:rsidRPr="003171D9">
              <w:rPr>
                <w:b/>
                <w:bCs w:val="0"/>
                <w:color w:val="auto"/>
              </w:rPr>
              <w:t>%</w:t>
            </w:r>
          </w:p>
        </w:tc>
      </w:tr>
      <w:tr w:rsidR="00B43A25" w:rsidRPr="003171D9" w14:paraId="0796D865" w14:textId="77777777" w:rsidTr="00E1055E">
        <w:tc>
          <w:tcPr>
            <w:tcW w:w="1178" w:type="pct"/>
            <w:tcBorders>
              <w:top w:val="single" w:sz="4" w:space="0" w:color="82C341" w:themeColor="background1"/>
              <w:bottom w:val="single" w:sz="4" w:space="0" w:color="auto"/>
            </w:tcBorders>
            <w:shd w:val="clear" w:color="auto" w:fill="auto"/>
          </w:tcPr>
          <w:p w14:paraId="02230E35" w14:textId="77777777" w:rsidR="00B43A25" w:rsidRPr="003171D9" w:rsidRDefault="00B43A25" w:rsidP="00E1055E">
            <w:pPr>
              <w:pStyle w:val="TableText"/>
              <w:rPr>
                <w:i/>
                <w:iCs/>
                <w:color w:val="auto"/>
              </w:rPr>
            </w:pPr>
            <w:r w:rsidRPr="003171D9">
              <w:rPr>
                <w:i/>
                <w:iCs/>
                <w:color w:val="auto"/>
              </w:rPr>
              <w:t>Data source</w:t>
            </w:r>
          </w:p>
        </w:tc>
        <w:tc>
          <w:tcPr>
            <w:tcW w:w="1474" w:type="pct"/>
            <w:tcBorders>
              <w:top w:val="single" w:sz="4" w:space="0" w:color="82C341" w:themeColor="background1"/>
              <w:bottom w:val="single" w:sz="4" w:space="0" w:color="auto"/>
            </w:tcBorders>
          </w:tcPr>
          <w:p w14:paraId="15E4AB86" w14:textId="77777777" w:rsidR="00B43A25" w:rsidRPr="003171D9" w:rsidRDefault="00B43A25" w:rsidP="00E1055E">
            <w:pPr>
              <w:pStyle w:val="TableText"/>
              <w:jc w:val="right"/>
              <w:rPr>
                <w:i/>
                <w:iCs/>
                <w:color w:val="auto"/>
              </w:rPr>
            </w:pPr>
            <w:r w:rsidRPr="003171D9">
              <w:rPr>
                <w:i/>
                <w:iCs/>
                <w:color w:val="auto"/>
              </w:rPr>
              <w:t>EPA landfill levy data</w:t>
            </w:r>
            <w:r w:rsidRPr="003171D9">
              <w:rPr>
                <w:i/>
                <w:iCs/>
                <w:color w:val="auto"/>
              </w:rPr>
              <w:tab/>
            </w:r>
          </w:p>
        </w:tc>
        <w:tc>
          <w:tcPr>
            <w:tcW w:w="1710" w:type="pct"/>
            <w:tcBorders>
              <w:top w:val="single" w:sz="4" w:space="0" w:color="82C341" w:themeColor="background1"/>
              <w:bottom w:val="single" w:sz="4" w:space="0" w:color="auto"/>
            </w:tcBorders>
          </w:tcPr>
          <w:p w14:paraId="0094E3DD" w14:textId="77777777" w:rsidR="00B43A25" w:rsidRPr="003171D9" w:rsidRDefault="00B43A25" w:rsidP="00E1055E">
            <w:pPr>
              <w:pStyle w:val="TableText"/>
              <w:jc w:val="right"/>
              <w:rPr>
                <w:i/>
                <w:iCs/>
                <w:color w:val="auto"/>
              </w:rPr>
            </w:pPr>
            <w:r w:rsidRPr="003171D9">
              <w:rPr>
                <w:i/>
                <w:iCs/>
                <w:color w:val="auto"/>
              </w:rPr>
              <w:t xml:space="preserve">Garbage kerbside, </w:t>
            </w:r>
            <w:proofErr w:type="gramStart"/>
            <w:r w:rsidRPr="003171D9">
              <w:rPr>
                <w:i/>
                <w:iCs/>
                <w:color w:val="auto"/>
              </w:rPr>
              <w:t>drop-off</w:t>
            </w:r>
            <w:proofErr w:type="gramEnd"/>
            <w:r w:rsidRPr="003171D9">
              <w:rPr>
                <w:i/>
                <w:iCs/>
                <w:color w:val="auto"/>
              </w:rPr>
              <w:t xml:space="preserve"> and other council services</w:t>
            </w:r>
          </w:p>
        </w:tc>
        <w:tc>
          <w:tcPr>
            <w:tcW w:w="638" w:type="pct"/>
            <w:tcBorders>
              <w:top w:val="nil"/>
              <w:bottom w:val="single" w:sz="4" w:space="0" w:color="auto"/>
            </w:tcBorders>
            <w:shd w:val="clear" w:color="auto" w:fill="auto"/>
          </w:tcPr>
          <w:p w14:paraId="6AF657E5" w14:textId="77777777" w:rsidR="00B43A25" w:rsidRPr="003171D9" w:rsidRDefault="00B43A25" w:rsidP="00E1055E">
            <w:pPr>
              <w:pStyle w:val="TableText"/>
              <w:jc w:val="right"/>
              <w:rPr>
                <w:color w:val="auto"/>
              </w:rPr>
            </w:pPr>
          </w:p>
        </w:tc>
      </w:tr>
      <w:tr w:rsidR="00B43A25" w:rsidRPr="003171D9" w14:paraId="056EC151" w14:textId="77777777" w:rsidTr="00E1055E">
        <w:tc>
          <w:tcPr>
            <w:tcW w:w="1178" w:type="pct"/>
            <w:tcBorders>
              <w:top w:val="single" w:sz="4" w:space="0" w:color="auto"/>
              <w:bottom w:val="single" w:sz="4" w:space="0" w:color="82C341" w:themeColor="background1"/>
            </w:tcBorders>
            <w:shd w:val="clear" w:color="auto" w:fill="auto"/>
          </w:tcPr>
          <w:p w14:paraId="40F83E6F" w14:textId="77777777" w:rsidR="00B43A25" w:rsidRPr="003171D9" w:rsidRDefault="00B43A25" w:rsidP="00E1055E">
            <w:pPr>
              <w:pStyle w:val="TableText"/>
              <w:rPr>
                <w:b/>
                <w:bCs w:val="0"/>
                <w:color w:val="auto"/>
              </w:rPr>
            </w:pPr>
            <w:r w:rsidRPr="003171D9">
              <w:rPr>
                <w:b/>
                <w:bCs w:val="0"/>
                <w:color w:val="auto"/>
              </w:rPr>
              <w:t>Total recovered for reprocessing / sorted for recovery (tonnes)</w:t>
            </w:r>
          </w:p>
        </w:tc>
        <w:tc>
          <w:tcPr>
            <w:tcW w:w="1474" w:type="pct"/>
            <w:tcBorders>
              <w:top w:val="single" w:sz="4" w:space="0" w:color="auto"/>
              <w:bottom w:val="single" w:sz="4" w:space="0" w:color="82C341" w:themeColor="background1"/>
            </w:tcBorders>
          </w:tcPr>
          <w:p w14:paraId="0E7FF474" w14:textId="77777777" w:rsidR="00B43A25" w:rsidRPr="003171D9" w:rsidRDefault="00B43A25" w:rsidP="00E1055E">
            <w:pPr>
              <w:pStyle w:val="TableText"/>
              <w:jc w:val="right"/>
              <w:rPr>
                <w:rFonts w:eastAsia="Times New Roman"/>
                <w:b/>
                <w:bCs w:val="0"/>
                <w:color w:val="auto"/>
                <w:szCs w:val="17"/>
                <w:lang w:eastAsia="en-AU"/>
              </w:rPr>
            </w:pPr>
            <w:r w:rsidRPr="003171D9">
              <w:rPr>
                <w:rFonts w:eastAsia="Times New Roman"/>
                <w:b/>
                <w:bCs w:val="0"/>
                <w:color w:val="auto"/>
                <w:szCs w:val="17"/>
                <w:lang w:eastAsia="en-AU"/>
              </w:rPr>
              <w:t>1,554,400</w:t>
            </w:r>
          </w:p>
        </w:tc>
        <w:tc>
          <w:tcPr>
            <w:tcW w:w="1710" w:type="pct"/>
            <w:tcBorders>
              <w:top w:val="single" w:sz="4" w:space="0" w:color="auto"/>
              <w:bottom w:val="single" w:sz="4" w:space="0" w:color="82C341" w:themeColor="background1"/>
            </w:tcBorders>
          </w:tcPr>
          <w:p w14:paraId="5DD1CE98" w14:textId="77777777" w:rsidR="00B43A25" w:rsidRPr="003171D9" w:rsidRDefault="00B43A25" w:rsidP="00E1055E">
            <w:pPr>
              <w:pStyle w:val="TableText"/>
              <w:jc w:val="right"/>
              <w:rPr>
                <w:rFonts w:eastAsia="Times New Roman"/>
                <w:b/>
                <w:bCs w:val="0"/>
                <w:color w:val="auto"/>
                <w:szCs w:val="17"/>
                <w:lang w:eastAsia="en-AU"/>
              </w:rPr>
            </w:pPr>
            <w:r w:rsidRPr="003171D9">
              <w:rPr>
                <w:rFonts w:eastAsia="Times New Roman"/>
                <w:b/>
                <w:bCs w:val="0"/>
                <w:color w:val="auto"/>
                <w:szCs w:val="17"/>
                <w:lang w:eastAsia="en-AU"/>
              </w:rPr>
              <w:t>1,229,900</w:t>
            </w:r>
          </w:p>
        </w:tc>
        <w:tc>
          <w:tcPr>
            <w:tcW w:w="638" w:type="pct"/>
            <w:tcBorders>
              <w:top w:val="single" w:sz="4" w:space="0" w:color="auto"/>
              <w:bottom w:val="nil"/>
            </w:tcBorders>
            <w:shd w:val="clear" w:color="auto" w:fill="auto"/>
          </w:tcPr>
          <w:p w14:paraId="54EF8FDC" w14:textId="52330959" w:rsidR="00B43A25" w:rsidRPr="003171D9" w:rsidRDefault="00B43A25" w:rsidP="00E1055E">
            <w:pPr>
              <w:pStyle w:val="TableText"/>
              <w:jc w:val="right"/>
              <w:rPr>
                <w:b/>
                <w:bCs w:val="0"/>
                <w:color w:val="auto"/>
              </w:rPr>
            </w:pPr>
            <w:r w:rsidRPr="003171D9">
              <w:rPr>
                <w:b/>
                <w:bCs w:val="0"/>
                <w:color w:val="auto"/>
              </w:rPr>
              <w:t>2</w:t>
            </w:r>
            <w:r w:rsidR="00004775">
              <w:rPr>
                <w:b/>
                <w:bCs w:val="0"/>
                <w:color w:val="auto"/>
              </w:rPr>
              <w:t>0.9</w:t>
            </w:r>
            <w:r w:rsidRPr="003171D9">
              <w:rPr>
                <w:b/>
                <w:bCs w:val="0"/>
                <w:color w:val="auto"/>
              </w:rPr>
              <w:t>%</w:t>
            </w:r>
          </w:p>
        </w:tc>
      </w:tr>
      <w:tr w:rsidR="00B43A25" w:rsidRPr="003171D9" w14:paraId="7A914BD5" w14:textId="77777777" w:rsidTr="00E1055E">
        <w:tc>
          <w:tcPr>
            <w:tcW w:w="1178" w:type="pct"/>
            <w:tcBorders>
              <w:top w:val="single" w:sz="4" w:space="0" w:color="82C341" w:themeColor="background1"/>
              <w:bottom w:val="single" w:sz="4" w:space="0" w:color="auto"/>
            </w:tcBorders>
            <w:shd w:val="clear" w:color="auto" w:fill="auto"/>
          </w:tcPr>
          <w:p w14:paraId="04FB0477" w14:textId="77777777" w:rsidR="00B43A25" w:rsidRPr="003171D9" w:rsidRDefault="00B43A25" w:rsidP="00E1055E">
            <w:pPr>
              <w:pStyle w:val="TableText"/>
              <w:rPr>
                <w:i/>
                <w:iCs/>
                <w:color w:val="auto"/>
              </w:rPr>
            </w:pPr>
            <w:r w:rsidRPr="003171D9">
              <w:rPr>
                <w:i/>
                <w:iCs/>
                <w:color w:val="auto"/>
              </w:rPr>
              <w:t>Data source</w:t>
            </w:r>
          </w:p>
        </w:tc>
        <w:tc>
          <w:tcPr>
            <w:tcW w:w="1474" w:type="pct"/>
            <w:tcBorders>
              <w:top w:val="single" w:sz="4" w:space="0" w:color="82C341" w:themeColor="background1"/>
              <w:bottom w:val="single" w:sz="4" w:space="0" w:color="auto"/>
            </w:tcBorders>
          </w:tcPr>
          <w:p w14:paraId="2CE6FA03" w14:textId="77777777" w:rsidR="00B43A25" w:rsidRPr="003171D9" w:rsidRDefault="00B43A25" w:rsidP="00E1055E">
            <w:pPr>
              <w:pStyle w:val="TableText"/>
              <w:jc w:val="right"/>
              <w:rPr>
                <w:i/>
                <w:iCs/>
                <w:color w:val="auto"/>
              </w:rPr>
            </w:pPr>
            <w:r w:rsidRPr="003171D9">
              <w:rPr>
                <w:i/>
                <w:iCs/>
                <w:color w:val="auto"/>
              </w:rPr>
              <w:t>Reported recovered for plastics, paper / card</w:t>
            </w:r>
            <w:r>
              <w:rPr>
                <w:i/>
                <w:iCs/>
                <w:color w:val="auto"/>
              </w:rPr>
              <w:t>board</w:t>
            </w:r>
            <w:r w:rsidRPr="003171D9">
              <w:rPr>
                <w:i/>
                <w:iCs/>
                <w:color w:val="auto"/>
              </w:rPr>
              <w:t>, glass, metals, organics</w:t>
            </w:r>
          </w:p>
        </w:tc>
        <w:tc>
          <w:tcPr>
            <w:tcW w:w="1710" w:type="pct"/>
            <w:tcBorders>
              <w:top w:val="single" w:sz="4" w:space="0" w:color="82C341" w:themeColor="background1"/>
              <w:bottom w:val="single" w:sz="4" w:space="0" w:color="auto"/>
            </w:tcBorders>
          </w:tcPr>
          <w:p w14:paraId="34120215" w14:textId="77777777" w:rsidR="00B43A25" w:rsidRPr="003171D9" w:rsidRDefault="00B43A25" w:rsidP="00E1055E">
            <w:pPr>
              <w:pStyle w:val="TableText"/>
              <w:jc w:val="right"/>
              <w:rPr>
                <w:i/>
                <w:iCs/>
                <w:color w:val="auto"/>
              </w:rPr>
            </w:pPr>
            <w:r w:rsidRPr="003171D9">
              <w:rPr>
                <w:i/>
                <w:iCs/>
                <w:color w:val="auto"/>
              </w:rPr>
              <w:t>Kerbside recyclables and drop-off data for plastics, paper / card</w:t>
            </w:r>
            <w:r>
              <w:rPr>
                <w:i/>
                <w:iCs/>
                <w:color w:val="auto"/>
              </w:rPr>
              <w:t>board</w:t>
            </w:r>
            <w:r w:rsidRPr="003171D9">
              <w:rPr>
                <w:i/>
                <w:iCs/>
                <w:color w:val="auto"/>
              </w:rPr>
              <w:t>, glass, metals, organics</w:t>
            </w:r>
          </w:p>
        </w:tc>
        <w:tc>
          <w:tcPr>
            <w:tcW w:w="638" w:type="pct"/>
            <w:tcBorders>
              <w:top w:val="nil"/>
              <w:bottom w:val="single" w:sz="4" w:space="0" w:color="auto"/>
            </w:tcBorders>
            <w:shd w:val="clear" w:color="auto" w:fill="auto"/>
          </w:tcPr>
          <w:p w14:paraId="31E6B3ED" w14:textId="77777777" w:rsidR="00B43A25" w:rsidRPr="003171D9" w:rsidRDefault="00B43A25" w:rsidP="00E1055E">
            <w:pPr>
              <w:pStyle w:val="TableText"/>
              <w:jc w:val="right"/>
              <w:rPr>
                <w:color w:val="auto"/>
              </w:rPr>
            </w:pPr>
          </w:p>
        </w:tc>
      </w:tr>
      <w:tr w:rsidR="00B43A25" w:rsidRPr="003171D9" w14:paraId="6CB169CF" w14:textId="77777777" w:rsidTr="00E1055E">
        <w:tc>
          <w:tcPr>
            <w:tcW w:w="1178" w:type="pct"/>
            <w:tcBorders>
              <w:top w:val="single" w:sz="4" w:space="0" w:color="auto"/>
              <w:bottom w:val="single" w:sz="4" w:space="0" w:color="82C341" w:themeColor="background1"/>
            </w:tcBorders>
            <w:shd w:val="clear" w:color="auto" w:fill="auto"/>
          </w:tcPr>
          <w:p w14:paraId="3317282F" w14:textId="77777777" w:rsidR="00B43A25" w:rsidRPr="003171D9" w:rsidRDefault="00B43A25" w:rsidP="00E1055E">
            <w:pPr>
              <w:pStyle w:val="TableText"/>
              <w:rPr>
                <w:b/>
                <w:bCs w:val="0"/>
                <w:color w:val="auto"/>
              </w:rPr>
            </w:pPr>
            <w:r w:rsidRPr="003171D9">
              <w:rPr>
                <w:b/>
                <w:bCs w:val="0"/>
                <w:color w:val="auto"/>
              </w:rPr>
              <w:t>Total generation (tonnes)</w:t>
            </w:r>
          </w:p>
        </w:tc>
        <w:tc>
          <w:tcPr>
            <w:tcW w:w="1474" w:type="pct"/>
            <w:tcBorders>
              <w:top w:val="single" w:sz="4" w:space="0" w:color="auto"/>
              <w:bottom w:val="single" w:sz="4" w:space="0" w:color="82C341" w:themeColor="background1"/>
            </w:tcBorders>
          </w:tcPr>
          <w:p w14:paraId="1A6D6C04" w14:textId="77777777" w:rsidR="00B43A25" w:rsidRPr="003171D9" w:rsidRDefault="00B43A25" w:rsidP="00E1055E">
            <w:pPr>
              <w:pStyle w:val="TableText"/>
              <w:jc w:val="right"/>
              <w:rPr>
                <w:rFonts w:eastAsia="Times New Roman"/>
                <w:b/>
                <w:bCs w:val="0"/>
                <w:color w:val="auto"/>
                <w:szCs w:val="17"/>
                <w:lang w:eastAsia="en-AU"/>
              </w:rPr>
            </w:pPr>
            <w:r w:rsidRPr="003171D9">
              <w:rPr>
                <w:rFonts w:eastAsia="Times New Roman"/>
                <w:b/>
                <w:bCs w:val="0"/>
                <w:color w:val="auto"/>
                <w:szCs w:val="17"/>
                <w:lang w:eastAsia="en-AU"/>
              </w:rPr>
              <w:t>3,342,000</w:t>
            </w:r>
          </w:p>
        </w:tc>
        <w:tc>
          <w:tcPr>
            <w:tcW w:w="1710" w:type="pct"/>
            <w:tcBorders>
              <w:top w:val="single" w:sz="4" w:space="0" w:color="auto"/>
              <w:bottom w:val="single" w:sz="4" w:space="0" w:color="82C341" w:themeColor="background1"/>
            </w:tcBorders>
          </w:tcPr>
          <w:p w14:paraId="72D5A03B" w14:textId="77777777" w:rsidR="00B43A25" w:rsidRPr="003171D9" w:rsidRDefault="00B43A25" w:rsidP="00E1055E">
            <w:pPr>
              <w:pStyle w:val="TableText"/>
              <w:jc w:val="right"/>
              <w:rPr>
                <w:rFonts w:eastAsia="Times New Roman"/>
                <w:b/>
                <w:bCs w:val="0"/>
                <w:color w:val="auto"/>
                <w:szCs w:val="17"/>
                <w:lang w:eastAsia="en-AU"/>
              </w:rPr>
            </w:pPr>
            <w:r w:rsidRPr="003171D9">
              <w:rPr>
                <w:rFonts w:eastAsia="Times New Roman"/>
                <w:b/>
                <w:bCs w:val="0"/>
                <w:color w:val="auto"/>
                <w:szCs w:val="17"/>
                <w:lang w:eastAsia="en-AU"/>
              </w:rPr>
              <w:t>2,883,100</w:t>
            </w:r>
          </w:p>
        </w:tc>
        <w:tc>
          <w:tcPr>
            <w:tcW w:w="638" w:type="pct"/>
            <w:tcBorders>
              <w:top w:val="single" w:sz="4" w:space="0" w:color="auto"/>
              <w:bottom w:val="nil"/>
            </w:tcBorders>
            <w:shd w:val="clear" w:color="auto" w:fill="auto"/>
          </w:tcPr>
          <w:p w14:paraId="0870DBEB" w14:textId="71B5A70F" w:rsidR="00B43A25" w:rsidRPr="003171D9" w:rsidRDefault="00B43A25" w:rsidP="00E1055E">
            <w:pPr>
              <w:pStyle w:val="TableText"/>
              <w:jc w:val="right"/>
              <w:rPr>
                <w:b/>
                <w:bCs w:val="0"/>
                <w:color w:val="auto"/>
              </w:rPr>
            </w:pPr>
            <w:r w:rsidRPr="003171D9">
              <w:rPr>
                <w:b/>
                <w:bCs w:val="0"/>
                <w:color w:val="auto"/>
              </w:rPr>
              <w:t>1</w:t>
            </w:r>
            <w:r w:rsidR="00004775">
              <w:rPr>
                <w:b/>
                <w:bCs w:val="0"/>
                <w:color w:val="auto"/>
              </w:rPr>
              <w:t>3.7</w:t>
            </w:r>
            <w:r w:rsidRPr="003171D9">
              <w:rPr>
                <w:b/>
                <w:bCs w:val="0"/>
                <w:color w:val="auto"/>
              </w:rPr>
              <w:t>%</w:t>
            </w:r>
          </w:p>
        </w:tc>
      </w:tr>
      <w:tr w:rsidR="00B43A25" w:rsidRPr="003171D9" w14:paraId="266D9AF7" w14:textId="77777777" w:rsidTr="00E1055E">
        <w:tc>
          <w:tcPr>
            <w:tcW w:w="1178" w:type="pct"/>
            <w:tcBorders>
              <w:top w:val="single" w:sz="4" w:space="0" w:color="82C341" w:themeColor="background1"/>
              <w:bottom w:val="single" w:sz="4" w:space="0" w:color="auto"/>
            </w:tcBorders>
            <w:shd w:val="clear" w:color="auto" w:fill="auto"/>
          </w:tcPr>
          <w:p w14:paraId="6D35272D" w14:textId="77777777" w:rsidR="00B43A25" w:rsidRPr="003171D9" w:rsidRDefault="00B43A25" w:rsidP="00E1055E">
            <w:pPr>
              <w:pStyle w:val="TableText"/>
              <w:rPr>
                <w:i/>
                <w:iCs/>
                <w:color w:val="auto"/>
              </w:rPr>
            </w:pPr>
            <w:r w:rsidRPr="003171D9">
              <w:rPr>
                <w:i/>
                <w:iCs/>
                <w:color w:val="auto"/>
              </w:rPr>
              <w:t>Data source</w:t>
            </w:r>
          </w:p>
        </w:tc>
        <w:tc>
          <w:tcPr>
            <w:tcW w:w="1474" w:type="pct"/>
            <w:tcBorders>
              <w:top w:val="single" w:sz="4" w:space="0" w:color="82C341" w:themeColor="background1"/>
              <w:bottom w:val="single" w:sz="4" w:space="0" w:color="auto"/>
            </w:tcBorders>
          </w:tcPr>
          <w:p w14:paraId="2B2CE8A7" w14:textId="77777777" w:rsidR="00B43A25" w:rsidRPr="003171D9" w:rsidRDefault="00B43A25" w:rsidP="00E1055E">
            <w:pPr>
              <w:pStyle w:val="TableText"/>
              <w:jc w:val="right"/>
              <w:rPr>
                <w:rFonts w:eastAsia="Times New Roman"/>
                <w:i/>
                <w:iCs/>
                <w:color w:val="auto"/>
                <w:szCs w:val="17"/>
                <w:lang w:eastAsia="en-AU"/>
              </w:rPr>
            </w:pPr>
            <w:r w:rsidRPr="003171D9">
              <w:rPr>
                <w:i/>
                <w:iCs/>
                <w:color w:val="auto"/>
              </w:rPr>
              <w:t>Sum landfill and recovered</w:t>
            </w:r>
          </w:p>
        </w:tc>
        <w:tc>
          <w:tcPr>
            <w:tcW w:w="1710" w:type="pct"/>
            <w:tcBorders>
              <w:top w:val="single" w:sz="4" w:space="0" w:color="82C341" w:themeColor="background1"/>
              <w:bottom w:val="single" w:sz="4" w:space="0" w:color="auto"/>
            </w:tcBorders>
          </w:tcPr>
          <w:p w14:paraId="74E61985" w14:textId="77777777" w:rsidR="00B43A25" w:rsidRPr="003171D9" w:rsidRDefault="00B43A25" w:rsidP="00E1055E">
            <w:pPr>
              <w:pStyle w:val="TableText"/>
              <w:jc w:val="right"/>
              <w:rPr>
                <w:rFonts w:eastAsia="Times New Roman"/>
                <w:i/>
                <w:iCs/>
                <w:color w:val="auto"/>
                <w:szCs w:val="17"/>
                <w:lang w:eastAsia="en-AU"/>
              </w:rPr>
            </w:pPr>
            <w:r w:rsidRPr="003171D9">
              <w:rPr>
                <w:i/>
                <w:iCs/>
                <w:color w:val="auto"/>
              </w:rPr>
              <w:t>Sum of landfill and sorted for recovery</w:t>
            </w:r>
          </w:p>
        </w:tc>
        <w:tc>
          <w:tcPr>
            <w:tcW w:w="638" w:type="pct"/>
            <w:tcBorders>
              <w:top w:val="nil"/>
              <w:bottom w:val="single" w:sz="4" w:space="0" w:color="auto"/>
            </w:tcBorders>
            <w:shd w:val="clear" w:color="auto" w:fill="auto"/>
          </w:tcPr>
          <w:p w14:paraId="3A6DEEC4" w14:textId="77777777" w:rsidR="00B43A25" w:rsidRPr="003171D9" w:rsidRDefault="00B43A25" w:rsidP="00E1055E">
            <w:pPr>
              <w:pStyle w:val="TableText"/>
              <w:jc w:val="right"/>
              <w:rPr>
                <w:i/>
                <w:iCs/>
                <w:color w:val="auto"/>
              </w:rPr>
            </w:pPr>
          </w:p>
        </w:tc>
      </w:tr>
      <w:tr w:rsidR="00B43A25" w:rsidRPr="003171D9" w14:paraId="76DF0B42" w14:textId="77777777" w:rsidTr="00E1055E">
        <w:tc>
          <w:tcPr>
            <w:tcW w:w="1178" w:type="pct"/>
            <w:tcBorders>
              <w:top w:val="single" w:sz="4" w:space="0" w:color="auto"/>
              <w:bottom w:val="single" w:sz="4" w:space="0" w:color="82C341" w:themeColor="background1"/>
            </w:tcBorders>
            <w:shd w:val="clear" w:color="auto" w:fill="auto"/>
          </w:tcPr>
          <w:p w14:paraId="55DEAD54" w14:textId="1A1ECEB9" w:rsidR="00B43A25" w:rsidRPr="003171D9" w:rsidRDefault="00B43A25" w:rsidP="00E1055E">
            <w:pPr>
              <w:pStyle w:val="TableText"/>
              <w:rPr>
                <w:b/>
                <w:bCs w:val="0"/>
                <w:color w:val="auto"/>
              </w:rPr>
            </w:pPr>
            <w:r w:rsidRPr="003171D9">
              <w:rPr>
                <w:b/>
                <w:bCs w:val="0"/>
                <w:color w:val="auto"/>
              </w:rPr>
              <w:t>Diversion rates</w:t>
            </w:r>
            <w:r w:rsidR="00DA5867" w:rsidRPr="00DA5867">
              <w:rPr>
                <w:rFonts w:cstheme="minorHAnsi"/>
                <w:b/>
                <w:bCs w:val="0"/>
                <w:color w:val="auto"/>
                <w:vertAlign w:val="superscript"/>
              </w:rPr>
              <w:t>†</w:t>
            </w:r>
          </w:p>
        </w:tc>
        <w:tc>
          <w:tcPr>
            <w:tcW w:w="1474" w:type="pct"/>
            <w:tcBorders>
              <w:top w:val="single" w:sz="4" w:space="0" w:color="auto"/>
              <w:bottom w:val="single" w:sz="4" w:space="0" w:color="82C341" w:themeColor="background1"/>
            </w:tcBorders>
          </w:tcPr>
          <w:p w14:paraId="5AAC40D0" w14:textId="4434D90E" w:rsidR="00B43A25" w:rsidRPr="003171D9" w:rsidRDefault="00B43A25" w:rsidP="00E1055E">
            <w:pPr>
              <w:pStyle w:val="TableText"/>
              <w:jc w:val="right"/>
              <w:rPr>
                <w:rFonts w:eastAsia="Times New Roman"/>
                <w:b/>
                <w:bCs w:val="0"/>
                <w:color w:val="auto"/>
                <w:szCs w:val="17"/>
                <w:lang w:eastAsia="en-AU"/>
              </w:rPr>
            </w:pPr>
            <w:r w:rsidRPr="003171D9">
              <w:rPr>
                <w:rFonts w:eastAsia="Times New Roman"/>
                <w:b/>
                <w:bCs w:val="0"/>
                <w:color w:val="auto"/>
                <w:szCs w:val="17"/>
                <w:lang w:eastAsia="en-AU"/>
              </w:rPr>
              <w:t>4</w:t>
            </w:r>
            <w:r w:rsidR="00004775">
              <w:rPr>
                <w:rFonts w:eastAsia="Times New Roman"/>
                <w:b/>
                <w:bCs w:val="0"/>
                <w:color w:val="auto"/>
                <w:szCs w:val="17"/>
                <w:lang w:eastAsia="en-AU"/>
              </w:rPr>
              <w:t>6.5</w:t>
            </w:r>
            <w:r w:rsidRPr="003171D9">
              <w:rPr>
                <w:rFonts w:eastAsia="Times New Roman"/>
                <w:b/>
                <w:bCs w:val="0"/>
                <w:color w:val="auto"/>
                <w:szCs w:val="17"/>
                <w:lang w:eastAsia="en-AU"/>
              </w:rPr>
              <w:t>%</w:t>
            </w:r>
          </w:p>
        </w:tc>
        <w:tc>
          <w:tcPr>
            <w:tcW w:w="1710" w:type="pct"/>
            <w:tcBorders>
              <w:top w:val="single" w:sz="4" w:space="0" w:color="auto"/>
              <w:bottom w:val="single" w:sz="4" w:space="0" w:color="82C341" w:themeColor="background1"/>
            </w:tcBorders>
          </w:tcPr>
          <w:p w14:paraId="1D3F487A" w14:textId="6C73AAD2" w:rsidR="00B43A25" w:rsidRPr="003171D9" w:rsidRDefault="00B43A25" w:rsidP="00E1055E">
            <w:pPr>
              <w:pStyle w:val="TableText"/>
              <w:jc w:val="right"/>
              <w:rPr>
                <w:rFonts w:eastAsia="Times New Roman"/>
                <w:b/>
                <w:bCs w:val="0"/>
                <w:color w:val="auto"/>
                <w:szCs w:val="17"/>
                <w:lang w:eastAsia="en-AU"/>
              </w:rPr>
            </w:pPr>
            <w:r w:rsidRPr="003171D9">
              <w:rPr>
                <w:rFonts w:eastAsia="Times New Roman"/>
                <w:b/>
                <w:bCs w:val="0"/>
                <w:color w:val="auto"/>
                <w:szCs w:val="17"/>
                <w:lang w:eastAsia="en-AU"/>
              </w:rPr>
              <w:t>4</w:t>
            </w:r>
            <w:r w:rsidR="00004775">
              <w:rPr>
                <w:rFonts w:eastAsia="Times New Roman"/>
                <w:b/>
                <w:bCs w:val="0"/>
                <w:color w:val="auto"/>
                <w:szCs w:val="17"/>
                <w:lang w:eastAsia="en-AU"/>
              </w:rPr>
              <w:t>2.7</w:t>
            </w:r>
            <w:r w:rsidRPr="003171D9">
              <w:rPr>
                <w:rFonts w:eastAsia="Times New Roman"/>
                <w:b/>
                <w:bCs w:val="0"/>
                <w:color w:val="auto"/>
                <w:szCs w:val="17"/>
                <w:lang w:eastAsia="en-AU"/>
              </w:rPr>
              <w:t>%</w:t>
            </w:r>
          </w:p>
        </w:tc>
        <w:tc>
          <w:tcPr>
            <w:tcW w:w="638" w:type="pct"/>
            <w:tcBorders>
              <w:top w:val="single" w:sz="4" w:space="0" w:color="auto"/>
              <w:bottom w:val="nil"/>
            </w:tcBorders>
            <w:shd w:val="clear" w:color="auto" w:fill="auto"/>
          </w:tcPr>
          <w:p w14:paraId="1FCC2CCA" w14:textId="5B4B6879" w:rsidR="00B43A25" w:rsidRPr="003171D9" w:rsidRDefault="00004775" w:rsidP="00E1055E">
            <w:pPr>
              <w:pStyle w:val="TableText"/>
              <w:jc w:val="right"/>
              <w:rPr>
                <w:b/>
                <w:bCs w:val="0"/>
                <w:color w:val="auto"/>
              </w:rPr>
            </w:pPr>
            <w:r>
              <w:rPr>
                <w:b/>
                <w:bCs w:val="0"/>
                <w:color w:val="auto"/>
              </w:rPr>
              <w:t>3.9</w:t>
            </w:r>
            <w:r w:rsidR="00B43A25" w:rsidRPr="003171D9">
              <w:rPr>
                <w:b/>
                <w:bCs w:val="0"/>
                <w:color w:val="auto"/>
              </w:rPr>
              <w:t>%</w:t>
            </w:r>
          </w:p>
        </w:tc>
      </w:tr>
      <w:tr w:rsidR="00B43A25" w:rsidRPr="003171D9" w14:paraId="057F6260" w14:textId="77777777" w:rsidTr="00E1055E">
        <w:trPr>
          <w:cnfStyle w:val="010000000000" w:firstRow="0" w:lastRow="1" w:firstColumn="0" w:lastColumn="0" w:oddVBand="0" w:evenVBand="0" w:oddHBand="0" w:evenHBand="0" w:firstRowFirstColumn="0" w:firstRowLastColumn="0" w:lastRowFirstColumn="0" w:lastRowLastColumn="0"/>
        </w:trPr>
        <w:tc>
          <w:tcPr>
            <w:tcW w:w="1178" w:type="pct"/>
            <w:tcBorders>
              <w:top w:val="single" w:sz="4" w:space="0" w:color="82C341" w:themeColor="background1"/>
              <w:bottom w:val="single" w:sz="4" w:space="0" w:color="82C341" w:themeColor="background1"/>
            </w:tcBorders>
            <w:shd w:val="clear" w:color="auto" w:fill="auto"/>
          </w:tcPr>
          <w:p w14:paraId="65BFE6EC" w14:textId="77777777" w:rsidR="00B43A25" w:rsidRPr="003171D9" w:rsidRDefault="00B43A25" w:rsidP="00E1055E">
            <w:pPr>
              <w:pStyle w:val="TableText"/>
              <w:rPr>
                <w:b w:val="0"/>
                <w:bCs w:val="0"/>
                <w:i/>
                <w:iCs/>
                <w:color w:val="auto"/>
              </w:rPr>
            </w:pPr>
            <w:r w:rsidRPr="003171D9">
              <w:rPr>
                <w:b w:val="0"/>
                <w:bCs w:val="0"/>
                <w:i/>
                <w:iCs/>
                <w:color w:val="auto"/>
              </w:rPr>
              <w:t>Data source</w:t>
            </w:r>
          </w:p>
        </w:tc>
        <w:tc>
          <w:tcPr>
            <w:tcW w:w="1474" w:type="pct"/>
            <w:tcBorders>
              <w:top w:val="single" w:sz="4" w:space="0" w:color="82C341" w:themeColor="background1"/>
              <w:bottom w:val="single" w:sz="4" w:space="0" w:color="82C341" w:themeColor="background1"/>
            </w:tcBorders>
            <w:shd w:val="clear" w:color="auto" w:fill="auto"/>
          </w:tcPr>
          <w:p w14:paraId="0E0AE6FF" w14:textId="77777777" w:rsidR="00B43A25" w:rsidRPr="003171D9" w:rsidRDefault="00B43A25" w:rsidP="00E1055E">
            <w:pPr>
              <w:pStyle w:val="TableText"/>
              <w:jc w:val="right"/>
              <w:rPr>
                <w:b w:val="0"/>
                <w:bCs w:val="0"/>
                <w:i/>
                <w:iCs/>
                <w:color w:val="auto"/>
              </w:rPr>
            </w:pPr>
            <w:r w:rsidRPr="003171D9">
              <w:rPr>
                <w:b w:val="0"/>
                <w:bCs w:val="0"/>
                <w:i/>
                <w:iCs/>
                <w:color w:val="auto"/>
              </w:rPr>
              <w:t xml:space="preserve">Total recovered for reprocessing </w:t>
            </w:r>
            <w:r w:rsidRPr="003171D9">
              <w:rPr>
                <w:rFonts w:cstheme="minorHAnsi"/>
                <w:b w:val="0"/>
                <w:bCs w:val="0"/>
                <w:i/>
                <w:iCs/>
                <w:color w:val="auto"/>
              </w:rPr>
              <w:t>÷</w:t>
            </w:r>
            <w:r w:rsidRPr="003171D9">
              <w:rPr>
                <w:b w:val="0"/>
                <w:bCs w:val="0"/>
                <w:i/>
                <w:iCs/>
                <w:color w:val="auto"/>
              </w:rPr>
              <w:t xml:space="preserve"> Total generation</w:t>
            </w:r>
          </w:p>
        </w:tc>
        <w:tc>
          <w:tcPr>
            <w:tcW w:w="1710" w:type="pct"/>
            <w:tcBorders>
              <w:top w:val="single" w:sz="4" w:space="0" w:color="82C341" w:themeColor="background1"/>
              <w:bottom w:val="single" w:sz="4" w:space="0" w:color="82C341" w:themeColor="background1"/>
            </w:tcBorders>
            <w:shd w:val="clear" w:color="auto" w:fill="auto"/>
          </w:tcPr>
          <w:p w14:paraId="534C7065" w14:textId="77777777" w:rsidR="00B43A25" w:rsidRPr="003171D9" w:rsidRDefault="00B43A25" w:rsidP="00E1055E">
            <w:pPr>
              <w:pStyle w:val="TableText"/>
              <w:jc w:val="right"/>
              <w:rPr>
                <w:b w:val="0"/>
                <w:bCs w:val="0"/>
                <w:i/>
                <w:iCs/>
                <w:color w:val="auto"/>
              </w:rPr>
            </w:pPr>
            <w:r w:rsidRPr="003171D9">
              <w:rPr>
                <w:b w:val="0"/>
                <w:bCs w:val="0"/>
                <w:i/>
                <w:iCs/>
                <w:color w:val="auto"/>
              </w:rPr>
              <w:t xml:space="preserve">Total sorted for recovery from kerbside </w:t>
            </w:r>
            <w:r w:rsidRPr="003171D9">
              <w:rPr>
                <w:rFonts w:cstheme="minorHAnsi"/>
                <w:b w:val="0"/>
                <w:bCs w:val="0"/>
                <w:i/>
                <w:iCs/>
                <w:color w:val="auto"/>
              </w:rPr>
              <w:t>÷ Total kerbside generation</w:t>
            </w:r>
            <w:r w:rsidRPr="003171D9">
              <w:rPr>
                <w:b w:val="0"/>
                <w:bCs w:val="0"/>
                <w:i/>
                <w:iCs/>
                <w:color w:val="auto"/>
              </w:rPr>
              <w:t xml:space="preserve"> </w:t>
            </w:r>
          </w:p>
        </w:tc>
        <w:tc>
          <w:tcPr>
            <w:tcW w:w="638" w:type="pct"/>
            <w:tcBorders>
              <w:top w:val="nil"/>
              <w:bottom w:val="single" w:sz="4" w:space="0" w:color="82C341" w:themeColor="background1"/>
            </w:tcBorders>
            <w:shd w:val="clear" w:color="auto" w:fill="auto"/>
          </w:tcPr>
          <w:p w14:paraId="3680AF87" w14:textId="77777777" w:rsidR="00B43A25" w:rsidRPr="003171D9" w:rsidRDefault="00B43A25" w:rsidP="00E1055E">
            <w:pPr>
              <w:pStyle w:val="TableText"/>
              <w:jc w:val="right"/>
              <w:rPr>
                <w:bCs w:val="0"/>
                <w:color w:val="auto"/>
              </w:rPr>
            </w:pPr>
          </w:p>
          <w:p w14:paraId="01DAA9E9" w14:textId="77777777" w:rsidR="00B43A25" w:rsidRPr="003171D9" w:rsidRDefault="00B43A25" w:rsidP="00E1055E">
            <w:pPr>
              <w:pStyle w:val="TableText"/>
              <w:jc w:val="right"/>
              <w:rPr>
                <w:bCs w:val="0"/>
                <w:color w:val="auto"/>
              </w:rPr>
            </w:pPr>
          </w:p>
          <w:p w14:paraId="3CB4F748" w14:textId="77777777" w:rsidR="00B43A25" w:rsidRPr="003171D9" w:rsidRDefault="00B43A25" w:rsidP="00E1055E">
            <w:pPr>
              <w:pStyle w:val="TableText"/>
              <w:rPr>
                <w:b w:val="0"/>
                <w:bCs w:val="0"/>
                <w:color w:val="auto"/>
              </w:rPr>
            </w:pPr>
          </w:p>
        </w:tc>
      </w:tr>
    </w:tbl>
    <w:p w14:paraId="5147F108" w14:textId="0302F21C" w:rsidR="00123351" w:rsidRPr="00F00322" w:rsidRDefault="00B43A25" w:rsidP="001341FB">
      <w:pPr>
        <w:pStyle w:val="Caption"/>
      </w:pPr>
      <w:r w:rsidRPr="00F00322">
        <w:t>Note: All figures are rounded to the nearest 100 tonnes and sum of components may not add to totals due to rounding errors.</w:t>
      </w:r>
      <w:r w:rsidR="008872DB">
        <w:br/>
      </w:r>
      <w:r w:rsidR="00DA5867" w:rsidRPr="00DA5867">
        <w:rPr>
          <w:rFonts w:cstheme="minorHAnsi"/>
          <w:vertAlign w:val="superscript"/>
        </w:rPr>
        <w:t>†</w:t>
      </w:r>
      <w:r w:rsidR="008872DB">
        <w:rPr>
          <w:rFonts w:cstheme="minorHAnsi"/>
          <w:vertAlign w:val="superscript"/>
        </w:rPr>
        <w:t xml:space="preserve"> </w:t>
      </w:r>
      <w:r w:rsidR="00DA5867">
        <w:t>The RI</w:t>
      </w:r>
      <w:r w:rsidR="00FB2E95">
        <w:t>W</w:t>
      </w:r>
      <w:r w:rsidR="00DA5867">
        <w:t xml:space="preserve">R diversion rate calculated here is different to that reported in </w:t>
      </w:r>
      <w:r w:rsidR="00DA5867">
        <w:fldChar w:fldCharType="begin"/>
      </w:r>
      <w:r w:rsidR="00DA5867">
        <w:instrText xml:space="preserve"> REF _Ref80209574 \r \h </w:instrText>
      </w:r>
      <w:r w:rsidR="008872DB">
        <w:instrText xml:space="preserve"> \* MERGEFORMAT </w:instrText>
      </w:r>
      <w:r w:rsidR="00DA5867">
        <w:fldChar w:fldCharType="separate"/>
      </w:r>
      <w:r w:rsidR="00176C53">
        <w:t>5.2</w:t>
      </w:r>
      <w:r w:rsidR="00DA5867">
        <w:fldChar w:fldCharType="end"/>
      </w:r>
      <w:r w:rsidR="00DA5867">
        <w:t xml:space="preserve">. </w:t>
      </w:r>
      <w:r w:rsidR="008872DB">
        <w:t>The RI</w:t>
      </w:r>
      <w:r w:rsidR="00FB2E95">
        <w:t>W</w:t>
      </w:r>
      <w:r w:rsidR="008872DB">
        <w:t xml:space="preserve">R diversion rate </w:t>
      </w:r>
      <w:r w:rsidR="00DA5867">
        <w:t xml:space="preserve">takes a subset of materials into account (namely it removes aggregates, </w:t>
      </w:r>
      <w:proofErr w:type="gramStart"/>
      <w:r w:rsidR="00DA5867">
        <w:t>masonry</w:t>
      </w:r>
      <w:proofErr w:type="gramEnd"/>
      <w:r w:rsidR="00DA5867">
        <w:t xml:space="preserve"> and soil; rubber and textiles) </w:t>
      </w:r>
      <w:r w:rsidR="00B433B3">
        <w:t>in</w:t>
      </w:r>
      <w:r w:rsidR="00DA5867">
        <w:t xml:space="preserve"> an effort to make </w:t>
      </w:r>
      <w:r w:rsidR="00B433B3">
        <w:t>it</w:t>
      </w:r>
      <w:r w:rsidR="00DA5867">
        <w:t xml:space="preserve"> more comparable (while noting differences listed below) to the kerbside diversion rate calculated in LGSWR.</w:t>
      </w:r>
    </w:p>
    <w:p w14:paraId="10F5D9E7" w14:textId="77777777" w:rsidR="00E2117D" w:rsidRDefault="00E2117D">
      <w:pPr>
        <w:spacing w:after="0" w:line="240" w:lineRule="auto"/>
        <w:rPr>
          <w:color w:val="auto"/>
        </w:rPr>
      </w:pPr>
      <w:bookmarkStart w:id="138" w:name="_Ref41983334"/>
      <w:r>
        <w:rPr>
          <w:color w:val="auto"/>
        </w:rPr>
        <w:br w:type="page"/>
      </w:r>
    </w:p>
    <w:p w14:paraId="35A7FCCF" w14:textId="779334C7" w:rsidR="00B43A25" w:rsidRPr="003171D9" w:rsidRDefault="00985E4A" w:rsidP="00B43A25">
      <w:pPr>
        <w:rPr>
          <w:color w:val="auto"/>
        </w:rPr>
      </w:pPr>
      <w:r>
        <w:rPr>
          <w:color w:val="auto"/>
        </w:rPr>
        <w:lastRenderedPageBreak/>
        <w:t>However,</w:t>
      </w:r>
      <w:r w:rsidR="00B43A25">
        <w:rPr>
          <w:color w:val="auto"/>
        </w:rPr>
        <w:t xml:space="preserve"> when examining</w:t>
      </w:r>
      <w:r w:rsidR="00B43A25" w:rsidRPr="003171D9">
        <w:rPr>
          <w:color w:val="auto"/>
        </w:rPr>
        <w:t xml:space="preserve"> individual material stream data</w:t>
      </w:r>
      <w:r w:rsidR="00B43A25">
        <w:rPr>
          <w:color w:val="auto"/>
        </w:rPr>
        <w:t>, as</w:t>
      </w:r>
      <w:r w:rsidR="00B43A25" w:rsidRPr="003171D9">
        <w:rPr>
          <w:color w:val="auto"/>
        </w:rPr>
        <w:t xml:space="preserve"> presented in </w:t>
      </w:r>
      <w:r w:rsidR="00B43A25" w:rsidRPr="003171D9">
        <w:rPr>
          <w:color w:val="auto"/>
        </w:rPr>
        <w:fldChar w:fldCharType="begin"/>
      </w:r>
      <w:r w:rsidR="00B43A25" w:rsidRPr="003171D9">
        <w:rPr>
          <w:color w:val="auto"/>
        </w:rPr>
        <w:instrText xml:space="preserve"> REF _Ref76064495 \h </w:instrText>
      </w:r>
      <w:r w:rsidR="00B43A25">
        <w:rPr>
          <w:color w:val="auto"/>
        </w:rPr>
        <w:instrText xml:space="preserve"> \* MERGEFORMAT </w:instrText>
      </w:r>
      <w:r w:rsidR="00B43A25" w:rsidRPr="003171D9">
        <w:rPr>
          <w:color w:val="auto"/>
        </w:rPr>
      </w:r>
      <w:r w:rsidR="00B43A25" w:rsidRPr="003171D9">
        <w:rPr>
          <w:color w:val="auto"/>
        </w:rPr>
        <w:fldChar w:fldCharType="separate"/>
      </w:r>
      <w:r w:rsidR="00176C53" w:rsidRPr="00176C53">
        <w:rPr>
          <w:color w:val="auto"/>
        </w:rPr>
        <w:t xml:space="preserve">Table </w:t>
      </w:r>
      <w:r w:rsidR="00176C53" w:rsidRPr="00176C53">
        <w:rPr>
          <w:noProof/>
          <w:color w:val="auto"/>
        </w:rPr>
        <w:t>6</w:t>
      </w:r>
      <w:r w:rsidR="00B43A25" w:rsidRPr="003171D9">
        <w:rPr>
          <w:color w:val="auto"/>
        </w:rPr>
        <w:fldChar w:fldCharType="end"/>
      </w:r>
      <w:r w:rsidR="00B43A25">
        <w:rPr>
          <w:color w:val="auto"/>
        </w:rPr>
        <w:t xml:space="preserve">, the differences become </w:t>
      </w:r>
      <w:r w:rsidR="00C81D92">
        <w:rPr>
          <w:color w:val="auto"/>
        </w:rPr>
        <w:t>more evident</w:t>
      </w:r>
      <w:r w:rsidR="00B43A25" w:rsidRPr="003171D9">
        <w:rPr>
          <w:color w:val="auto"/>
        </w:rPr>
        <w:t>.</w:t>
      </w:r>
    </w:p>
    <w:p w14:paraId="089A6C9E" w14:textId="682588C6" w:rsidR="00B43A25" w:rsidRPr="003171D9" w:rsidRDefault="00B43A25" w:rsidP="00B43A25">
      <w:pPr>
        <w:pStyle w:val="FigureCaption"/>
      </w:pPr>
      <w:bookmarkStart w:id="139" w:name="_Ref76064495"/>
      <w:bookmarkStart w:id="140" w:name="_Toc77852577"/>
      <w:r w:rsidRPr="003171D9">
        <w:t xml:space="preserve">Table </w:t>
      </w:r>
      <w:r w:rsidR="0085736C">
        <w:fldChar w:fldCharType="begin"/>
      </w:r>
      <w:r w:rsidR="0085736C">
        <w:instrText xml:space="preserve"> SEQ Table \* ARABIC </w:instrText>
      </w:r>
      <w:r w:rsidR="0085736C">
        <w:fldChar w:fldCharType="separate"/>
      </w:r>
      <w:r w:rsidR="00176C53">
        <w:rPr>
          <w:noProof/>
        </w:rPr>
        <w:t>6</w:t>
      </w:r>
      <w:r w:rsidR="0085736C">
        <w:rPr>
          <w:noProof/>
        </w:rPr>
        <w:fldChar w:fldCharType="end"/>
      </w:r>
      <w:bookmarkEnd w:id="139"/>
      <w:r w:rsidRPr="003171D9">
        <w:t xml:space="preserve">: </w:t>
      </w:r>
      <w:r w:rsidR="00985E4A">
        <w:t>RI</w:t>
      </w:r>
      <w:r w:rsidR="00FB2E95">
        <w:t>W</w:t>
      </w:r>
      <w:r w:rsidR="00985E4A">
        <w:t>R</w:t>
      </w:r>
      <w:r w:rsidRPr="001141B2">
        <w:t xml:space="preserve"> and </w:t>
      </w:r>
      <w:r w:rsidR="005D2691">
        <w:t>LGWSR</w:t>
      </w:r>
      <w:r w:rsidR="00D72210" w:rsidRPr="000218C3">
        <w:rPr>
          <w:rStyle w:val="FootnoteReference"/>
          <w:sz w:val="18"/>
          <w:szCs w:val="18"/>
        </w:rPr>
        <w:footnoteReference w:id="4"/>
      </w:r>
      <w:r w:rsidRPr="003171D9">
        <w:t xml:space="preserve"> comparison at material stream level</w:t>
      </w:r>
      <w:r>
        <w:t>, 2019–20</w:t>
      </w:r>
      <w:bookmarkEnd w:id="140"/>
    </w:p>
    <w:tbl>
      <w:tblPr>
        <w:tblStyle w:val="SVTable"/>
        <w:tblW w:w="4836" w:type="pct"/>
        <w:tblLook w:val="04E0" w:firstRow="1" w:lastRow="1" w:firstColumn="1" w:lastColumn="0" w:noHBand="0" w:noVBand="1"/>
      </w:tblPr>
      <w:tblGrid>
        <w:gridCol w:w="1703"/>
        <w:gridCol w:w="1560"/>
        <w:gridCol w:w="1559"/>
        <w:gridCol w:w="1472"/>
        <w:gridCol w:w="1218"/>
      </w:tblGrid>
      <w:tr w:rsidR="00B43A25" w:rsidRPr="003171D9" w14:paraId="761BE24B" w14:textId="77777777" w:rsidTr="00E1055E">
        <w:trPr>
          <w:cnfStyle w:val="100000000000" w:firstRow="1" w:lastRow="0" w:firstColumn="0" w:lastColumn="0" w:oddVBand="0" w:evenVBand="0" w:oddHBand="0" w:evenHBand="0" w:firstRowFirstColumn="0" w:firstRowLastColumn="0" w:lastRowFirstColumn="0" w:lastRowLastColumn="0"/>
          <w:trHeight w:val="126"/>
        </w:trPr>
        <w:tc>
          <w:tcPr>
            <w:tcW w:w="1133" w:type="pct"/>
            <w:vMerge w:val="restart"/>
          </w:tcPr>
          <w:p w14:paraId="27458D97" w14:textId="77777777" w:rsidR="00B43A25" w:rsidRPr="003171D9" w:rsidRDefault="00B43A25" w:rsidP="00E1055E">
            <w:pPr>
              <w:pStyle w:val="TableHeading"/>
              <w:rPr>
                <w:color w:val="auto"/>
              </w:rPr>
            </w:pPr>
            <w:r>
              <w:rPr>
                <w:color w:val="auto"/>
              </w:rPr>
              <w:t xml:space="preserve"> </w:t>
            </w:r>
          </w:p>
        </w:tc>
        <w:tc>
          <w:tcPr>
            <w:tcW w:w="1038" w:type="pct"/>
            <w:vMerge w:val="restart"/>
          </w:tcPr>
          <w:p w14:paraId="3255A96E" w14:textId="7158BC9B" w:rsidR="00B43A25" w:rsidRPr="003171D9" w:rsidRDefault="00985E4A" w:rsidP="007D11FD">
            <w:pPr>
              <w:pStyle w:val="TableHeading"/>
              <w:jc w:val="right"/>
              <w:rPr>
                <w:color w:val="auto"/>
              </w:rPr>
            </w:pPr>
            <w:r>
              <w:rPr>
                <w:color w:val="auto"/>
              </w:rPr>
              <w:t>RI</w:t>
            </w:r>
            <w:r w:rsidR="00FB2E95">
              <w:rPr>
                <w:color w:val="auto"/>
              </w:rPr>
              <w:t>W</w:t>
            </w:r>
            <w:r>
              <w:rPr>
                <w:color w:val="auto"/>
              </w:rPr>
              <w:t>R</w:t>
            </w:r>
            <w:r w:rsidR="00B43A25" w:rsidRPr="003171D9">
              <w:rPr>
                <w:color w:val="auto"/>
              </w:rPr>
              <w:br/>
              <w:t>(tonnes)</w:t>
            </w:r>
          </w:p>
        </w:tc>
        <w:tc>
          <w:tcPr>
            <w:tcW w:w="1038" w:type="pct"/>
            <w:vMerge w:val="restart"/>
          </w:tcPr>
          <w:p w14:paraId="1B51B70E" w14:textId="73C2B193" w:rsidR="00B43A25" w:rsidRPr="003171D9" w:rsidRDefault="005D2691" w:rsidP="007D11FD">
            <w:pPr>
              <w:pStyle w:val="TableHeading"/>
              <w:jc w:val="right"/>
              <w:rPr>
                <w:color w:val="auto"/>
              </w:rPr>
            </w:pPr>
            <w:r>
              <w:rPr>
                <w:color w:val="auto"/>
              </w:rPr>
              <w:t>LGWSR</w:t>
            </w:r>
            <w:r w:rsidR="00C46E0B">
              <w:rPr>
                <w:color w:val="auto"/>
              </w:rPr>
              <w:t xml:space="preserve">     </w:t>
            </w:r>
            <w:proofErr w:type="gramStart"/>
            <w:r w:rsidR="00C46E0B">
              <w:rPr>
                <w:color w:val="auto"/>
              </w:rPr>
              <w:t xml:space="preserve">   </w:t>
            </w:r>
            <w:r w:rsidR="00B43A25" w:rsidRPr="003171D9">
              <w:rPr>
                <w:color w:val="auto"/>
              </w:rPr>
              <w:t>(</w:t>
            </w:r>
            <w:proofErr w:type="gramEnd"/>
            <w:r w:rsidR="00B43A25" w:rsidRPr="003171D9">
              <w:rPr>
                <w:color w:val="auto"/>
              </w:rPr>
              <w:t>tonnes)</w:t>
            </w:r>
          </w:p>
        </w:tc>
        <w:tc>
          <w:tcPr>
            <w:tcW w:w="1792" w:type="pct"/>
            <w:gridSpan w:val="2"/>
            <w:tcBorders>
              <w:bottom w:val="single" w:sz="4" w:space="0" w:color="82C341" w:themeColor="background1"/>
            </w:tcBorders>
          </w:tcPr>
          <w:p w14:paraId="28E8629D" w14:textId="77777777" w:rsidR="00B43A25" w:rsidRPr="003171D9" w:rsidRDefault="00B43A25" w:rsidP="007D11FD">
            <w:pPr>
              <w:pStyle w:val="TableHeading"/>
              <w:spacing w:after="0"/>
              <w:jc w:val="right"/>
              <w:rPr>
                <w:color w:val="auto"/>
              </w:rPr>
            </w:pPr>
            <w:r w:rsidRPr="003171D9">
              <w:rPr>
                <w:color w:val="auto"/>
              </w:rPr>
              <w:t>Difference</w:t>
            </w:r>
          </w:p>
        </w:tc>
      </w:tr>
      <w:tr w:rsidR="00B43A25" w:rsidRPr="003171D9" w14:paraId="7DFCD820" w14:textId="77777777" w:rsidTr="00E1055E">
        <w:trPr>
          <w:trHeight w:val="85"/>
        </w:trPr>
        <w:tc>
          <w:tcPr>
            <w:tcW w:w="1133" w:type="pct"/>
            <w:vMerge/>
            <w:tcBorders>
              <w:bottom w:val="single" w:sz="4" w:space="0" w:color="82C341" w:themeColor="background1"/>
            </w:tcBorders>
          </w:tcPr>
          <w:p w14:paraId="26C55F78" w14:textId="77777777" w:rsidR="00B43A25" w:rsidRPr="003171D9" w:rsidRDefault="00B43A25" w:rsidP="00E1055E">
            <w:pPr>
              <w:pStyle w:val="TableHeading"/>
              <w:rPr>
                <w:color w:val="auto"/>
              </w:rPr>
            </w:pPr>
          </w:p>
        </w:tc>
        <w:tc>
          <w:tcPr>
            <w:tcW w:w="1038" w:type="pct"/>
            <w:vMerge/>
            <w:tcBorders>
              <w:bottom w:val="single" w:sz="4" w:space="0" w:color="82C341" w:themeColor="background1"/>
            </w:tcBorders>
          </w:tcPr>
          <w:p w14:paraId="7CEC3AC2" w14:textId="77777777" w:rsidR="00B43A25" w:rsidRPr="003171D9" w:rsidRDefault="00B43A25" w:rsidP="007D11FD">
            <w:pPr>
              <w:pStyle w:val="TableHeading"/>
              <w:jc w:val="right"/>
              <w:rPr>
                <w:color w:val="auto"/>
              </w:rPr>
            </w:pPr>
          </w:p>
        </w:tc>
        <w:tc>
          <w:tcPr>
            <w:tcW w:w="1038" w:type="pct"/>
            <w:vMerge/>
            <w:tcBorders>
              <w:bottom w:val="single" w:sz="4" w:space="0" w:color="82C341" w:themeColor="background1"/>
            </w:tcBorders>
          </w:tcPr>
          <w:p w14:paraId="0D971F36" w14:textId="77777777" w:rsidR="00B43A25" w:rsidRPr="003171D9" w:rsidRDefault="00B43A25" w:rsidP="007D11FD">
            <w:pPr>
              <w:pStyle w:val="TableHeading"/>
              <w:jc w:val="right"/>
              <w:rPr>
                <w:color w:val="auto"/>
              </w:rPr>
            </w:pPr>
          </w:p>
        </w:tc>
        <w:tc>
          <w:tcPr>
            <w:tcW w:w="980" w:type="pct"/>
            <w:tcBorders>
              <w:bottom w:val="single" w:sz="4" w:space="0" w:color="82C341" w:themeColor="background1"/>
            </w:tcBorders>
            <w:shd w:val="clear" w:color="auto" w:fill="82C341" w:themeFill="background1"/>
          </w:tcPr>
          <w:p w14:paraId="79952278" w14:textId="5643AD3D" w:rsidR="00B43A25" w:rsidRPr="003171D9" w:rsidRDefault="00C935D9" w:rsidP="007D11FD">
            <w:pPr>
              <w:pStyle w:val="TableHeading"/>
              <w:spacing w:before="0"/>
              <w:jc w:val="right"/>
              <w:rPr>
                <w:color w:val="auto"/>
              </w:rPr>
            </w:pPr>
            <w:r>
              <w:rPr>
                <w:color w:val="auto"/>
              </w:rPr>
              <w:t>T</w:t>
            </w:r>
            <w:r w:rsidR="00B43A25" w:rsidRPr="003171D9">
              <w:rPr>
                <w:color w:val="auto"/>
              </w:rPr>
              <w:t>onnes</w:t>
            </w:r>
          </w:p>
        </w:tc>
        <w:tc>
          <w:tcPr>
            <w:tcW w:w="812" w:type="pct"/>
            <w:tcBorders>
              <w:bottom w:val="single" w:sz="4" w:space="0" w:color="82C341" w:themeColor="background1"/>
            </w:tcBorders>
            <w:shd w:val="clear" w:color="auto" w:fill="82C341" w:themeFill="background1"/>
            <w:vAlign w:val="center"/>
          </w:tcPr>
          <w:p w14:paraId="69585D36" w14:textId="77777777" w:rsidR="00B43A25" w:rsidRPr="003171D9" w:rsidRDefault="00B43A25" w:rsidP="007D11FD">
            <w:pPr>
              <w:pStyle w:val="TableHeading"/>
              <w:spacing w:before="0"/>
              <w:jc w:val="right"/>
              <w:rPr>
                <w:color w:val="auto"/>
              </w:rPr>
            </w:pPr>
            <w:r w:rsidRPr="003171D9">
              <w:rPr>
                <w:color w:val="auto"/>
              </w:rPr>
              <w:t>%</w:t>
            </w:r>
          </w:p>
        </w:tc>
      </w:tr>
      <w:tr w:rsidR="00B43A25" w:rsidRPr="003171D9" w14:paraId="5D245093" w14:textId="77777777" w:rsidTr="00E1055E">
        <w:tc>
          <w:tcPr>
            <w:tcW w:w="1133" w:type="pct"/>
            <w:tcBorders>
              <w:top w:val="single" w:sz="4" w:space="0" w:color="82C341" w:themeColor="background1"/>
              <w:bottom w:val="single" w:sz="4" w:space="0" w:color="82C341" w:themeColor="background1"/>
            </w:tcBorders>
            <w:shd w:val="clear" w:color="auto" w:fill="auto"/>
            <w:vAlign w:val="center"/>
          </w:tcPr>
          <w:p w14:paraId="67FC38F6" w14:textId="77777777" w:rsidR="00B43A25" w:rsidRPr="003171D9" w:rsidRDefault="00B43A25" w:rsidP="00E1055E">
            <w:pPr>
              <w:pStyle w:val="TableText"/>
              <w:rPr>
                <w:color w:val="auto"/>
              </w:rPr>
            </w:pPr>
            <w:r w:rsidRPr="003171D9">
              <w:rPr>
                <w:color w:val="auto"/>
              </w:rPr>
              <w:t>Plastics</w:t>
            </w:r>
          </w:p>
        </w:tc>
        <w:tc>
          <w:tcPr>
            <w:tcW w:w="1038" w:type="pct"/>
            <w:tcBorders>
              <w:top w:val="single" w:sz="4" w:space="0" w:color="82C341" w:themeColor="background1"/>
              <w:bottom w:val="single" w:sz="4" w:space="0" w:color="82C341" w:themeColor="background1"/>
            </w:tcBorders>
          </w:tcPr>
          <w:p w14:paraId="52222097" w14:textId="77777777" w:rsidR="00B43A25" w:rsidRPr="003171D9" w:rsidRDefault="00B43A25" w:rsidP="007D11FD">
            <w:pPr>
              <w:pStyle w:val="TableText"/>
              <w:jc w:val="right"/>
              <w:rPr>
                <w:color w:val="auto"/>
              </w:rPr>
            </w:pPr>
            <w:r w:rsidRPr="003171D9">
              <w:rPr>
                <w:color w:val="auto"/>
              </w:rPr>
              <w:t>70,900</w:t>
            </w:r>
          </w:p>
        </w:tc>
        <w:tc>
          <w:tcPr>
            <w:tcW w:w="1038" w:type="pct"/>
            <w:tcBorders>
              <w:top w:val="single" w:sz="4" w:space="0" w:color="82C341" w:themeColor="background1"/>
              <w:bottom w:val="single" w:sz="4" w:space="0" w:color="82C341" w:themeColor="background1"/>
            </w:tcBorders>
          </w:tcPr>
          <w:p w14:paraId="024917ED" w14:textId="77777777" w:rsidR="00B43A25" w:rsidRPr="003171D9" w:rsidRDefault="00B43A25" w:rsidP="007D11FD">
            <w:pPr>
              <w:pStyle w:val="TableText"/>
              <w:jc w:val="right"/>
              <w:rPr>
                <w:color w:val="auto"/>
              </w:rPr>
            </w:pPr>
            <w:r w:rsidRPr="003171D9">
              <w:rPr>
                <w:color w:val="auto"/>
              </w:rPr>
              <w:t>58,400</w:t>
            </w:r>
          </w:p>
        </w:tc>
        <w:tc>
          <w:tcPr>
            <w:tcW w:w="980" w:type="pct"/>
            <w:tcBorders>
              <w:top w:val="single" w:sz="4" w:space="0" w:color="82C341" w:themeColor="background1"/>
              <w:bottom w:val="single" w:sz="4" w:space="0" w:color="82C341" w:themeColor="background1"/>
            </w:tcBorders>
          </w:tcPr>
          <w:p w14:paraId="4927951F" w14:textId="77777777" w:rsidR="00B43A25" w:rsidRPr="003171D9" w:rsidRDefault="00B43A25" w:rsidP="007D11FD">
            <w:pPr>
              <w:pStyle w:val="TableText"/>
              <w:jc w:val="right"/>
              <w:rPr>
                <w:color w:val="auto"/>
              </w:rPr>
            </w:pPr>
            <w:r w:rsidRPr="003171D9">
              <w:rPr>
                <w:color w:val="auto"/>
              </w:rPr>
              <w:t>12,500</w:t>
            </w:r>
          </w:p>
        </w:tc>
        <w:tc>
          <w:tcPr>
            <w:tcW w:w="812" w:type="pct"/>
            <w:tcBorders>
              <w:top w:val="single" w:sz="4" w:space="0" w:color="82C341" w:themeColor="background1"/>
              <w:bottom w:val="single" w:sz="4" w:space="0" w:color="82C341" w:themeColor="background1"/>
            </w:tcBorders>
            <w:shd w:val="clear" w:color="auto" w:fill="auto"/>
            <w:vAlign w:val="center"/>
          </w:tcPr>
          <w:p w14:paraId="0E909EAF" w14:textId="5022735F" w:rsidR="00B43A25" w:rsidRPr="003171D9" w:rsidRDefault="00B43A25" w:rsidP="007D11FD">
            <w:pPr>
              <w:pStyle w:val="TableText"/>
              <w:jc w:val="right"/>
              <w:rPr>
                <w:color w:val="auto"/>
              </w:rPr>
            </w:pPr>
            <w:r w:rsidRPr="003171D9">
              <w:rPr>
                <w:color w:val="auto"/>
              </w:rPr>
              <w:t>1</w:t>
            </w:r>
            <w:r w:rsidR="00EF601C">
              <w:rPr>
                <w:color w:val="auto"/>
              </w:rPr>
              <w:t>7.6</w:t>
            </w:r>
            <w:r w:rsidRPr="003171D9">
              <w:rPr>
                <w:color w:val="auto"/>
              </w:rPr>
              <w:t>%</w:t>
            </w:r>
          </w:p>
        </w:tc>
      </w:tr>
      <w:tr w:rsidR="00B43A25" w:rsidRPr="003171D9" w14:paraId="6BEDEF6A" w14:textId="77777777" w:rsidTr="00E1055E">
        <w:tc>
          <w:tcPr>
            <w:tcW w:w="1133" w:type="pct"/>
            <w:tcBorders>
              <w:top w:val="single" w:sz="4" w:space="0" w:color="82C341" w:themeColor="background1"/>
              <w:bottom w:val="single" w:sz="4" w:space="0" w:color="82C341" w:themeColor="background1"/>
            </w:tcBorders>
            <w:shd w:val="clear" w:color="auto" w:fill="auto"/>
            <w:vAlign w:val="center"/>
          </w:tcPr>
          <w:p w14:paraId="55340FA9" w14:textId="77777777" w:rsidR="00B43A25" w:rsidRPr="003171D9" w:rsidRDefault="00B43A25" w:rsidP="00E1055E">
            <w:pPr>
              <w:pStyle w:val="TableText"/>
              <w:rPr>
                <w:color w:val="auto"/>
              </w:rPr>
            </w:pPr>
            <w:r w:rsidRPr="003171D9">
              <w:rPr>
                <w:color w:val="auto"/>
              </w:rPr>
              <w:t>Paper / cardboard</w:t>
            </w:r>
          </w:p>
        </w:tc>
        <w:tc>
          <w:tcPr>
            <w:tcW w:w="1038" w:type="pct"/>
            <w:tcBorders>
              <w:top w:val="single" w:sz="4" w:space="0" w:color="82C341" w:themeColor="background1"/>
              <w:bottom w:val="single" w:sz="4" w:space="0" w:color="82C341" w:themeColor="background1"/>
            </w:tcBorders>
          </w:tcPr>
          <w:p w14:paraId="4949B4B0" w14:textId="77777777" w:rsidR="00B43A25" w:rsidRPr="003171D9" w:rsidRDefault="00B43A25" w:rsidP="007D11FD">
            <w:pPr>
              <w:pStyle w:val="TableText"/>
              <w:jc w:val="right"/>
              <w:rPr>
                <w:color w:val="auto"/>
              </w:rPr>
            </w:pPr>
            <w:r w:rsidRPr="003171D9">
              <w:rPr>
                <w:color w:val="auto"/>
              </w:rPr>
              <w:t>203,500</w:t>
            </w:r>
          </w:p>
        </w:tc>
        <w:tc>
          <w:tcPr>
            <w:tcW w:w="1038" w:type="pct"/>
            <w:tcBorders>
              <w:top w:val="single" w:sz="4" w:space="0" w:color="82C341" w:themeColor="background1"/>
              <w:bottom w:val="single" w:sz="4" w:space="0" w:color="82C341" w:themeColor="background1"/>
            </w:tcBorders>
          </w:tcPr>
          <w:p w14:paraId="2BA5AC2A" w14:textId="77777777" w:rsidR="00B43A25" w:rsidRPr="003171D9" w:rsidRDefault="00B43A25" w:rsidP="007D11FD">
            <w:pPr>
              <w:pStyle w:val="TableText"/>
              <w:jc w:val="right"/>
              <w:rPr>
                <w:color w:val="auto"/>
              </w:rPr>
            </w:pPr>
            <w:r w:rsidRPr="003171D9">
              <w:rPr>
                <w:color w:val="auto"/>
              </w:rPr>
              <w:t>289,400</w:t>
            </w:r>
          </w:p>
        </w:tc>
        <w:tc>
          <w:tcPr>
            <w:tcW w:w="980" w:type="pct"/>
            <w:tcBorders>
              <w:top w:val="single" w:sz="4" w:space="0" w:color="82C341" w:themeColor="background1"/>
              <w:bottom w:val="single" w:sz="4" w:space="0" w:color="82C341" w:themeColor="background1"/>
            </w:tcBorders>
          </w:tcPr>
          <w:p w14:paraId="0DCA9423" w14:textId="33230054" w:rsidR="00B43A25" w:rsidRPr="003171D9" w:rsidRDefault="00F41E3D" w:rsidP="007D11FD">
            <w:pPr>
              <w:pStyle w:val="TableText"/>
              <w:jc w:val="right"/>
              <w:rPr>
                <w:color w:val="auto"/>
              </w:rPr>
            </w:pPr>
            <w:r>
              <w:rPr>
                <w:color w:val="auto"/>
              </w:rPr>
              <w:t>–</w:t>
            </w:r>
            <w:r w:rsidR="00B43A25" w:rsidRPr="003171D9">
              <w:rPr>
                <w:color w:val="auto"/>
              </w:rPr>
              <w:t>85,900</w:t>
            </w:r>
          </w:p>
        </w:tc>
        <w:tc>
          <w:tcPr>
            <w:tcW w:w="812" w:type="pct"/>
            <w:tcBorders>
              <w:top w:val="single" w:sz="4" w:space="0" w:color="82C341" w:themeColor="background1"/>
              <w:bottom w:val="single" w:sz="4" w:space="0" w:color="82C341" w:themeColor="background1"/>
            </w:tcBorders>
            <w:shd w:val="clear" w:color="auto" w:fill="auto"/>
            <w:vAlign w:val="center"/>
          </w:tcPr>
          <w:p w14:paraId="2FA1C421" w14:textId="238130D5" w:rsidR="00B43A25" w:rsidRPr="003171D9" w:rsidRDefault="00F41E3D" w:rsidP="007D11FD">
            <w:pPr>
              <w:pStyle w:val="TableText"/>
              <w:jc w:val="right"/>
              <w:rPr>
                <w:color w:val="auto"/>
              </w:rPr>
            </w:pPr>
            <w:r>
              <w:rPr>
                <w:color w:val="auto"/>
              </w:rPr>
              <w:t>–</w:t>
            </w:r>
            <w:r w:rsidR="00B43A25" w:rsidRPr="003171D9">
              <w:rPr>
                <w:color w:val="auto"/>
              </w:rPr>
              <w:t>42</w:t>
            </w:r>
            <w:r w:rsidR="00EF601C">
              <w:rPr>
                <w:color w:val="auto"/>
              </w:rPr>
              <w:t>.2</w:t>
            </w:r>
            <w:r w:rsidR="00B43A25" w:rsidRPr="003171D9">
              <w:rPr>
                <w:color w:val="auto"/>
              </w:rPr>
              <w:t>%</w:t>
            </w:r>
          </w:p>
        </w:tc>
      </w:tr>
      <w:tr w:rsidR="00B43A25" w:rsidRPr="003171D9" w14:paraId="077E8D47" w14:textId="77777777" w:rsidTr="00E1055E">
        <w:tc>
          <w:tcPr>
            <w:tcW w:w="1133" w:type="pct"/>
            <w:tcBorders>
              <w:top w:val="single" w:sz="4" w:space="0" w:color="82C341" w:themeColor="background1"/>
              <w:bottom w:val="single" w:sz="4" w:space="0" w:color="82C341" w:themeColor="background1"/>
            </w:tcBorders>
            <w:shd w:val="clear" w:color="auto" w:fill="auto"/>
            <w:vAlign w:val="center"/>
          </w:tcPr>
          <w:p w14:paraId="2206B603" w14:textId="77777777" w:rsidR="00B43A25" w:rsidRPr="003171D9" w:rsidRDefault="00B43A25" w:rsidP="00E1055E">
            <w:pPr>
              <w:pStyle w:val="TableText"/>
              <w:rPr>
                <w:color w:val="auto"/>
              </w:rPr>
            </w:pPr>
            <w:r w:rsidRPr="003171D9">
              <w:rPr>
                <w:color w:val="auto"/>
              </w:rPr>
              <w:t>Glass</w:t>
            </w:r>
          </w:p>
        </w:tc>
        <w:tc>
          <w:tcPr>
            <w:tcW w:w="1038" w:type="pct"/>
            <w:tcBorders>
              <w:top w:val="single" w:sz="4" w:space="0" w:color="82C341" w:themeColor="background1"/>
              <w:bottom w:val="single" w:sz="4" w:space="0" w:color="82C341" w:themeColor="background1"/>
            </w:tcBorders>
          </w:tcPr>
          <w:p w14:paraId="76815858" w14:textId="77777777" w:rsidR="00B43A25" w:rsidRPr="003171D9" w:rsidRDefault="00B43A25" w:rsidP="007D11FD">
            <w:pPr>
              <w:pStyle w:val="TableText"/>
              <w:jc w:val="right"/>
              <w:rPr>
                <w:rFonts w:eastAsia="Times New Roman"/>
                <w:color w:val="auto"/>
                <w:szCs w:val="17"/>
                <w:lang w:eastAsia="en-AU"/>
              </w:rPr>
            </w:pPr>
            <w:r w:rsidRPr="003171D9">
              <w:rPr>
                <w:rFonts w:eastAsia="Times New Roman"/>
                <w:color w:val="auto"/>
                <w:szCs w:val="17"/>
                <w:lang w:eastAsia="en-AU"/>
              </w:rPr>
              <w:t>287,500</w:t>
            </w:r>
          </w:p>
        </w:tc>
        <w:tc>
          <w:tcPr>
            <w:tcW w:w="1038" w:type="pct"/>
            <w:tcBorders>
              <w:top w:val="single" w:sz="4" w:space="0" w:color="82C341" w:themeColor="background1"/>
              <w:bottom w:val="single" w:sz="4" w:space="0" w:color="82C341" w:themeColor="background1"/>
            </w:tcBorders>
          </w:tcPr>
          <w:p w14:paraId="5B271E34" w14:textId="77777777" w:rsidR="00B43A25" w:rsidRPr="003171D9" w:rsidRDefault="00B43A25" w:rsidP="007D11FD">
            <w:pPr>
              <w:pStyle w:val="TableText"/>
              <w:jc w:val="right"/>
              <w:rPr>
                <w:rFonts w:eastAsia="Times New Roman"/>
                <w:color w:val="auto"/>
                <w:szCs w:val="17"/>
                <w:lang w:eastAsia="en-AU"/>
              </w:rPr>
            </w:pPr>
            <w:r w:rsidRPr="003171D9">
              <w:rPr>
                <w:rFonts w:eastAsia="Times New Roman"/>
                <w:color w:val="auto"/>
                <w:szCs w:val="17"/>
                <w:lang w:eastAsia="en-AU"/>
              </w:rPr>
              <w:t>168,400</w:t>
            </w:r>
          </w:p>
        </w:tc>
        <w:tc>
          <w:tcPr>
            <w:tcW w:w="980" w:type="pct"/>
            <w:tcBorders>
              <w:top w:val="single" w:sz="4" w:space="0" w:color="82C341" w:themeColor="background1"/>
              <w:bottom w:val="single" w:sz="4" w:space="0" w:color="82C341" w:themeColor="background1"/>
            </w:tcBorders>
          </w:tcPr>
          <w:p w14:paraId="06BEA303" w14:textId="77777777" w:rsidR="00B43A25" w:rsidRPr="003171D9" w:rsidRDefault="00B43A25" w:rsidP="007D11FD">
            <w:pPr>
              <w:pStyle w:val="TableText"/>
              <w:jc w:val="right"/>
              <w:rPr>
                <w:rFonts w:eastAsia="Times New Roman"/>
                <w:color w:val="auto"/>
                <w:szCs w:val="17"/>
                <w:lang w:eastAsia="en-AU"/>
              </w:rPr>
            </w:pPr>
            <w:r w:rsidRPr="003171D9">
              <w:rPr>
                <w:rFonts w:eastAsia="Times New Roman"/>
                <w:color w:val="auto"/>
                <w:szCs w:val="17"/>
                <w:lang w:eastAsia="en-AU"/>
              </w:rPr>
              <w:t>119,100</w:t>
            </w:r>
          </w:p>
        </w:tc>
        <w:tc>
          <w:tcPr>
            <w:tcW w:w="812" w:type="pct"/>
            <w:tcBorders>
              <w:top w:val="single" w:sz="4" w:space="0" w:color="82C341" w:themeColor="background1"/>
              <w:bottom w:val="single" w:sz="4" w:space="0" w:color="82C341" w:themeColor="background1"/>
            </w:tcBorders>
            <w:shd w:val="clear" w:color="auto" w:fill="auto"/>
            <w:vAlign w:val="center"/>
          </w:tcPr>
          <w:p w14:paraId="5A804FB4" w14:textId="2A933AC9" w:rsidR="00B43A25" w:rsidRPr="003171D9" w:rsidRDefault="00B43A25" w:rsidP="007D11FD">
            <w:pPr>
              <w:pStyle w:val="TableText"/>
              <w:jc w:val="right"/>
              <w:rPr>
                <w:color w:val="auto"/>
              </w:rPr>
            </w:pPr>
            <w:r w:rsidRPr="003171D9">
              <w:rPr>
                <w:color w:val="auto"/>
              </w:rPr>
              <w:t>41</w:t>
            </w:r>
            <w:r w:rsidR="00EF601C">
              <w:rPr>
                <w:color w:val="auto"/>
              </w:rPr>
              <w:t>.4</w:t>
            </w:r>
            <w:r w:rsidRPr="003171D9">
              <w:rPr>
                <w:color w:val="auto"/>
              </w:rPr>
              <w:t>%</w:t>
            </w:r>
          </w:p>
        </w:tc>
      </w:tr>
      <w:tr w:rsidR="00B43A25" w:rsidRPr="003171D9" w14:paraId="0313562F" w14:textId="77777777" w:rsidTr="00E1055E">
        <w:tc>
          <w:tcPr>
            <w:tcW w:w="1133" w:type="pct"/>
            <w:tcBorders>
              <w:top w:val="single" w:sz="4" w:space="0" w:color="82C341" w:themeColor="background1"/>
              <w:bottom w:val="single" w:sz="4" w:space="0" w:color="82C341" w:themeColor="background1"/>
            </w:tcBorders>
            <w:shd w:val="clear" w:color="auto" w:fill="auto"/>
            <w:vAlign w:val="center"/>
          </w:tcPr>
          <w:p w14:paraId="1CFE8AF4" w14:textId="77777777" w:rsidR="00B43A25" w:rsidRPr="003171D9" w:rsidRDefault="00B43A25" w:rsidP="00E1055E">
            <w:pPr>
              <w:pStyle w:val="TableText"/>
              <w:rPr>
                <w:color w:val="auto"/>
              </w:rPr>
            </w:pPr>
            <w:r w:rsidRPr="003171D9">
              <w:rPr>
                <w:color w:val="auto"/>
              </w:rPr>
              <w:t>Metals</w:t>
            </w:r>
          </w:p>
        </w:tc>
        <w:tc>
          <w:tcPr>
            <w:tcW w:w="1038" w:type="pct"/>
            <w:tcBorders>
              <w:top w:val="single" w:sz="4" w:space="0" w:color="82C341" w:themeColor="background1"/>
              <w:bottom w:val="single" w:sz="4" w:space="0" w:color="82C341" w:themeColor="background1"/>
            </w:tcBorders>
          </w:tcPr>
          <w:p w14:paraId="6C2561EB" w14:textId="77777777" w:rsidR="00B43A25" w:rsidRPr="003171D9" w:rsidRDefault="00B43A25" w:rsidP="007D11FD">
            <w:pPr>
              <w:pStyle w:val="TableText"/>
              <w:jc w:val="right"/>
              <w:rPr>
                <w:color w:val="auto"/>
              </w:rPr>
            </w:pPr>
            <w:r w:rsidRPr="003171D9">
              <w:rPr>
                <w:color w:val="auto"/>
              </w:rPr>
              <w:t>347,100</w:t>
            </w:r>
          </w:p>
        </w:tc>
        <w:tc>
          <w:tcPr>
            <w:tcW w:w="1038" w:type="pct"/>
            <w:tcBorders>
              <w:top w:val="single" w:sz="4" w:space="0" w:color="82C341" w:themeColor="background1"/>
              <w:bottom w:val="single" w:sz="4" w:space="0" w:color="82C341" w:themeColor="background1"/>
            </w:tcBorders>
          </w:tcPr>
          <w:p w14:paraId="712A65CF" w14:textId="77777777" w:rsidR="00B43A25" w:rsidRPr="003171D9" w:rsidRDefault="00B43A25" w:rsidP="007D11FD">
            <w:pPr>
              <w:pStyle w:val="TableText"/>
              <w:jc w:val="right"/>
              <w:rPr>
                <w:color w:val="auto"/>
              </w:rPr>
            </w:pPr>
            <w:r w:rsidRPr="003171D9">
              <w:rPr>
                <w:color w:val="auto"/>
              </w:rPr>
              <w:t>16,600</w:t>
            </w:r>
          </w:p>
        </w:tc>
        <w:tc>
          <w:tcPr>
            <w:tcW w:w="980" w:type="pct"/>
            <w:tcBorders>
              <w:top w:val="single" w:sz="4" w:space="0" w:color="82C341" w:themeColor="background1"/>
              <w:bottom w:val="single" w:sz="4" w:space="0" w:color="82C341" w:themeColor="background1"/>
            </w:tcBorders>
          </w:tcPr>
          <w:p w14:paraId="0290B6B5" w14:textId="77777777" w:rsidR="00B43A25" w:rsidRPr="003171D9" w:rsidRDefault="00B43A25" w:rsidP="007D11FD">
            <w:pPr>
              <w:pStyle w:val="TableText"/>
              <w:jc w:val="right"/>
              <w:rPr>
                <w:color w:val="auto"/>
              </w:rPr>
            </w:pPr>
            <w:r w:rsidRPr="003171D9">
              <w:rPr>
                <w:color w:val="auto"/>
              </w:rPr>
              <w:t>330,500</w:t>
            </w:r>
          </w:p>
        </w:tc>
        <w:tc>
          <w:tcPr>
            <w:tcW w:w="812" w:type="pct"/>
            <w:tcBorders>
              <w:top w:val="single" w:sz="4" w:space="0" w:color="82C341" w:themeColor="background1"/>
              <w:bottom w:val="single" w:sz="4" w:space="0" w:color="82C341" w:themeColor="background1"/>
            </w:tcBorders>
            <w:shd w:val="clear" w:color="auto" w:fill="auto"/>
            <w:vAlign w:val="center"/>
          </w:tcPr>
          <w:p w14:paraId="04BDDEA7" w14:textId="3BDCDB72" w:rsidR="00B43A25" w:rsidRPr="003171D9" w:rsidRDefault="00B43A25" w:rsidP="007D11FD">
            <w:pPr>
              <w:pStyle w:val="TableText"/>
              <w:jc w:val="right"/>
              <w:rPr>
                <w:color w:val="auto"/>
              </w:rPr>
            </w:pPr>
            <w:r w:rsidRPr="003171D9">
              <w:rPr>
                <w:color w:val="auto"/>
              </w:rPr>
              <w:t>95</w:t>
            </w:r>
            <w:r w:rsidR="00EF601C">
              <w:rPr>
                <w:color w:val="auto"/>
              </w:rPr>
              <w:t>.2</w:t>
            </w:r>
            <w:r w:rsidRPr="003171D9">
              <w:rPr>
                <w:color w:val="auto"/>
              </w:rPr>
              <w:t>%</w:t>
            </w:r>
          </w:p>
        </w:tc>
      </w:tr>
      <w:tr w:rsidR="00B43A25" w:rsidRPr="003171D9" w14:paraId="1D8859EE" w14:textId="77777777" w:rsidTr="00E1055E">
        <w:tc>
          <w:tcPr>
            <w:tcW w:w="1133" w:type="pct"/>
            <w:tcBorders>
              <w:top w:val="single" w:sz="4" w:space="0" w:color="82C341" w:themeColor="background1"/>
              <w:bottom w:val="single" w:sz="4" w:space="0" w:color="82C341" w:themeColor="background1"/>
            </w:tcBorders>
            <w:shd w:val="clear" w:color="auto" w:fill="auto"/>
            <w:vAlign w:val="center"/>
          </w:tcPr>
          <w:p w14:paraId="17DE054F" w14:textId="77777777" w:rsidR="00B43A25" w:rsidRPr="003171D9" w:rsidRDefault="00B43A25" w:rsidP="00E1055E">
            <w:pPr>
              <w:pStyle w:val="TableText"/>
              <w:rPr>
                <w:color w:val="auto"/>
              </w:rPr>
            </w:pPr>
            <w:r w:rsidRPr="003171D9">
              <w:rPr>
                <w:color w:val="auto"/>
              </w:rPr>
              <w:t>Organics</w:t>
            </w:r>
          </w:p>
        </w:tc>
        <w:tc>
          <w:tcPr>
            <w:tcW w:w="1038" w:type="pct"/>
            <w:tcBorders>
              <w:top w:val="single" w:sz="4" w:space="0" w:color="82C341" w:themeColor="background1"/>
              <w:bottom w:val="single" w:sz="4" w:space="0" w:color="82C341" w:themeColor="background1"/>
            </w:tcBorders>
          </w:tcPr>
          <w:p w14:paraId="3B7E73C8" w14:textId="77777777" w:rsidR="00B43A25" w:rsidRPr="003171D9" w:rsidRDefault="00B43A25" w:rsidP="007D11FD">
            <w:pPr>
              <w:pStyle w:val="TableText"/>
              <w:jc w:val="right"/>
              <w:rPr>
                <w:rFonts w:eastAsia="Times New Roman"/>
                <w:color w:val="auto"/>
                <w:szCs w:val="17"/>
                <w:lang w:eastAsia="en-AU"/>
              </w:rPr>
            </w:pPr>
            <w:r w:rsidRPr="003171D9">
              <w:rPr>
                <w:rFonts w:eastAsia="Times New Roman"/>
                <w:color w:val="auto"/>
                <w:szCs w:val="17"/>
                <w:lang w:eastAsia="en-AU"/>
              </w:rPr>
              <w:t>645,400</w:t>
            </w:r>
          </w:p>
        </w:tc>
        <w:tc>
          <w:tcPr>
            <w:tcW w:w="1038" w:type="pct"/>
            <w:tcBorders>
              <w:top w:val="single" w:sz="4" w:space="0" w:color="82C341" w:themeColor="background1"/>
              <w:bottom w:val="single" w:sz="4" w:space="0" w:color="82C341" w:themeColor="background1"/>
            </w:tcBorders>
          </w:tcPr>
          <w:p w14:paraId="7D2C9F8B" w14:textId="77777777" w:rsidR="00B43A25" w:rsidRPr="003171D9" w:rsidRDefault="00B43A25" w:rsidP="007D11FD">
            <w:pPr>
              <w:pStyle w:val="TableText"/>
              <w:jc w:val="right"/>
              <w:rPr>
                <w:rFonts w:eastAsia="Times New Roman"/>
                <w:color w:val="auto"/>
                <w:szCs w:val="17"/>
                <w:lang w:eastAsia="en-AU"/>
              </w:rPr>
            </w:pPr>
            <w:r w:rsidRPr="003171D9">
              <w:rPr>
                <w:rFonts w:eastAsia="Times New Roman"/>
                <w:color w:val="auto"/>
                <w:szCs w:val="17"/>
                <w:lang w:eastAsia="en-AU"/>
              </w:rPr>
              <w:t>697,100</w:t>
            </w:r>
          </w:p>
        </w:tc>
        <w:tc>
          <w:tcPr>
            <w:tcW w:w="980" w:type="pct"/>
            <w:tcBorders>
              <w:top w:val="single" w:sz="4" w:space="0" w:color="82C341" w:themeColor="background1"/>
              <w:bottom w:val="single" w:sz="4" w:space="0" w:color="82C341" w:themeColor="background1"/>
            </w:tcBorders>
          </w:tcPr>
          <w:p w14:paraId="33F18C63" w14:textId="3802DE44" w:rsidR="00B43A25" w:rsidRPr="003171D9" w:rsidRDefault="00F41E3D" w:rsidP="007D11FD">
            <w:pPr>
              <w:pStyle w:val="TableText"/>
              <w:jc w:val="right"/>
              <w:rPr>
                <w:rFonts w:eastAsia="Times New Roman"/>
                <w:color w:val="auto"/>
                <w:szCs w:val="17"/>
                <w:lang w:eastAsia="en-AU"/>
              </w:rPr>
            </w:pPr>
            <w:r>
              <w:rPr>
                <w:color w:val="auto"/>
              </w:rPr>
              <w:t>–</w:t>
            </w:r>
            <w:r w:rsidR="00B43A25" w:rsidRPr="003171D9">
              <w:rPr>
                <w:rFonts w:eastAsia="Times New Roman"/>
                <w:color w:val="auto"/>
                <w:szCs w:val="17"/>
                <w:lang w:eastAsia="en-AU"/>
              </w:rPr>
              <w:t>51,700</w:t>
            </w:r>
          </w:p>
        </w:tc>
        <w:tc>
          <w:tcPr>
            <w:tcW w:w="812" w:type="pct"/>
            <w:tcBorders>
              <w:top w:val="single" w:sz="4" w:space="0" w:color="82C341" w:themeColor="background1"/>
              <w:bottom w:val="single" w:sz="4" w:space="0" w:color="82C341" w:themeColor="background1"/>
            </w:tcBorders>
            <w:shd w:val="clear" w:color="auto" w:fill="auto"/>
            <w:vAlign w:val="center"/>
          </w:tcPr>
          <w:p w14:paraId="54A3733A" w14:textId="580066DF" w:rsidR="00B43A25" w:rsidRPr="003171D9" w:rsidRDefault="00F41E3D" w:rsidP="007D11FD">
            <w:pPr>
              <w:pStyle w:val="TableText"/>
              <w:jc w:val="right"/>
              <w:rPr>
                <w:color w:val="auto"/>
              </w:rPr>
            </w:pPr>
            <w:r>
              <w:rPr>
                <w:color w:val="auto"/>
              </w:rPr>
              <w:t>–</w:t>
            </w:r>
            <w:r w:rsidR="00B43A25" w:rsidRPr="003171D9">
              <w:rPr>
                <w:color w:val="auto"/>
              </w:rPr>
              <w:t>8</w:t>
            </w:r>
            <w:r w:rsidR="00EF601C">
              <w:rPr>
                <w:color w:val="auto"/>
              </w:rPr>
              <w:t>.0</w:t>
            </w:r>
            <w:r w:rsidR="00B43A25" w:rsidRPr="003171D9">
              <w:rPr>
                <w:color w:val="auto"/>
              </w:rPr>
              <w:t>%</w:t>
            </w:r>
          </w:p>
        </w:tc>
      </w:tr>
      <w:tr w:rsidR="00B43A25" w:rsidRPr="003171D9" w14:paraId="6AB0126A" w14:textId="77777777" w:rsidTr="00E1055E">
        <w:trPr>
          <w:cnfStyle w:val="010000000000" w:firstRow="0" w:lastRow="1" w:firstColumn="0" w:lastColumn="0" w:oddVBand="0" w:evenVBand="0" w:oddHBand="0" w:evenHBand="0" w:firstRowFirstColumn="0" w:firstRowLastColumn="0" w:lastRowFirstColumn="0" w:lastRowLastColumn="0"/>
        </w:trPr>
        <w:tc>
          <w:tcPr>
            <w:tcW w:w="1133" w:type="pct"/>
            <w:tcBorders>
              <w:top w:val="single" w:sz="4" w:space="0" w:color="82C341" w:themeColor="background1"/>
              <w:bottom w:val="single" w:sz="4" w:space="0" w:color="82C341" w:themeColor="background1"/>
            </w:tcBorders>
            <w:shd w:val="clear" w:color="auto" w:fill="auto"/>
            <w:vAlign w:val="center"/>
          </w:tcPr>
          <w:p w14:paraId="12EEBB7B" w14:textId="77777777" w:rsidR="00B43A25" w:rsidRPr="003171D9" w:rsidRDefault="00B43A25" w:rsidP="00E1055E">
            <w:pPr>
              <w:pStyle w:val="TableText"/>
              <w:rPr>
                <w:b w:val="0"/>
                <w:color w:val="auto"/>
              </w:rPr>
            </w:pPr>
            <w:r w:rsidRPr="003171D9">
              <w:rPr>
                <w:b w:val="0"/>
                <w:color w:val="auto"/>
              </w:rPr>
              <w:t>Total</w:t>
            </w:r>
          </w:p>
        </w:tc>
        <w:tc>
          <w:tcPr>
            <w:tcW w:w="1038" w:type="pct"/>
            <w:tcBorders>
              <w:top w:val="single" w:sz="4" w:space="0" w:color="82C341" w:themeColor="background1"/>
              <w:bottom w:val="single" w:sz="4" w:space="0" w:color="82C341" w:themeColor="background1"/>
            </w:tcBorders>
            <w:shd w:val="clear" w:color="auto" w:fill="auto"/>
          </w:tcPr>
          <w:p w14:paraId="6B9B241D" w14:textId="77777777" w:rsidR="00B43A25" w:rsidRPr="003171D9" w:rsidRDefault="00B43A25" w:rsidP="007D11FD">
            <w:pPr>
              <w:pStyle w:val="TableText"/>
              <w:jc w:val="right"/>
              <w:rPr>
                <w:rFonts w:eastAsia="Times New Roman"/>
                <w:b w:val="0"/>
                <w:color w:val="auto"/>
                <w:szCs w:val="17"/>
                <w:lang w:eastAsia="en-AU"/>
              </w:rPr>
            </w:pPr>
            <w:r w:rsidRPr="003171D9">
              <w:rPr>
                <w:rFonts w:eastAsia="Times New Roman"/>
                <w:b w:val="0"/>
                <w:color w:val="auto"/>
                <w:szCs w:val="17"/>
                <w:lang w:eastAsia="en-AU"/>
              </w:rPr>
              <w:t>1,554,400</w:t>
            </w:r>
          </w:p>
        </w:tc>
        <w:tc>
          <w:tcPr>
            <w:tcW w:w="1038" w:type="pct"/>
            <w:tcBorders>
              <w:top w:val="single" w:sz="4" w:space="0" w:color="82C341" w:themeColor="background1"/>
              <w:bottom w:val="single" w:sz="4" w:space="0" w:color="82C341" w:themeColor="background1"/>
            </w:tcBorders>
            <w:shd w:val="clear" w:color="auto" w:fill="auto"/>
          </w:tcPr>
          <w:p w14:paraId="39C562D9" w14:textId="77777777" w:rsidR="00B43A25" w:rsidRPr="003171D9" w:rsidRDefault="00B43A25" w:rsidP="007D11FD">
            <w:pPr>
              <w:pStyle w:val="TableText"/>
              <w:jc w:val="right"/>
              <w:rPr>
                <w:rFonts w:eastAsia="Times New Roman"/>
                <w:b w:val="0"/>
                <w:color w:val="auto"/>
                <w:szCs w:val="17"/>
                <w:lang w:eastAsia="en-AU"/>
              </w:rPr>
            </w:pPr>
            <w:r w:rsidRPr="003171D9">
              <w:rPr>
                <w:rFonts w:eastAsia="Times New Roman"/>
                <w:b w:val="0"/>
                <w:color w:val="auto"/>
                <w:szCs w:val="17"/>
                <w:lang w:eastAsia="en-AU"/>
              </w:rPr>
              <w:t>1,229,900</w:t>
            </w:r>
          </w:p>
        </w:tc>
        <w:tc>
          <w:tcPr>
            <w:tcW w:w="980" w:type="pct"/>
            <w:tcBorders>
              <w:top w:val="single" w:sz="4" w:space="0" w:color="82C341" w:themeColor="background1"/>
              <w:bottom w:val="single" w:sz="4" w:space="0" w:color="82C341" w:themeColor="background1"/>
            </w:tcBorders>
            <w:shd w:val="clear" w:color="auto" w:fill="auto"/>
          </w:tcPr>
          <w:p w14:paraId="646DF17A" w14:textId="77777777" w:rsidR="00B43A25" w:rsidRPr="003171D9" w:rsidRDefault="00B43A25" w:rsidP="007D11FD">
            <w:pPr>
              <w:pStyle w:val="TableText"/>
              <w:jc w:val="right"/>
              <w:rPr>
                <w:rFonts w:eastAsia="Times New Roman"/>
                <w:b w:val="0"/>
                <w:color w:val="auto"/>
                <w:szCs w:val="17"/>
                <w:lang w:eastAsia="en-AU"/>
              </w:rPr>
            </w:pPr>
            <w:r w:rsidRPr="003171D9">
              <w:rPr>
                <w:rFonts w:eastAsia="Times New Roman"/>
                <w:b w:val="0"/>
                <w:color w:val="auto"/>
                <w:szCs w:val="17"/>
                <w:lang w:eastAsia="en-AU"/>
              </w:rPr>
              <w:t>324,500</w:t>
            </w:r>
          </w:p>
        </w:tc>
        <w:tc>
          <w:tcPr>
            <w:tcW w:w="812" w:type="pct"/>
            <w:tcBorders>
              <w:top w:val="single" w:sz="4" w:space="0" w:color="82C341" w:themeColor="background1"/>
              <w:bottom w:val="single" w:sz="4" w:space="0" w:color="82C341" w:themeColor="background1"/>
            </w:tcBorders>
            <w:shd w:val="clear" w:color="auto" w:fill="auto"/>
            <w:vAlign w:val="center"/>
          </w:tcPr>
          <w:p w14:paraId="68D5BC92" w14:textId="2E2207E8" w:rsidR="00B43A25" w:rsidRPr="003171D9" w:rsidRDefault="00B43A25" w:rsidP="007D11FD">
            <w:pPr>
              <w:pStyle w:val="TableText"/>
              <w:jc w:val="right"/>
              <w:rPr>
                <w:b w:val="0"/>
                <w:color w:val="auto"/>
              </w:rPr>
            </w:pPr>
            <w:r w:rsidRPr="003171D9">
              <w:rPr>
                <w:b w:val="0"/>
                <w:color w:val="auto"/>
              </w:rPr>
              <w:t>2</w:t>
            </w:r>
            <w:r w:rsidR="00EF601C">
              <w:rPr>
                <w:b w:val="0"/>
                <w:color w:val="auto"/>
              </w:rPr>
              <w:t>0.9</w:t>
            </w:r>
            <w:r w:rsidRPr="003171D9">
              <w:rPr>
                <w:b w:val="0"/>
                <w:color w:val="auto"/>
              </w:rPr>
              <w:t>%</w:t>
            </w:r>
          </w:p>
        </w:tc>
      </w:tr>
    </w:tbl>
    <w:bookmarkEnd w:id="138"/>
    <w:p w14:paraId="7FBF637E" w14:textId="77777777" w:rsidR="00B43A25" w:rsidRPr="00F00322" w:rsidRDefault="00B43A25" w:rsidP="001341FB">
      <w:pPr>
        <w:pStyle w:val="Caption"/>
      </w:pPr>
      <w:r w:rsidRPr="00F00322">
        <w:t>Note: All figures are rounded to the nearest 100 tonnes and sum of components may not add to totals due to rounding errors.</w:t>
      </w:r>
    </w:p>
    <w:p w14:paraId="6C58C3B2" w14:textId="77777777" w:rsidR="00B43A25" w:rsidRPr="003171D9" w:rsidRDefault="00B43A25" w:rsidP="00B43A25">
      <w:pPr>
        <w:rPr>
          <w:color w:val="auto"/>
          <w:szCs w:val="19"/>
        </w:rPr>
      </w:pPr>
      <w:r w:rsidRPr="003171D9">
        <w:rPr>
          <w:color w:val="auto"/>
          <w:szCs w:val="19"/>
        </w:rPr>
        <w:t xml:space="preserve">The differences observed between the two data sets could be explained by </w:t>
      </w:r>
      <w:proofErr w:type="gramStart"/>
      <w:r w:rsidRPr="003171D9">
        <w:rPr>
          <w:color w:val="auto"/>
          <w:szCs w:val="19"/>
        </w:rPr>
        <w:t>a number of</w:t>
      </w:r>
      <w:proofErr w:type="gramEnd"/>
      <w:r w:rsidRPr="003171D9">
        <w:rPr>
          <w:color w:val="auto"/>
          <w:szCs w:val="19"/>
        </w:rPr>
        <w:t xml:space="preserve"> factors:</w:t>
      </w:r>
    </w:p>
    <w:p w14:paraId="2458654C" w14:textId="77777777" w:rsidR="00B43A25" w:rsidRPr="003171D9" w:rsidRDefault="00B43A25" w:rsidP="001341FB">
      <w:pPr>
        <w:pStyle w:val="ListBullet"/>
      </w:pPr>
      <w:r w:rsidRPr="003171D9">
        <w:t>Responses by material type by source sector can vary significantly from year to year, potentially due to:</w:t>
      </w:r>
    </w:p>
    <w:p w14:paraId="6E32E228" w14:textId="5941BEC6" w:rsidR="00B43A25" w:rsidRPr="003171D9" w:rsidRDefault="00B43A25" w:rsidP="001341FB">
      <w:pPr>
        <w:pStyle w:val="ListBullet2"/>
      </w:pPr>
      <w:r w:rsidRPr="003171D9">
        <w:t>material entered as originating from an industrial source (</w:t>
      </w:r>
      <w:proofErr w:type="gramStart"/>
      <w:r w:rsidRPr="003171D9">
        <w:t>e.g.</w:t>
      </w:r>
      <w:proofErr w:type="gramEnd"/>
      <w:r w:rsidRPr="003171D9">
        <w:t xml:space="preserve"> a materials recovery facility)</w:t>
      </w:r>
      <w:r w:rsidR="00C81D92">
        <w:t>,</w:t>
      </w:r>
      <w:r w:rsidRPr="003171D9">
        <w:t xml:space="preserve"> which was initially from a municipal source (a kerbside recyclable bin)</w:t>
      </w:r>
    </w:p>
    <w:p w14:paraId="311B18A9" w14:textId="77777777" w:rsidR="00B43A25" w:rsidRPr="003171D9" w:rsidRDefault="00B43A25" w:rsidP="001341FB">
      <w:pPr>
        <w:pStyle w:val="ListBullet2"/>
      </w:pPr>
      <w:r w:rsidRPr="003171D9">
        <w:t>respondent data entry errors that were not detected in quality assurance of data.</w:t>
      </w:r>
    </w:p>
    <w:p w14:paraId="778DD63F" w14:textId="406DEB0D" w:rsidR="00B43A25" w:rsidRPr="003171D9" w:rsidRDefault="00B43A25" w:rsidP="001341FB">
      <w:pPr>
        <w:pStyle w:val="ListBullet"/>
      </w:pPr>
      <w:r w:rsidRPr="003171D9">
        <w:t xml:space="preserve">For some materials, </w:t>
      </w:r>
      <w:r>
        <w:t xml:space="preserve">metals in particular, </w:t>
      </w:r>
      <w:r w:rsidRPr="003171D9">
        <w:t xml:space="preserve">more are captured in </w:t>
      </w:r>
      <w:r w:rsidR="00985E4A">
        <w:t>RI</w:t>
      </w:r>
      <w:r w:rsidR="00FB2E95">
        <w:t>W</w:t>
      </w:r>
      <w:r w:rsidR="00985E4A">
        <w:t>R</w:t>
      </w:r>
      <w:r w:rsidRPr="003171D9">
        <w:t xml:space="preserve"> from municipal sources than in </w:t>
      </w:r>
      <w:r w:rsidR="005D2691">
        <w:t>LGWSR</w:t>
      </w:r>
      <w:r w:rsidRPr="003171D9">
        <w:t xml:space="preserve"> (</w:t>
      </w:r>
      <w:proofErr w:type="gramStart"/>
      <w:r w:rsidRPr="003171D9">
        <w:t>e.g.</w:t>
      </w:r>
      <w:proofErr w:type="gramEnd"/>
      <w:r w:rsidRPr="003171D9">
        <w:t xml:space="preserve"> only aluminium and steel cans are counted in </w:t>
      </w:r>
      <w:r w:rsidR="005D2691">
        <w:t>LGWSR</w:t>
      </w:r>
      <w:r w:rsidRPr="003171D9">
        <w:t xml:space="preserve"> for metals while </w:t>
      </w:r>
      <w:r w:rsidR="00985E4A">
        <w:t>RI</w:t>
      </w:r>
      <w:r w:rsidR="00FB2E95">
        <w:t>W</w:t>
      </w:r>
      <w:r w:rsidR="00985E4A">
        <w:t>R</w:t>
      </w:r>
      <w:r w:rsidRPr="003171D9">
        <w:t xml:space="preserve"> </w:t>
      </w:r>
      <w:r>
        <w:t xml:space="preserve">is likely to </w:t>
      </w:r>
      <w:r w:rsidRPr="003171D9">
        <w:t>contain data associated with end-of-life vehicles and large appliances that often are received by scrap metal dealers and classified as municipal waste).</w:t>
      </w:r>
    </w:p>
    <w:p w14:paraId="17611A56" w14:textId="4F34F411" w:rsidR="00B43A25" w:rsidRPr="003171D9" w:rsidRDefault="00B43A25" w:rsidP="001341FB">
      <w:pPr>
        <w:pStyle w:val="ListBullet"/>
      </w:pPr>
      <w:r w:rsidRPr="003171D9">
        <w:t>Garden waste materials collected in council services or dropped off at council facilities may be processed (</w:t>
      </w:r>
      <w:proofErr w:type="gramStart"/>
      <w:r w:rsidRPr="003171D9">
        <w:t>e.g.</w:t>
      </w:r>
      <w:proofErr w:type="gramEnd"/>
      <w:r w:rsidRPr="003171D9">
        <w:t xml:space="preserve"> mulching) onsite by council and may not be captured in </w:t>
      </w:r>
      <w:r w:rsidR="00985E4A">
        <w:t>RI</w:t>
      </w:r>
      <w:r w:rsidR="00FB2E95">
        <w:t>W</w:t>
      </w:r>
      <w:r w:rsidR="00985E4A">
        <w:t>R</w:t>
      </w:r>
      <w:r w:rsidRPr="003171D9">
        <w:t>.</w:t>
      </w:r>
    </w:p>
    <w:p w14:paraId="033C1B01" w14:textId="77777777" w:rsidR="00B43A25" w:rsidRPr="003171D9" w:rsidRDefault="00B43A25" w:rsidP="001341FB">
      <w:pPr>
        <w:pStyle w:val="ListBullet"/>
      </w:pPr>
      <w:r w:rsidRPr="003171D9">
        <w:t>The clearance of stored material originating in a different year to the year it is processed in</w:t>
      </w:r>
      <w:r>
        <w:t>.</w:t>
      </w:r>
      <w:r w:rsidRPr="003171D9">
        <w:t xml:space="preserve"> For example, glass quantities reprocessed in 2019–20 increased due to the clearance of stored material from previous years, resulting in a large difference between the two survey results.</w:t>
      </w:r>
    </w:p>
    <w:p w14:paraId="33E4ACF6" w14:textId="6B576056" w:rsidR="00B43A25" w:rsidRPr="003171D9" w:rsidRDefault="00B43A25" w:rsidP="001341FB">
      <w:pPr>
        <w:pStyle w:val="ListBullet"/>
      </w:pPr>
      <w:r w:rsidRPr="003171D9">
        <w:t xml:space="preserve">Some multi-unit dwellings are serviced by private waste collection contractors that are separate to the services offered by local councils and tonnes collected in these services are not captured in </w:t>
      </w:r>
      <w:r w:rsidR="005D2691">
        <w:t>LGWSR</w:t>
      </w:r>
      <w:r w:rsidRPr="003171D9">
        <w:t>.</w:t>
      </w:r>
    </w:p>
    <w:p w14:paraId="66CC2AAA" w14:textId="3D9BE0F1" w:rsidR="00B43A25" w:rsidRPr="003171D9" w:rsidRDefault="00B43A25" w:rsidP="001341FB">
      <w:pPr>
        <w:pStyle w:val="ListBullet"/>
      </w:pPr>
      <w:r w:rsidRPr="003171D9">
        <w:t xml:space="preserve">There is a gap in information between </w:t>
      </w:r>
      <w:r w:rsidR="005D2691">
        <w:t>LGWSR</w:t>
      </w:r>
      <w:r w:rsidRPr="003171D9">
        <w:t xml:space="preserve"> data and </w:t>
      </w:r>
      <w:r w:rsidR="00985E4A">
        <w:t>RI</w:t>
      </w:r>
      <w:r w:rsidR="00FB2E95">
        <w:t>W</w:t>
      </w:r>
      <w:r w:rsidR="00985E4A">
        <w:t>R</w:t>
      </w:r>
      <w:r w:rsidRPr="003171D9">
        <w:t>, for example, where materials sorted for reprocessing may not be recoverable due to post-sorting contamination.</w:t>
      </w:r>
    </w:p>
    <w:p w14:paraId="418DAFAC" w14:textId="1CE7F099" w:rsidR="00B43A25" w:rsidRDefault="00B43A25" w:rsidP="00B43A25">
      <w:pPr>
        <w:rPr>
          <w:color w:val="auto"/>
          <w:szCs w:val="19"/>
        </w:rPr>
      </w:pPr>
      <w:r w:rsidRPr="003171D9">
        <w:rPr>
          <w:color w:val="auto"/>
          <w:szCs w:val="19"/>
        </w:rPr>
        <w:t xml:space="preserve">Data in these reports are provided to </w:t>
      </w:r>
      <w:r w:rsidR="00BF4638">
        <w:rPr>
          <w:color w:val="auto"/>
          <w:szCs w:val="19"/>
        </w:rPr>
        <w:t>SV</w:t>
      </w:r>
      <w:r w:rsidRPr="003171D9">
        <w:rPr>
          <w:color w:val="auto"/>
          <w:szCs w:val="19"/>
        </w:rPr>
        <w:t xml:space="preserve"> from two different surveys, targeting different participants. Consequently, we do not expect the results to align for all material types. </w:t>
      </w:r>
      <w:r w:rsidR="00BF4638">
        <w:rPr>
          <w:color w:val="auto"/>
          <w:szCs w:val="19"/>
        </w:rPr>
        <w:t>SV</w:t>
      </w:r>
      <w:r w:rsidRPr="003171D9">
        <w:rPr>
          <w:color w:val="auto"/>
          <w:szCs w:val="19"/>
        </w:rPr>
        <w:t xml:space="preserve"> advises that figures from </w:t>
      </w:r>
      <w:r w:rsidR="005D2691">
        <w:rPr>
          <w:color w:val="auto"/>
          <w:szCs w:val="19"/>
        </w:rPr>
        <w:t>LGWSR</w:t>
      </w:r>
      <w:r w:rsidRPr="003171D9">
        <w:rPr>
          <w:color w:val="auto"/>
          <w:szCs w:val="19"/>
        </w:rPr>
        <w:t xml:space="preserve"> should be used </w:t>
      </w:r>
      <w:r>
        <w:rPr>
          <w:color w:val="auto"/>
          <w:szCs w:val="19"/>
        </w:rPr>
        <w:t xml:space="preserve">as the primary source of data </w:t>
      </w:r>
      <w:r w:rsidRPr="003171D9">
        <w:rPr>
          <w:color w:val="auto"/>
          <w:szCs w:val="19"/>
        </w:rPr>
        <w:t>for the municipal sector.</w:t>
      </w:r>
    </w:p>
    <w:p w14:paraId="57B01D9E" w14:textId="4F059DDE" w:rsidR="00B14D65" w:rsidRDefault="00B14D65" w:rsidP="00B43A25">
      <w:pPr>
        <w:rPr>
          <w:color w:val="auto"/>
          <w:szCs w:val="19"/>
        </w:rPr>
      </w:pPr>
    </w:p>
    <w:p w14:paraId="296038A8" w14:textId="28E9C0E6" w:rsidR="00B14D65" w:rsidRDefault="00B14D65" w:rsidP="00B14D65">
      <w:pPr>
        <w:pStyle w:val="SectionDividerTitle"/>
        <w:framePr w:wrap="around"/>
      </w:pPr>
      <w:bookmarkStart w:id="141" w:name="_Toc83108383"/>
      <w:r>
        <w:t>Appendix B: Data method</w:t>
      </w:r>
      <w:bookmarkEnd w:id="141"/>
    </w:p>
    <w:p w14:paraId="6A1CCA50" w14:textId="62596FC6" w:rsidR="00B14D65" w:rsidRDefault="00B14D65" w:rsidP="00B14D65">
      <w:r>
        <w:rPr>
          <w:noProof/>
          <w:lang w:eastAsia="en-AU"/>
        </w:rPr>
        <w:drawing>
          <wp:anchor distT="0" distB="0" distL="114300" distR="114300" simplePos="0" relativeHeight="251658247" behindDoc="1" locked="1" layoutInCell="1" allowOverlap="1" wp14:anchorId="5913F619" wp14:editId="6DD4F08D">
            <wp:simplePos x="0" y="0"/>
            <wp:positionH relativeFrom="page">
              <wp:posOffset>0</wp:posOffset>
            </wp:positionH>
            <wp:positionV relativeFrom="page">
              <wp:posOffset>0</wp:posOffset>
            </wp:positionV>
            <wp:extent cx="7559675" cy="3095625"/>
            <wp:effectExtent l="0" t="0" r="3175" b="9525"/>
            <wp:wrapNone/>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24">
                      <a:clrChange>
                        <a:clrFrom>
                          <a:srgbClr val="FFFFFF"/>
                        </a:clrFrom>
                        <a:clrTo>
                          <a:srgbClr val="FFFFFF">
                            <a:alpha val="0"/>
                          </a:srgbClr>
                        </a:clrTo>
                      </a:clrChange>
                    </a:blip>
                    <a:stretch>
                      <a:fillRect/>
                    </a:stretch>
                  </pic:blipFill>
                  <pic:spPr>
                    <a:xfrm>
                      <a:off x="0" y="0"/>
                      <a:ext cx="7559675" cy="3095625"/>
                    </a:xfrm>
                    <a:prstGeom prst="rect">
                      <a:avLst/>
                    </a:prstGeom>
                  </pic:spPr>
                </pic:pic>
              </a:graphicData>
            </a:graphic>
            <wp14:sizeRelH relativeFrom="margin">
              <wp14:pctWidth>0</wp14:pctWidth>
            </wp14:sizeRelH>
            <wp14:sizeRelV relativeFrom="margin">
              <wp14:pctHeight>0</wp14:pctHeight>
            </wp14:sizeRelV>
          </wp:anchor>
        </w:drawing>
      </w:r>
    </w:p>
    <w:p w14:paraId="6D8A457D" w14:textId="77777777" w:rsidR="00B14D65" w:rsidRPr="00F44BA0" w:rsidRDefault="00B14D65" w:rsidP="00B14D65">
      <w:pPr>
        <w:pStyle w:val="Heading3"/>
      </w:pPr>
      <w:bookmarkStart w:id="142" w:name="_Toc78881422"/>
      <w:r>
        <w:t>Rounding of data</w:t>
      </w:r>
      <w:bookmarkEnd w:id="142"/>
    </w:p>
    <w:p w14:paraId="6C98B1DC" w14:textId="77777777" w:rsidR="00B14D65" w:rsidRPr="001C40D6" w:rsidRDefault="00B14D65" w:rsidP="00B14D65">
      <w:r>
        <w:t>Figures in this report, the accompanying data workbook and the listed sources have been rounded and as a result individual values may not add up to totals. Additionally, calculated percentage figures are based on the unrounded data and may be different to those calculated using the rounded figures in the report.</w:t>
      </w:r>
    </w:p>
    <w:p w14:paraId="38EC4307" w14:textId="77777777" w:rsidR="00B14D65" w:rsidRPr="00F35F79" w:rsidRDefault="00B14D65" w:rsidP="00B14D65">
      <w:pPr>
        <w:pStyle w:val="Heading3"/>
      </w:pPr>
      <w:bookmarkStart w:id="143" w:name="_Toc78881423"/>
      <w:r w:rsidRPr="00F35F79">
        <w:t>Victorian Recycling Industry Annual Survey</w:t>
      </w:r>
      <w:bookmarkEnd w:id="143"/>
    </w:p>
    <w:p w14:paraId="5AD431FE" w14:textId="77777777" w:rsidR="00B14D65" w:rsidRDefault="00B14D65" w:rsidP="00B14D65">
      <w:r w:rsidRPr="002D1ED7">
        <w:t xml:space="preserve">The </w:t>
      </w:r>
      <w:r w:rsidRPr="001341FB">
        <w:rPr>
          <w:iCs/>
        </w:rPr>
        <w:t>Victorian Recycling Industry Annual Survey 2019–20</w:t>
      </w:r>
      <w:r w:rsidRPr="002D1ED7">
        <w:rPr>
          <w:iCs/>
        </w:rPr>
        <w:t xml:space="preserve"> (VRIAS)</w:t>
      </w:r>
      <w:r w:rsidRPr="002D1ED7">
        <w:t xml:space="preserve"> was conducted between </w:t>
      </w:r>
      <w:r>
        <w:t>November</w:t>
      </w:r>
      <w:r w:rsidRPr="002D1ED7">
        <w:t xml:space="preserve"> 20</w:t>
      </w:r>
      <w:r>
        <w:t>20</w:t>
      </w:r>
      <w:r w:rsidRPr="002D1ED7">
        <w:t xml:space="preserve"> and </w:t>
      </w:r>
      <w:r>
        <w:t>June</w:t>
      </w:r>
      <w:r w:rsidRPr="002D1ED7">
        <w:t xml:space="preserve"> 20</w:t>
      </w:r>
      <w:r>
        <w:t>21</w:t>
      </w:r>
      <w:r w:rsidRPr="002D1ED7">
        <w:t xml:space="preserve">. </w:t>
      </w:r>
      <w:r>
        <w:t>It</w:t>
      </w:r>
      <w:r w:rsidRPr="002D1ED7">
        <w:t xml:space="preserve"> sought data from </w:t>
      </w:r>
      <w:r>
        <w:t xml:space="preserve">99 </w:t>
      </w:r>
      <w:r w:rsidRPr="002D1ED7">
        <w:t xml:space="preserve">Victorian waste reprocessing </w:t>
      </w:r>
      <w:r>
        <w:t>businesses</w:t>
      </w:r>
      <w:r w:rsidRPr="002D1ED7">
        <w:t xml:space="preserve"> </w:t>
      </w:r>
      <w:r>
        <w:t>(</w:t>
      </w:r>
      <w:r w:rsidRPr="002D1ED7">
        <w:t>excluding the plastic</w:t>
      </w:r>
      <w:r>
        <w:t>s</w:t>
      </w:r>
      <w:r w:rsidRPr="002D1ED7">
        <w:t xml:space="preserve"> </w:t>
      </w:r>
      <w:proofErr w:type="spellStart"/>
      <w:r w:rsidRPr="002D1ED7">
        <w:t>reprocessors</w:t>
      </w:r>
      <w:proofErr w:type="spellEnd"/>
      <w:r>
        <w:t>) via a voluntary online survey</w:t>
      </w:r>
      <w:r w:rsidRPr="002D1ED7">
        <w:t>.</w:t>
      </w:r>
    </w:p>
    <w:p w14:paraId="198EBDEF" w14:textId="18A448D8" w:rsidR="00B14D65" w:rsidRDefault="00B14D65" w:rsidP="00B14D65">
      <w:r>
        <w:fldChar w:fldCharType="begin"/>
      </w:r>
      <w:r>
        <w:instrText xml:space="preserve"> REF _Ref72846246 \h </w:instrText>
      </w:r>
      <w:r>
        <w:fldChar w:fldCharType="separate"/>
      </w:r>
      <w:r w:rsidR="00176C53">
        <w:t xml:space="preserve">Table </w:t>
      </w:r>
      <w:r w:rsidR="00176C53">
        <w:rPr>
          <w:noProof/>
        </w:rPr>
        <w:t>7</w:t>
      </w:r>
      <w:r>
        <w:fldChar w:fldCharType="end"/>
      </w:r>
      <w:r>
        <w:t xml:space="preserve"> compares the response rate for the survey between 2018–19 and 2019–20. The response rate, describing those that submitted a response or chose to opt out of this year’s survey, was 85 per cent, a decrease of 1 percentage point compared with 2018–19. The survey participation rate was 66 per cent, a decrease of 3 percentage points compared with 2018–19, as 19 businesses requested to opt out of completing the survey. The reasons for opting out included the business being non-operational (due to equipment build or upgrades) in 2019–20, the business being sold to another business or closure of the business. Only 15 businesses out of 99 did not respond.</w:t>
      </w:r>
    </w:p>
    <w:p w14:paraId="14193971" w14:textId="77777777" w:rsidR="00B14D65" w:rsidRDefault="00B14D65" w:rsidP="00B14D65">
      <w:r>
        <w:t>Despite a survey participation rate of 66 per cent, SV is confident that it has captured or adequately estimated responses – based on industry knowledge and historical responses – from the major non-plastics reprocessing businesses in Victoria.</w:t>
      </w:r>
    </w:p>
    <w:p w14:paraId="26BD5FB2" w14:textId="5FA1FD43" w:rsidR="00B14D65" w:rsidRDefault="00B14D65" w:rsidP="00B14D65">
      <w:pPr>
        <w:pStyle w:val="TableCaption"/>
      </w:pPr>
      <w:bookmarkStart w:id="144" w:name="_Ref72846246"/>
      <w:bookmarkStart w:id="145" w:name="_Toc77087530"/>
      <w:r>
        <w:t xml:space="preserve">Table </w:t>
      </w:r>
      <w:r w:rsidR="0085736C">
        <w:fldChar w:fldCharType="begin"/>
      </w:r>
      <w:r w:rsidR="0085736C">
        <w:instrText xml:space="preserve"> SEQ Table \* ARABIC </w:instrText>
      </w:r>
      <w:r w:rsidR="0085736C">
        <w:fldChar w:fldCharType="separate"/>
      </w:r>
      <w:r w:rsidR="00176C53">
        <w:rPr>
          <w:noProof/>
        </w:rPr>
        <w:t>7</w:t>
      </w:r>
      <w:r w:rsidR="0085736C">
        <w:rPr>
          <w:noProof/>
        </w:rPr>
        <w:fldChar w:fldCharType="end"/>
      </w:r>
      <w:bookmarkEnd w:id="144"/>
      <w:r>
        <w:t>: VRIAS response rates, 2018–19 and 2019–20</w:t>
      </w:r>
      <w:bookmarkEnd w:id="145"/>
    </w:p>
    <w:tbl>
      <w:tblPr>
        <w:tblStyle w:val="SVTable"/>
        <w:tblW w:w="4928" w:type="pct"/>
        <w:tblLook w:val="04E0" w:firstRow="1" w:lastRow="1" w:firstColumn="1" w:lastColumn="0" w:noHBand="0" w:noVBand="1"/>
      </w:tblPr>
      <w:tblGrid>
        <w:gridCol w:w="2835"/>
        <w:gridCol w:w="1606"/>
        <w:gridCol w:w="1608"/>
        <w:gridCol w:w="1606"/>
      </w:tblGrid>
      <w:tr w:rsidR="00B14D65" w:rsidRPr="00B57871" w14:paraId="5F3C7DA8" w14:textId="77777777" w:rsidTr="005C402D">
        <w:trPr>
          <w:cnfStyle w:val="100000000000" w:firstRow="1" w:lastRow="0" w:firstColumn="0" w:lastColumn="0" w:oddVBand="0" w:evenVBand="0" w:oddHBand="0" w:evenHBand="0" w:firstRowFirstColumn="0" w:firstRowLastColumn="0" w:lastRowFirstColumn="0" w:lastRowLastColumn="0"/>
        </w:trPr>
        <w:tc>
          <w:tcPr>
            <w:tcW w:w="1852" w:type="pct"/>
            <w:tcBorders>
              <w:bottom w:val="single" w:sz="4" w:space="0" w:color="82C341" w:themeColor="background1"/>
            </w:tcBorders>
          </w:tcPr>
          <w:p w14:paraId="4A0CF99E" w14:textId="77777777" w:rsidR="00B14D65" w:rsidRPr="00456498" w:rsidRDefault="00B14D65" w:rsidP="005C402D">
            <w:pPr>
              <w:pStyle w:val="TableHeading"/>
            </w:pPr>
          </w:p>
        </w:tc>
        <w:tc>
          <w:tcPr>
            <w:tcW w:w="1049" w:type="pct"/>
            <w:tcBorders>
              <w:bottom w:val="single" w:sz="4" w:space="0" w:color="82C341" w:themeColor="background1"/>
            </w:tcBorders>
            <w:vAlign w:val="center"/>
          </w:tcPr>
          <w:p w14:paraId="6ED106F3" w14:textId="77777777" w:rsidR="00B14D65" w:rsidRPr="00B57871" w:rsidRDefault="00B14D65" w:rsidP="005C402D">
            <w:pPr>
              <w:pStyle w:val="TableHeading"/>
              <w:jc w:val="right"/>
              <w:rPr>
                <w:color w:val="auto"/>
              </w:rPr>
            </w:pPr>
            <w:r w:rsidRPr="00B57871">
              <w:rPr>
                <w:color w:val="auto"/>
              </w:rPr>
              <w:t>2018–19</w:t>
            </w:r>
          </w:p>
        </w:tc>
        <w:tc>
          <w:tcPr>
            <w:tcW w:w="1050" w:type="pct"/>
            <w:tcBorders>
              <w:bottom w:val="single" w:sz="4" w:space="0" w:color="82C341" w:themeColor="background1"/>
            </w:tcBorders>
            <w:vAlign w:val="center"/>
          </w:tcPr>
          <w:p w14:paraId="64048F56" w14:textId="77777777" w:rsidR="00B14D65" w:rsidRPr="00B57871" w:rsidRDefault="00B14D65" w:rsidP="005C402D">
            <w:pPr>
              <w:pStyle w:val="TableHeading"/>
              <w:jc w:val="right"/>
              <w:rPr>
                <w:color w:val="auto"/>
              </w:rPr>
            </w:pPr>
            <w:r w:rsidRPr="00B57871">
              <w:rPr>
                <w:color w:val="auto"/>
              </w:rPr>
              <w:t>2019–20</w:t>
            </w:r>
          </w:p>
        </w:tc>
        <w:tc>
          <w:tcPr>
            <w:tcW w:w="1049" w:type="pct"/>
            <w:tcBorders>
              <w:bottom w:val="single" w:sz="4" w:space="0" w:color="82C341" w:themeColor="background1"/>
            </w:tcBorders>
            <w:vAlign w:val="center"/>
          </w:tcPr>
          <w:p w14:paraId="1DFBC836" w14:textId="77777777" w:rsidR="00B14D65" w:rsidRPr="00B57871" w:rsidRDefault="00B14D65" w:rsidP="005C402D">
            <w:pPr>
              <w:pStyle w:val="TableHeading"/>
              <w:jc w:val="right"/>
              <w:rPr>
                <w:color w:val="auto"/>
              </w:rPr>
            </w:pPr>
            <w:r w:rsidRPr="00B57871">
              <w:rPr>
                <w:color w:val="auto"/>
              </w:rPr>
              <w:t>Change</w:t>
            </w:r>
          </w:p>
        </w:tc>
      </w:tr>
      <w:tr w:rsidR="00B14D65" w:rsidRPr="00456498" w14:paraId="1F7AFC09" w14:textId="77777777" w:rsidTr="005C402D">
        <w:tc>
          <w:tcPr>
            <w:tcW w:w="1852" w:type="pct"/>
            <w:tcBorders>
              <w:top w:val="single" w:sz="4" w:space="0" w:color="82C341" w:themeColor="background1"/>
              <w:bottom w:val="single" w:sz="4" w:space="0" w:color="82C341" w:themeColor="background1"/>
            </w:tcBorders>
            <w:shd w:val="clear" w:color="auto" w:fill="auto"/>
            <w:vAlign w:val="center"/>
          </w:tcPr>
          <w:p w14:paraId="2EAD7F28" w14:textId="77777777" w:rsidR="00B14D65" w:rsidRPr="00456498" w:rsidRDefault="00B14D65" w:rsidP="005C402D">
            <w:pPr>
              <w:pStyle w:val="TableText"/>
            </w:pPr>
            <w:r w:rsidRPr="00DA34A6">
              <w:rPr>
                <w:rFonts w:eastAsia="Times New Roman"/>
                <w:color w:val="000000"/>
                <w:szCs w:val="17"/>
                <w:lang w:eastAsia="en-AU"/>
              </w:rPr>
              <w:t>Surveys sent</w:t>
            </w:r>
          </w:p>
        </w:tc>
        <w:tc>
          <w:tcPr>
            <w:tcW w:w="1049" w:type="pct"/>
            <w:tcBorders>
              <w:top w:val="single" w:sz="4" w:space="0" w:color="82C341" w:themeColor="background1"/>
              <w:bottom w:val="single" w:sz="4" w:space="0" w:color="82C341" w:themeColor="background1"/>
            </w:tcBorders>
          </w:tcPr>
          <w:p w14:paraId="50F3F54D" w14:textId="77777777" w:rsidR="00B14D65" w:rsidRPr="00DA34A6" w:rsidRDefault="00B14D65" w:rsidP="005C402D">
            <w:pPr>
              <w:pStyle w:val="TableText"/>
              <w:jc w:val="right"/>
              <w:rPr>
                <w:rFonts w:eastAsia="Times New Roman"/>
                <w:color w:val="000000"/>
                <w:szCs w:val="17"/>
                <w:lang w:eastAsia="en-AU"/>
              </w:rPr>
            </w:pPr>
            <w:r>
              <w:rPr>
                <w:rFonts w:eastAsia="Times New Roman"/>
                <w:color w:val="000000"/>
                <w:szCs w:val="17"/>
                <w:lang w:eastAsia="en-AU"/>
              </w:rPr>
              <w:t>98</w:t>
            </w:r>
          </w:p>
        </w:tc>
        <w:tc>
          <w:tcPr>
            <w:tcW w:w="1050" w:type="pct"/>
            <w:tcBorders>
              <w:top w:val="single" w:sz="4" w:space="0" w:color="82C341" w:themeColor="background1"/>
              <w:bottom w:val="single" w:sz="4" w:space="0" w:color="82C341" w:themeColor="background1"/>
            </w:tcBorders>
            <w:vAlign w:val="center"/>
          </w:tcPr>
          <w:p w14:paraId="3A1667A9" w14:textId="77777777" w:rsidR="00B14D65" w:rsidRPr="00DA34A6" w:rsidRDefault="00B14D65" w:rsidP="005C402D">
            <w:pPr>
              <w:pStyle w:val="TableText"/>
              <w:jc w:val="right"/>
              <w:rPr>
                <w:rFonts w:eastAsia="Times New Roman"/>
                <w:color w:val="000000"/>
                <w:szCs w:val="17"/>
                <w:lang w:eastAsia="en-AU"/>
              </w:rPr>
            </w:pPr>
            <w:r w:rsidRPr="00DA34A6">
              <w:rPr>
                <w:rFonts w:eastAsia="Times New Roman"/>
                <w:color w:val="000000"/>
                <w:szCs w:val="17"/>
                <w:lang w:eastAsia="en-AU"/>
              </w:rPr>
              <w:t>9</w:t>
            </w:r>
            <w:r>
              <w:rPr>
                <w:rFonts w:eastAsia="Times New Roman"/>
                <w:color w:val="000000"/>
                <w:szCs w:val="17"/>
                <w:lang w:eastAsia="en-AU"/>
              </w:rPr>
              <w:t>9</w:t>
            </w:r>
          </w:p>
        </w:tc>
        <w:tc>
          <w:tcPr>
            <w:tcW w:w="1049" w:type="pct"/>
            <w:tcBorders>
              <w:top w:val="single" w:sz="4" w:space="0" w:color="82C341" w:themeColor="background1"/>
              <w:bottom w:val="single" w:sz="4" w:space="0" w:color="82C341" w:themeColor="background1"/>
            </w:tcBorders>
            <w:shd w:val="clear" w:color="auto" w:fill="auto"/>
            <w:vAlign w:val="center"/>
          </w:tcPr>
          <w:p w14:paraId="08938C53" w14:textId="77777777" w:rsidR="00B14D65" w:rsidRPr="002538B9" w:rsidRDefault="00B14D65" w:rsidP="005C402D">
            <w:pPr>
              <w:pStyle w:val="TableText"/>
              <w:jc w:val="right"/>
            </w:pPr>
            <w:r w:rsidRPr="00DA34A6">
              <w:rPr>
                <w:rFonts w:eastAsia="Times New Roman"/>
                <w:color w:val="000000"/>
                <w:szCs w:val="17"/>
                <w:lang w:eastAsia="en-AU"/>
              </w:rPr>
              <w:t>+</w:t>
            </w:r>
            <w:r>
              <w:rPr>
                <w:rFonts w:eastAsia="Times New Roman"/>
                <w:color w:val="000000"/>
                <w:szCs w:val="17"/>
                <w:lang w:eastAsia="en-AU"/>
              </w:rPr>
              <w:t>1</w:t>
            </w:r>
          </w:p>
        </w:tc>
      </w:tr>
      <w:tr w:rsidR="00B14D65" w:rsidRPr="00456498" w14:paraId="63364D8B" w14:textId="77777777" w:rsidTr="005C402D">
        <w:tc>
          <w:tcPr>
            <w:tcW w:w="1852" w:type="pct"/>
            <w:tcBorders>
              <w:top w:val="single" w:sz="4" w:space="0" w:color="82C341" w:themeColor="background1"/>
              <w:bottom w:val="single" w:sz="4" w:space="0" w:color="82C341" w:themeColor="background1"/>
            </w:tcBorders>
            <w:shd w:val="clear" w:color="auto" w:fill="auto"/>
            <w:vAlign w:val="center"/>
          </w:tcPr>
          <w:p w14:paraId="4C239B5E" w14:textId="77777777" w:rsidR="00B14D65" w:rsidRPr="00456498" w:rsidRDefault="00B14D65" w:rsidP="005C402D">
            <w:pPr>
              <w:pStyle w:val="TableText"/>
            </w:pPr>
            <w:r w:rsidRPr="00DA34A6">
              <w:rPr>
                <w:rFonts w:eastAsia="Times New Roman"/>
                <w:color w:val="000000"/>
                <w:szCs w:val="17"/>
                <w:lang w:eastAsia="en-AU"/>
              </w:rPr>
              <w:t>Submitted responses</w:t>
            </w:r>
          </w:p>
        </w:tc>
        <w:tc>
          <w:tcPr>
            <w:tcW w:w="1049" w:type="pct"/>
            <w:tcBorders>
              <w:top w:val="single" w:sz="4" w:space="0" w:color="82C341" w:themeColor="background1"/>
              <w:bottom w:val="single" w:sz="4" w:space="0" w:color="82C341" w:themeColor="background1"/>
            </w:tcBorders>
          </w:tcPr>
          <w:p w14:paraId="0D0C4489" w14:textId="77777777" w:rsidR="00B14D65" w:rsidRPr="00DA34A6" w:rsidRDefault="00B14D65" w:rsidP="005C402D">
            <w:pPr>
              <w:pStyle w:val="TableText"/>
              <w:jc w:val="right"/>
              <w:rPr>
                <w:rFonts w:eastAsia="Times New Roman"/>
                <w:color w:val="000000"/>
                <w:szCs w:val="17"/>
                <w:lang w:eastAsia="en-AU"/>
              </w:rPr>
            </w:pPr>
            <w:r>
              <w:rPr>
                <w:rFonts w:eastAsia="Times New Roman"/>
                <w:color w:val="000000"/>
                <w:szCs w:val="17"/>
                <w:lang w:eastAsia="en-AU"/>
              </w:rPr>
              <w:t>68</w:t>
            </w:r>
          </w:p>
        </w:tc>
        <w:tc>
          <w:tcPr>
            <w:tcW w:w="1050" w:type="pct"/>
            <w:tcBorders>
              <w:top w:val="single" w:sz="4" w:space="0" w:color="82C341" w:themeColor="background1"/>
              <w:bottom w:val="single" w:sz="4" w:space="0" w:color="82C341" w:themeColor="background1"/>
            </w:tcBorders>
            <w:vAlign w:val="center"/>
          </w:tcPr>
          <w:p w14:paraId="2AADF803" w14:textId="77777777" w:rsidR="00B14D65" w:rsidRPr="00DA34A6" w:rsidRDefault="00B14D65" w:rsidP="005C402D">
            <w:pPr>
              <w:pStyle w:val="TableText"/>
              <w:jc w:val="right"/>
              <w:rPr>
                <w:rFonts w:eastAsia="Times New Roman"/>
                <w:color w:val="000000"/>
                <w:szCs w:val="17"/>
                <w:lang w:eastAsia="en-AU"/>
              </w:rPr>
            </w:pPr>
            <w:r w:rsidRPr="00DA34A6">
              <w:rPr>
                <w:rFonts w:eastAsia="Times New Roman"/>
                <w:color w:val="000000"/>
                <w:szCs w:val="17"/>
                <w:lang w:eastAsia="en-AU"/>
              </w:rPr>
              <w:t>6</w:t>
            </w:r>
            <w:r>
              <w:rPr>
                <w:rFonts w:eastAsia="Times New Roman"/>
                <w:color w:val="000000"/>
                <w:szCs w:val="17"/>
                <w:lang w:eastAsia="en-AU"/>
              </w:rPr>
              <w:t>5</w:t>
            </w:r>
          </w:p>
        </w:tc>
        <w:tc>
          <w:tcPr>
            <w:tcW w:w="1049" w:type="pct"/>
            <w:tcBorders>
              <w:top w:val="single" w:sz="4" w:space="0" w:color="82C341" w:themeColor="background1"/>
              <w:bottom w:val="single" w:sz="4" w:space="0" w:color="82C341" w:themeColor="background1"/>
            </w:tcBorders>
            <w:shd w:val="clear" w:color="auto" w:fill="auto"/>
            <w:vAlign w:val="center"/>
          </w:tcPr>
          <w:p w14:paraId="6F10666D" w14:textId="77777777" w:rsidR="00B14D65" w:rsidRPr="002538B9" w:rsidRDefault="00B14D65" w:rsidP="005C402D">
            <w:pPr>
              <w:pStyle w:val="TableText"/>
              <w:jc w:val="right"/>
            </w:pPr>
            <w:r>
              <w:t>–3</w:t>
            </w:r>
          </w:p>
        </w:tc>
      </w:tr>
      <w:tr w:rsidR="00B14D65" w:rsidRPr="00456498" w14:paraId="18F4F551" w14:textId="77777777" w:rsidTr="005C402D">
        <w:tc>
          <w:tcPr>
            <w:tcW w:w="1852" w:type="pct"/>
            <w:tcBorders>
              <w:top w:val="single" w:sz="4" w:space="0" w:color="82C341" w:themeColor="background1"/>
              <w:bottom w:val="single" w:sz="4" w:space="0" w:color="82C341" w:themeColor="background1"/>
            </w:tcBorders>
            <w:shd w:val="clear" w:color="auto" w:fill="auto"/>
            <w:vAlign w:val="center"/>
          </w:tcPr>
          <w:p w14:paraId="3549C7B5" w14:textId="77777777" w:rsidR="00B14D65" w:rsidRPr="00B5643A" w:rsidRDefault="00B14D65" w:rsidP="005C402D">
            <w:pPr>
              <w:pStyle w:val="TableText"/>
              <w:rPr>
                <w:b/>
                <w:bCs w:val="0"/>
              </w:rPr>
            </w:pPr>
            <w:r w:rsidRPr="00DA34A6">
              <w:rPr>
                <w:rFonts w:eastAsia="Times New Roman"/>
                <w:color w:val="000000"/>
                <w:szCs w:val="17"/>
                <w:lang w:eastAsia="en-AU"/>
              </w:rPr>
              <w:t>Opted out response</w:t>
            </w:r>
          </w:p>
        </w:tc>
        <w:tc>
          <w:tcPr>
            <w:tcW w:w="1049" w:type="pct"/>
            <w:tcBorders>
              <w:top w:val="single" w:sz="4" w:space="0" w:color="82C341" w:themeColor="background1"/>
              <w:bottom w:val="single" w:sz="4" w:space="0" w:color="82C341" w:themeColor="background1"/>
            </w:tcBorders>
          </w:tcPr>
          <w:p w14:paraId="6A7F280B" w14:textId="77777777" w:rsidR="00B14D65" w:rsidRPr="00DA34A6" w:rsidRDefault="00B14D65" w:rsidP="005C402D">
            <w:pPr>
              <w:pStyle w:val="TableText"/>
              <w:jc w:val="right"/>
              <w:rPr>
                <w:rFonts w:eastAsia="Times New Roman"/>
                <w:color w:val="000000"/>
                <w:szCs w:val="17"/>
                <w:lang w:eastAsia="en-AU"/>
              </w:rPr>
            </w:pPr>
            <w:r>
              <w:rPr>
                <w:rFonts w:eastAsia="Times New Roman"/>
                <w:color w:val="000000"/>
                <w:szCs w:val="17"/>
                <w:lang w:eastAsia="en-AU"/>
              </w:rPr>
              <w:t>16</w:t>
            </w:r>
          </w:p>
        </w:tc>
        <w:tc>
          <w:tcPr>
            <w:tcW w:w="1050" w:type="pct"/>
            <w:tcBorders>
              <w:top w:val="single" w:sz="4" w:space="0" w:color="82C341" w:themeColor="background1"/>
              <w:bottom w:val="single" w:sz="4" w:space="0" w:color="82C341" w:themeColor="background1"/>
            </w:tcBorders>
            <w:vAlign w:val="center"/>
          </w:tcPr>
          <w:p w14:paraId="2B301E2A" w14:textId="77777777" w:rsidR="00B14D65" w:rsidRPr="00DA34A6" w:rsidRDefault="00B14D65" w:rsidP="005C402D">
            <w:pPr>
              <w:pStyle w:val="TableText"/>
              <w:jc w:val="right"/>
              <w:rPr>
                <w:rFonts w:eastAsia="Times New Roman"/>
                <w:color w:val="000000"/>
                <w:szCs w:val="17"/>
                <w:lang w:eastAsia="en-AU"/>
              </w:rPr>
            </w:pPr>
            <w:r>
              <w:rPr>
                <w:rFonts w:eastAsia="Times New Roman"/>
                <w:color w:val="000000"/>
                <w:szCs w:val="17"/>
                <w:lang w:eastAsia="en-AU"/>
              </w:rPr>
              <w:t>19</w:t>
            </w:r>
          </w:p>
        </w:tc>
        <w:tc>
          <w:tcPr>
            <w:tcW w:w="1049" w:type="pct"/>
            <w:tcBorders>
              <w:top w:val="single" w:sz="4" w:space="0" w:color="82C341" w:themeColor="background1"/>
              <w:bottom w:val="single" w:sz="4" w:space="0" w:color="82C341" w:themeColor="background1"/>
            </w:tcBorders>
            <w:shd w:val="clear" w:color="auto" w:fill="auto"/>
            <w:vAlign w:val="center"/>
          </w:tcPr>
          <w:p w14:paraId="700207DF" w14:textId="77777777" w:rsidR="00B14D65" w:rsidRPr="002538B9" w:rsidRDefault="00B14D65" w:rsidP="005C402D">
            <w:pPr>
              <w:pStyle w:val="TableText"/>
              <w:jc w:val="right"/>
            </w:pPr>
            <w:r>
              <w:t>+3</w:t>
            </w:r>
          </w:p>
        </w:tc>
      </w:tr>
      <w:tr w:rsidR="00B14D65" w:rsidRPr="00456498" w14:paraId="4F2BFE6A" w14:textId="77777777" w:rsidTr="005C402D">
        <w:tc>
          <w:tcPr>
            <w:tcW w:w="1852" w:type="pct"/>
            <w:tcBorders>
              <w:top w:val="single" w:sz="4" w:space="0" w:color="82C341" w:themeColor="background1"/>
              <w:bottom w:val="single" w:sz="4" w:space="0" w:color="82C341" w:themeColor="background1"/>
            </w:tcBorders>
            <w:shd w:val="clear" w:color="auto" w:fill="auto"/>
            <w:vAlign w:val="center"/>
          </w:tcPr>
          <w:p w14:paraId="0873EF48" w14:textId="77777777" w:rsidR="00B14D65" w:rsidRPr="00B5643A" w:rsidRDefault="00B14D65" w:rsidP="005C402D">
            <w:pPr>
              <w:pStyle w:val="TableText"/>
              <w:rPr>
                <w:b/>
                <w:bCs w:val="0"/>
              </w:rPr>
            </w:pPr>
            <w:r w:rsidRPr="00DA34A6">
              <w:rPr>
                <w:rFonts w:eastAsia="Times New Roman"/>
                <w:color w:val="000000"/>
                <w:szCs w:val="17"/>
                <w:lang w:eastAsia="en-AU"/>
              </w:rPr>
              <w:t>Acknowledged but no response</w:t>
            </w:r>
          </w:p>
        </w:tc>
        <w:tc>
          <w:tcPr>
            <w:tcW w:w="1049" w:type="pct"/>
            <w:tcBorders>
              <w:top w:val="single" w:sz="4" w:space="0" w:color="82C341" w:themeColor="background1"/>
              <w:bottom w:val="single" w:sz="4" w:space="0" w:color="82C341" w:themeColor="background1"/>
            </w:tcBorders>
          </w:tcPr>
          <w:p w14:paraId="62AF623D" w14:textId="77777777" w:rsidR="00B14D65" w:rsidRPr="00DA34A6" w:rsidRDefault="00B14D65" w:rsidP="005C402D">
            <w:pPr>
              <w:pStyle w:val="TableText"/>
              <w:jc w:val="right"/>
              <w:rPr>
                <w:rFonts w:eastAsia="Times New Roman"/>
                <w:color w:val="000000"/>
                <w:szCs w:val="17"/>
                <w:lang w:eastAsia="en-AU"/>
              </w:rPr>
            </w:pPr>
            <w:r>
              <w:rPr>
                <w:rFonts w:eastAsia="Times New Roman"/>
                <w:color w:val="000000"/>
                <w:szCs w:val="17"/>
                <w:lang w:eastAsia="en-AU"/>
              </w:rPr>
              <w:t>14</w:t>
            </w:r>
          </w:p>
        </w:tc>
        <w:tc>
          <w:tcPr>
            <w:tcW w:w="1050" w:type="pct"/>
            <w:tcBorders>
              <w:top w:val="single" w:sz="4" w:space="0" w:color="82C341" w:themeColor="background1"/>
              <w:bottom w:val="single" w:sz="4" w:space="0" w:color="82C341" w:themeColor="background1"/>
            </w:tcBorders>
            <w:vAlign w:val="center"/>
          </w:tcPr>
          <w:p w14:paraId="7D58AA21" w14:textId="77777777" w:rsidR="00B14D65" w:rsidRPr="00DA34A6" w:rsidRDefault="00B14D65" w:rsidP="005C402D">
            <w:pPr>
              <w:pStyle w:val="TableText"/>
              <w:jc w:val="right"/>
              <w:rPr>
                <w:rFonts w:eastAsia="Times New Roman"/>
                <w:color w:val="000000"/>
                <w:szCs w:val="17"/>
                <w:lang w:eastAsia="en-AU"/>
              </w:rPr>
            </w:pPr>
            <w:r>
              <w:rPr>
                <w:rFonts w:eastAsia="Times New Roman"/>
                <w:color w:val="000000"/>
                <w:szCs w:val="17"/>
                <w:lang w:eastAsia="en-AU"/>
              </w:rPr>
              <w:t>15</w:t>
            </w:r>
          </w:p>
        </w:tc>
        <w:tc>
          <w:tcPr>
            <w:tcW w:w="1049" w:type="pct"/>
            <w:tcBorders>
              <w:top w:val="single" w:sz="4" w:space="0" w:color="82C341" w:themeColor="background1"/>
              <w:bottom w:val="single" w:sz="4" w:space="0" w:color="82C341" w:themeColor="background1"/>
            </w:tcBorders>
            <w:shd w:val="clear" w:color="auto" w:fill="auto"/>
            <w:vAlign w:val="center"/>
          </w:tcPr>
          <w:p w14:paraId="4D83AA60" w14:textId="77777777" w:rsidR="00B14D65" w:rsidRPr="002538B9" w:rsidRDefault="00B14D65" w:rsidP="005C402D">
            <w:pPr>
              <w:pStyle w:val="TableText"/>
              <w:jc w:val="right"/>
            </w:pPr>
            <w:r>
              <w:rPr>
                <w:rFonts w:eastAsia="Times New Roman"/>
                <w:color w:val="000000"/>
                <w:szCs w:val="17"/>
                <w:lang w:eastAsia="en-AU"/>
              </w:rPr>
              <w:t>+1</w:t>
            </w:r>
          </w:p>
        </w:tc>
      </w:tr>
      <w:tr w:rsidR="00B14D65" w:rsidRPr="00456498" w14:paraId="6DEE1CCB" w14:textId="77777777" w:rsidTr="005C402D">
        <w:tc>
          <w:tcPr>
            <w:tcW w:w="1852" w:type="pct"/>
            <w:tcBorders>
              <w:top w:val="single" w:sz="4" w:space="0" w:color="82C341" w:themeColor="background1"/>
              <w:bottom w:val="single" w:sz="4" w:space="0" w:color="82C341" w:themeColor="background1"/>
            </w:tcBorders>
            <w:shd w:val="clear" w:color="auto" w:fill="auto"/>
            <w:vAlign w:val="center"/>
          </w:tcPr>
          <w:p w14:paraId="65CC04AB" w14:textId="77777777" w:rsidR="00B14D65" w:rsidRPr="00B5643A" w:rsidRDefault="00B14D65" w:rsidP="005C402D">
            <w:pPr>
              <w:pStyle w:val="TableText"/>
              <w:rPr>
                <w:b/>
                <w:bCs w:val="0"/>
              </w:rPr>
            </w:pPr>
            <w:r w:rsidRPr="00DA34A6">
              <w:rPr>
                <w:rFonts w:eastAsia="Times New Roman"/>
                <w:color w:val="000000"/>
                <w:szCs w:val="17"/>
                <w:lang w:eastAsia="en-AU"/>
              </w:rPr>
              <w:t>Survey participation rate</w:t>
            </w:r>
          </w:p>
        </w:tc>
        <w:tc>
          <w:tcPr>
            <w:tcW w:w="1049" w:type="pct"/>
            <w:tcBorders>
              <w:top w:val="single" w:sz="4" w:space="0" w:color="82C341" w:themeColor="background1"/>
              <w:bottom w:val="single" w:sz="4" w:space="0" w:color="82C341" w:themeColor="background1"/>
            </w:tcBorders>
          </w:tcPr>
          <w:p w14:paraId="5EDBFDFE" w14:textId="77777777" w:rsidR="00B14D65" w:rsidRPr="00DA34A6" w:rsidRDefault="00B14D65" w:rsidP="005C402D">
            <w:pPr>
              <w:pStyle w:val="TableText"/>
              <w:jc w:val="right"/>
              <w:rPr>
                <w:rFonts w:eastAsia="Times New Roman"/>
                <w:color w:val="000000"/>
                <w:szCs w:val="17"/>
                <w:lang w:eastAsia="en-AU"/>
              </w:rPr>
            </w:pPr>
            <w:r w:rsidRPr="00DA34A6">
              <w:rPr>
                <w:rFonts w:eastAsia="Times New Roman"/>
                <w:color w:val="000000"/>
                <w:szCs w:val="17"/>
                <w:lang w:eastAsia="en-AU"/>
              </w:rPr>
              <w:t>69%</w:t>
            </w:r>
          </w:p>
        </w:tc>
        <w:tc>
          <w:tcPr>
            <w:tcW w:w="1050" w:type="pct"/>
            <w:tcBorders>
              <w:top w:val="single" w:sz="4" w:space="0" w:color="82C341" w:themeColor="background1"/>
              <w:bottom w:val="single" w:sz="4" w:space="0" w:color="82C341" w:themeColor="background1"/>
            </w:tcBorders>
            <w:vAlign w:val="center"/>
          </w:tcPr>
          <w:p w14:paraId="38ABEC5D" w14:textId="77777777" w:rsidR="00B14D65" w:rsidRPr="00DA34A6" w:rsidRDefault="00B14D65" w:rsidP="005C402D">
            <w:pPr>
              <w:pStyle w:val="TableText"/>
              <w:jc w:val="right"/>
              <w:rPr>
                <w:rFonts w:eastAsia="Times New Roman"/>
                <w:color w:val="000000"/>
                <w:szCs w:val="17"/>
                <w:lang w:eastAsia="en-AU"/>
              </w:rPr>
            </w:pPr>
            <w:r w:rsidRPr="00DA34A6">
              <w:rPr>
                <w:rFonts w:eastAsia="Times New Roman"/>
                <w:color w:val="000000"/>
                <w:szCs w:val="17"/>
                <w:lang w:eastAsia="en-AU"/>
              </w:rPr>
              <w:t>6</w:t>
            </w:r>
            <w:r>
              <w:rPr>
                <w:rFonts w:eastAsia="Times New Roman"/>
                <w:color w:val="000000"/>
                <w:szCs w:val="17"/>
                <w:lang w:eastAsia="en-AU"/>
              </w:rPr>
              <w:t>6</w:t>
            </w:r>
            <w:r w:rsidRPr="00DA34A6">
              <w:rPr>
                <w:rFonts w:eastAsia="Times New Roman"/>
                <w:color w:val="000000"/>
                <w:szCs w:val="17"/>
                <w:lang w:eastAsia="en-AU"/>
              </w:rPr>
              <w:t>%</w:t>
            </w:r>
          </w:p>
        </w:tc>
        <w:tc>
          <w:tcPr>
            <w:tcW w:w="1049" w:type="pct"/>
            <w:tcBorders>
              <w:top w:val="single" w:sz="4" w:space="0" w:color="82C341" w:themeColor="background1"/>
              <w:bottom w:val="single" w:sz="4" w:space="0" w:color="82C341" w:themeColor="background1"/>
            </w:tcBorders>
            <w:shd w:val="clear" w:color="auto" w:fill="auto"/>
            <w:vAlign w:val="center"/>
          </w:tcPr>
          <w:p w14:paraId="369785A0" w14:textId="77777777" w:rsidR="00B14D65" w:rsidRPr="002538B9" w:rsidRDefault="00B14D65" w:rsidP="005C402D">
            <w:pPr>
              <w:pStyle w:val="TableText"/>
              <w:jc w:val="right"/>
            </w:pPr>
            <w:r>
              <w:t>–3%</w:t>
            </w:r>
          </w:p>
        </w:tc>
      </w:tr>
      <w:tr w:rsidR="00B14D65" w:rsidRPr="00456498" w14:paraId="0C9D6514" w14:textId="77777777" w:rsidTr="005C402D">
        <w:trPr>
          <w:cnfStyle w:val="010000000000" w:firstRow="0" w:lastRow="1" w:firstColumn="0" w:lastColumn="0" w:oddVBand="0" w:evenVBand="0" w:oddHBand="0" w:evenHBand="0" w:firstRowFirstColumn="0" w:firstRowLastColumn="0" w:lastRowFirstColumn="0" w:lastRowLastColumn="0"/>
        </w:trPr>
        <w:tc>
          <w:tcPr>
            <w:tcW w:w="1852" w:type="pct"/>
            <w:tcBorders>
              <w:top w:val="single" w:sz="4" w:space="0" w:color="82C341" w:themeColor="background1"/>
              <w:left w:val="none" w:sz="0" w:space="0" w:color="auto"/>
              <w:bottom w:val="single" w:sz="4" w:space="0" w:color="82C341" w:themeColor="background1"/>
              <w:right w:val="none" w:sz="0" w:space="0" w:color="auto"/>
              <w:tl2br w:val="none" w:sz="0" w:space="0" w:color="auto"/>
              <w:tr2bl w:val="none" w:sz="0" w:space="0" w:color="auto"/>
            </w:tcBorders>
            <w:shd w:val="clear" w:color="auto" w:fill="auto"/>
            <w:vAlign w:val="center"/>
          </w:tcPr>
          <w:p w14:paraId="62D3977F" w14:textId="77777777" w:rsidR="00B14D65" w:rsidRPr="00DA34A6" w:rsidRDefault="00B14D65" w:rsidP="005C402D">
            <w:pPr>
              <w:pStyle w:val="TableText"/>
              <w:rPr>
                <w:b w:val="0"/>
                <w:bCs w:val="0"/>
              </w:rPr>
            </w:pPr>
            <w:r w:rsidRPr="00DA34A6">
              <w:rPr>
                <w:rFonts w:eastAsia="Times New Roman"/>
                <w:b w:val="0"/>
                <w:bCs w:val="0"/>
                <w:color w:val="000000"/>
                <w:szCs w:val="17"/>
                <w:lang w:eastAsia="en-AU"/>
              </w:rPr>
              <w:t>Response rate</w:t>
            </w:r>
          </w:p>
        </w:tc>
        <w:tc>
          <w:tcPr>
            <w:tcW w:w="1049" w:type="pct"/>
            <w:tcBorders>
              <w:top w:val="single" w:sz="4" w:space="0" w:color="82C341" w:themeColor="background1"/>
              <w:left w:val="none" w:sz="0" w:space="0" w:color="auto"/>
              <w:bottom w:val="single" w:sz="4" w:space="0" w:color="82C341" w:themeColor="background1"/>
              <w:right w:val="none" w:sz="0" w:space="0" w:color="auto"/>
              <w:tl2br w:val="none" w:sz="0" w:space="0" w:color="auto"/>
              <w:tr2bl w:val="none" w:sz="0" w:space="0" w:color="auto"/>
            </w:tcBorders>
            <w:shd w:val="clear" w:color="auto" w:fill="auto"/>
          </w:tcPr>
          <w:p w14:paraId="6A67D7CC" w14:textId="77777777" w:rsidR="00B14D65" w:rsidRPr="00DA34A6" w:rsidRDefault="00B14D65" w:rsidP="005C402D">
            <w:pPr>
              <w:pStyle w:val="TableText"/>
              <w:jc w:val="right"/>
              <w:rPr>
                <w:rFonts w:eastAsia="Times New Roman"/>
                <w:b w:val="0"/>
                <w:bCs w:val="0"/>
                <w:color w:val="000000"/>
                <w:szCs w:val="17"/>
                <w:lang w:eastAsia="en-AU"/>
              </w:rPr>
            </w:pPr>
            <w:r w:rsidRPr="00DA34A6">
              <w:rPr>
                <w:rFonts w:eastAsia="Times New Roman"/>
                <w:b w:val="0"/>
                <w:bCs w:val="0"/>
                <w:color w:val="000000"/>
                <w:szCs w:val="17"/>
                <w:lang w:eastAsia="en-AU"/>
              </w:rPr>
              <w:t xml:space="preserve">        </w:t>
            </w:r>
            <w:r>
              <w:rPr>
                <w:rFonts w:eastAsia="Times New Roman"/>
                <w:b w:val="0"/>
                <w:bCs w:val="0"/>
                <w:color w:val="000000"/>
                <w:szCs w:val="17"/>
                <w:lang w:eastAsia="en-AU"/>
              </w:rPr>
              <w:t>86</w:t>
            </w:r>
            <w:r w:rsidRPr="00DA34A6">
              <w:rPr>
                <w:rFonts w:eastAsia="Times New Roman"/>
                <w:b w:val="0"/>
                <w:bCs w:val="0"/>
                <w:color w:val="000000"/>
                <w:szCs w:val="17"/>
                <w:lang w:eastAsia="en-AU"/>
              </w:rPr>
              <w:t xml:space="preserve">%                      </w:t>
            </w:r>
          </w:p>
        </w:tc>
        <w:tc>
          <w:tcPr>
            <w:tcW w:w="1050" w:type="pct"/>
            <w:tcBorders>
              <w:top w:val="single" w:sz="4" w:space="0" w:color="82C341" w:themeColor="background1"/>
              <w:left w:val="none" w:sz="0" w:space="0" w:color="auto"/>
              <w:bottom w:val="single" w:sz="4" w:space="0" w:color="82C341" w:themeColor="background1"/>
              <w:right w:val="none" w:sz="0" w:space="0" w:color="auto"/>
              <w:tl2br w:val="none" w:sz="0" w:space="0" w:color="auto"/>
              <w:tr2bl w:val="none" w:sz="0" w:space="0" w:color="auto"/>
            </w:tcBorders>
            <w:shd w:val="clear" w:color="auto" w:fill="auto"/>
            <w:vAlign w:val="center"/>
          </w:tcPr>
          <w:p w14:paraId="2CCEA632" w14:textId="77777777" w:rsidR="00B14D65" w:rsidRPr="00DA34A6" w:rsidRDefault="00B14D65" w:rsidP="005C402D">
            <w:pPr>
              <w:pStyle w:val="TableText"/>
              <w:jc w:val="right"/>
              <w:rPr>
                <w:rFonts w:eastAsia="Times New Roman"/>
                <w:b w:val="0"/>
                <w:bCs w:val="0"/>
                <w:color w:val="000000"/>
                <w:szCs w:val="17"/>
                <w:lang w:eastAsia="en-AU"/>
              </w:rPr>
            </w:pPr>
            <w:r w:rsidRPr="00DA34A6">
              <w:rPr>
                <w:rFonts w:eastAsia="Times New Roman"/>
                <w:b w:val="0"/>
                <w:bCs w:val="0"/>
                <w:color w:val="000000"/>
                <w:szCs w:val="17"/>
                <w:lang w:eastAsia="en-AU"/>
              </w:rPr>
              <w:t>8</w:t>
            </w:r>
            <w:r>
              <w:rPr>
                <w:rFonts w:eastAsia="Times New Roman"/>
                <w:b w:val="0"/>
                <w:bCs w:val="0"/>
                <w:color w:val="000000"/>
                <w:szCs w:val="17"/>
                <w:lang w:eastAsia="en-AU"/>
              </w:rPr>
              <w:t>5</w:t>
            </w:r>
            <w:r w:rsidRPr="00DA34A6">
              <w:rPr>
                <w:rFonts w:eastAsia="Times New Roman"/>
                <w:b w:val="0"/>
                <w:bCs w:val="0"/>
                <w:color w:val="000000"/>
                <w:szCs w:val="17"/>
                <w:lang w:eastAsia="en-AU"/>
              </w:rPr>
              <w:t>%</w:t>
            </w:r>
          </w:p>
        </w:tc>
        <w:tc>
          <w:tcPr>
            <w:tcW w:w="1049" w:type="pct"/>
            <w:tcBorders>
              <w:top w:val="single" w:sz="4" w:space="0" w:color="82C341" w:themeColor="background1"/>
              <w:left w:val="none" w:sz="0" w:space="0" w:color="auto"/>
              <w:bottom w:val="single" w:sz="4" w:space="0" w:color="82C341" w:themeColor="background1"/>
              <w:right w:val="none" w:sz="0" w:space="0" w:color="auto"/>
              <w:tl2br w:val="none" w:sz="0" w:space="0" w:color="auto"/>
              <w:tr2bl w:val="none" w:sz="0" w:space="0" w:color="auto"/>
            </w:tcBorders>
            <w:shd w:val="clear" w:color="auto" w:fill="auto"/>
            <w:vAlign w:val="center"/>
          </w:tcPr>
          <w:p w14:paraId="0ECA9406" w14:textId="77777777" w:rsidR="00B14D65" w:rsidRPr="00DA34A6" w:rsidRDefault="00B14D65" w:rsidP="005C402D">
            <w:pPr>
              <w:pStyle w:val="TableText"/>
              <w:jc w:val="right"/>
              <w:rPr>
                <w:b w:val="0"/>
                <w:bCs w:val="0"/>
              </w:rPr>
            </w:pPr>
            <w:r>
              <w:rPr>
                <w:b w:val="0"/>
                <w:bCs w:val="0"/>
              </w:rPr>
              <w:t>–1%</w:t>
            </w:r>
          </w:p>
        </w:tc>
      </w:tr>
    </w:tbl>
    <w:p w14:paraId="0D3B5AE7" w14:textId="77777777" w:rsidR="00B14D65" w:rsidRDefault="00B14D65" w:rsidP="00B14D65"/>
    <w:p w14:paraId="391B10F5" w14:textId="77777777" w:rsidR="00B14D65" w:rsidRDefault="00B14D65" w:rsidP="00B14D65">
      <w:r w:rsidRPr="00F25BD4">
        <w:t>The survey is voluntary</w:t>
      </w:r>
      <w:r w:rsidRPr="00DF4BBB">
        <w:t>, and the information is self</w:t>
      </w:r>
      <w:r>
        <w:t>-</w:t>
      </w:r>
      <w:r w:rsidRPr="00DF4BBB">
        <w:t xml:space="preserve">reported by the </w:t>
      </w:r>
      <w:r>
        <w:t xml:space="preserve">participating </w:t>
      </w:r>
      <w:r w:rsidRPr="00DF4BBB">
        <w:t>organisation</w:t>
      </w:r>
      <w:r>
        <w:t>s</w:t>
      </w:r>
      <w:r w:rsidRPr="00DF4BBB">
        <w:t>. The accuracy of the information is verified by comparing</w:t>
      </w:r>
      <w:r>
        <w:t xml:space="preserve"> </w:t>
      </w:r>
      <w:r w:rsidRPr="00DF4BBB">
        <w:t xml:space="preserve">previous years’ survey responses. Any significant variations are reviewed and adjusted upon consultation with the organisation. To avoid double counting, adjustments are made to account for any transfers of materials between Victorian </w:t>
      </w:r>
      <w:proofErr w:type="spellStart"/>
      <w:r w:rsidRPr="00DF4BBB">
        <w:t>reprocessors</w:t>
      </w:r>
      <w:proofErr w:type="spellEnd"/>
      <w:r w:rsidRPr="00DF4BBB">
        <w:t>.</w:t>
      </w:r>
    </w:p>
    <w:p w14:paraId="5E6653F4" w14:textId="77777777" w:rsidR="00B14D65" w:rsidRDefault="00B14D65" w:rsidP="00B14D65">
      <w:r>
        <w:t xml:space="preserve">In 2019–20, Victorian </w:t>
      </w:r>
      <w:proofErr w:type="spellStart"/>
      <w:r>
        <w:t>reprocessors</w:t>
      </w:r>
      <w:proofErr w:type="spellEnd"/>
      <w:r>
        <w:t xml:space="preserve"> surveyed included:</w:t>
      </w:r>
    </w:p>
    <w:p w14:paraId="16AFA663" w14:textId="77777777" w:rsidR="00B14D65" w:rsidRDefault="00B14D65" w:rsidP="00B14D65">
      <w:pPr>
        <w:pStyle w:val="ListBullet"/>
      </w:pPr>
      <w:r>
        <w:lastRenderedPageBreak/>
        <w:t xml:space="preserve">smelters and foundries of steel, </w:t>
      </w:r>
      <w:proofErr w:type="gramStart"/>
      <w:r>
        <w:t>aluminium</w:t>
      </w:r>
      <w:proofErr w:type="gramEnd"/>
      <w:r>
        <w:t xml:space="preserve"> and other nonferrous metals</w:t>
      </w:r>
    </w:p>
    <w:p w14:paraId="6B8EE945" w14:textId="77777777" w:rsidR="00B14D65" w:rsidRDefault="00B14D65" w:rsidP="00B14D65">
      <w:pPr>
        <w:pStyle w:val="ListBullet"/>
      </w:pPr>
      <w:r>
        <w:t xml:space="preserve">crushing plants and auxiliary screening of concrete, brick, </w:t>
      </w:r>
      <w:proofErr w:type="gramStart"/>
      <w:r>
        <w:t>asphalt</w:t>
      </w:r>
      <w:proofErr w:type="gramEnd"/>
      <w:r>
        <w:t xml:space="preserve"> and related materials</w:t>
      </w:r>
    </w:p>
    <w:p w14:paraId="6497FCF1" w14:textId="77777777" w:rsidR="00B14D65" w:rsidRDefault="00B14D65" w:rsidP="00B14D65">
      <w:pPr>
        <w:pStyle w:val="ListBullet"/>
      </w:pPr>
      <w:r>
        <w:t>paper and cardboard and de-inking pulp mills</w:t>
      </w:r>
    </w:p>
    <w:p w14:paraId="35CF9393" w14:textId="77777777" w:rsidR="00B14D65" w:rsidRDefault="00B14D65" w:rsidP="00B14D65">
      <w:pPr>
        <w:pStyle w:val="ListBullet"/>
      </w:pPr>
      <w:r>
        <w:t>composting facilities</w:t>
      </w:r>
    </w:p>
    <w:p w14:paraId="775D4910" w14:textId="77777777" w:rsidR="00B14D65" w:rsidRDefault="00B14D65" w:rsidP="00B14D65">
      <w:pPr>
        <w:pStyle w:val="ListBullet"/>
      </w:pPr>
      <w:r>
        <w:t>glass and rubber product manufacturers.</w:t>
      </w:r>
    </w:p>
    <w:p w14:paraId="50C8E2C6" w14:textId="77777777" w:rsidR="00B14D65" w:rsidRPr="002D1ED7" w:rsidRDefault="00B14D65" w:rsidP="00B14D65">
      <w:r w:rsidRPr="002D1ED7">
        <w:t xml:space="preserve">Each </w:t>
      </w:r>
      <w:r>
        <w:t xml:space="preserve">non-plastic reprocessing business </w:t>
      </w:r>
      <w:r w:rsidRPr="002D1ED7">
        <w:t xml:space="preserve">was emailed a link to an online survey developed for their specific industry category and asked to </w:t>
      </w:r>
      <w:r>
        <w:t>provide</w:t>
      </w:r>
      <w:r w:rsidRPr="002D1ED7">
        <w:t xml:space="preserve"> information for the 201</w:t>
      </w:r>
      <w:r>
        <w:t xml:space="preserve">9–20 </w:t>
      </w:r>
      <w:r w:rsidRPr="002D1ED7">
        <w:t xml:space="preserve">financial year about the </w:t>
      </w:r>
      <w:proofErr w:type="gramStart"/>
      <w:r w:rsidRPr="002D1ED7">
        <w:t>amount</w:t>
      </w:r>
      <w:proofErr w:type="gramEnd"/>
      <w:r w:rsidRPr="002D1ED7">
        <w:t xml:space="preserve"> of materials diverted from landfill (recovered) and reprocessed</w:t>
      </w:r>
      <w:r>
        <w:t>.</w:t>
      </w:r>
      <w:r w:rsidRPr="006B246B">
        <w:t xml:space="preserve"> The </w:t>
      </w:r>
      <w:proofErr w:type="gramStart"/>
      <w:r w:rsidRPr="006B246B">
        <w:t>type</w:t>
      </w:r>
      <w:proofErr w:type="gramEnd"/>
      <w:r w:rsidRPr="006B246B">
        <w:t xml:space="preserve"> information collected include</w:t>
      </w:r>
      <w:r>
        <w:t>d</w:t>
      </w:r>
      <w:r w:rsidRPr="006B246B">
        <w:t>:</w:t>
      </w:r>
    </w:p>
    <w:p w14:paraId="45B0986D" w14:textId="77777777" w:rsidR="00B14D65" w:rsidRDefault="00B14D65" w:rsidP="00B14D65">
      <w:pPr>
        <w:pStyle w:val="ListBullet"/>
      </w:pPr>
      <w:r>
        <w:t>tonnes received by their Victorian site</w:t>
      </w:r>
    </w:p>
    <w:p w14:paraId="22D466EA" w14:textId="77777777" w:rsidR="00B14D65" w:rsidRDefault="00B14D65" w:rsidP="00B14D65">
      <w:pPr>
        <w:pStyle w:val="ListBullet"/>
      </w:pPr>
      <w:r>
        <w:t>tonnes received from other facilities</w:t>
      </w:r>
    </w:p>
    <w:p w14:paraId="497CE644" w14:textId="77777777" w:rsidR="00B14D65" w:rsidRDefault="00B14D65" w:rsidP="00B14D65">
      <w:pPr>
        <w:pStyle w:val="ListBullet"/>
      </w:pPr>
      <w:r>
        <w:t>tonnes imported or exported for reprocessing, both interstate and overseas</w:t>
      </w:r>
    </w:p>
    <w:p w14:paraId="579A8E93" w14:textId="77777777" w:rsidR="00B14D65" w:rsidRDefault="00B14D65" w:rsidP="00B14D65">
      <w:pPr>
        <w:pStyle w:val="ListBullet"/>
      </w:pPr>
      <w:r>
        <w:t>tonnes stockpiled (unprocessed and processed)</w:t>
      </w:r>
    </w:p>
    <w:p w14:paraId="5F5C8F5E" w14:textId="77777777" w:rsidR="00B14D65" w:rsidRDefault="00B14D65" w:rsidP="00B14D65">
      <w:pPr>
        <w:pStyle w:val="ListBullet"/>
      </w:pPr>
      <w:r>
        <w:t>tonnes reprocessed onsite</w:t>
      </w:r>
    </w:p>
    <w:p w14:paraId="7CF4ED8D" w14:textId="77777777" w:rsidR="00B14D65" w:rsidRDefault="00B14D65" w:rsidP="00B14D65">
      <w:pPr>
        <w:pStyle w:val="ListBullet"/>
      </w:pPr>
      <w:proofErr w:type="gramStart"/>
      <w:r>
        <w:t>amount</w:t>
      </w:r>
      <w:proofErr w:type="gramEnd"/>
      <w:r>
        <w:t xml:space="preserve"> of materials disposed of to landfill due to contamination or as processing waste</w:t>
      </w:r>
    </w:p>
    <w:p w14:paraId="5B4A2359" w14:textId="77777777" w:rsidR="00B14D65" w:rsidRDefault="00B14D65" w:rsidP="00B14D65">
      <w:pPr>
        <w:pStyle w:val="ListBullet"/>
      </w:pPr>
      <w:r>
        <w:t>sectors from which the recovered materials for reprocessing were received</w:t>
      </w:r>
    </w:p>
    <w:p w14:paraId="463AE12D" w14:textId="77777777" w:rsidR="00B14D65" w:rsidRDefault="00B14D65" w:rsidP="00B14D65">
      <w:pPr>
        <w:pStyle w:val="ListBullet"/>
      </w:pPr>
      <w:r>
        <w:t>major products made from their reprocessing operations and the subsequent markets to which the products are sold</w:t>
      </w:r>
    </w:p>
    <w:p w14:paraId="5BDD5F00" w14:textId="77777777" w:rsidR="00B14D65" w:rsidRDefault="00B14D65" w:rsidP="00B14D65">
      <w:pPr>
        <w:pStyle w:val="ListBullet"/>
      </w:pPr>
      <w:r>
        <w:t>number of full-time equivalent staff directly employed in the company’s recycling operations</w:t>
      </w:r>
    </w:p>
    <w:p w14:paraId="5692732B" w14:textId="77777777" w:rsidR="00B14D65" w:rsidRDefault="00B14D65" w:rsidP="00B14D65">
      <w:pPr>
        <w:pStyle w:val="ListBullet"/>
      </w:pPr>
      <w:r>
        <w:t>levels of expenditure on research and development and capital investment for activities associated with reprocessing of secondary use materials.</w:t>
      </w:r>
    </w:p>
    <w:p w14:paraId="4B590F3D" w14:textId="77777777" w:rsidR="00B14D65" w:rsidRDefault="00B14D65" w:rsidP="00B14D65">
      <w:r w:rsidRPr="00700637">
        <w:t>Reprocessing recovered materials, typically an industrial process, results in a material or product that can be productively used. Energy recovery is the process by which embodied energy is captured for use. It is a form of resource recovery, but it is not reprocessin</w:t>
      </w:r>
      <w:r>
        <w:t xml:space="preserve">g. </w:t>
      </w:r>
      <w:r w:rsidRPr="00700637">
        <w:t>The report does not include materials that have been collected and baled only (unless they are exported) or materials that have been stockpiled. It also does not include materials that have been resold in their original state for reuse, such as clothing sold through second</w:t>
      </w:r>
      <w:r>
        <w:t>-</w:t>
      </w:r>
      <w:r w:rsidRPr="00700637">
        <w:t>hand or charity stores.</w:t>
      </w:r>
    </w:p>
    <w:p w14:paraId="32AA701A" w14:textId="77777777" w:rsidR="00B14D65" w:rsidRPr="00E0638D" w:rsidRDefault="00B14D65" w:rsidP="00B14D65">
      <w:r>
        <w:t xml:space="preserve">The data collection and methodology are discussed in more detail in the </w:t>
      </w:r>
      <w:r w:rsidRPr="007C14F5">
        <w:rPr>
          <w:i/>
          <w:iCs/>
        </w:rPr>
        <w:t xml:space="preserve">Waste and Recycling in Victoria – </w:t>
      </w:r>
      <w:r>
        <w:rPr>
          <w:i/>
          <w:iCs/>
        </w:rPr>
        <w:t>Strategic Summary</w:t>
      </w:r>
      <w:r w:rsidRPr="007C14F5">
        <w:rPr>
          <w:i/>
          <w:iCs/>
        </w:rPr>
        <w:t xml:space="preserve"> Report</w:t>
      </w:r>
      <w:r>
        <w:t xml:space="preserve"> (SSR).</w:t>
      </w:r>
    </w:p>
    <w:p w14:paraId="4F9B6039" w14:textId="77777777" w:rsidR="00B14D65" w:rsidRPr="00F35F79" w:rsidRDefault="00B14D65" w:rsidP="00B14D65">
      <w:pPr>
        <w:pStyle w:val="Heading3"/>
      </w:pPr>
      <w:bookmarkStart w:id="146" w:name="_Toc78881424"/>
      <w:r>
        <w:t>Waste and Recycling in Victoria – Recycling Industry Waste Workbook</w:t>
      </w:r>
      <w:bookmarkEnd w:id="146"/>
    </w:p>
    <w:p w14:paraId="16C74F30" w14:textId="6EB172F2" w:rsidR="00B14D65" w:rsidRPr="001539C4" w:rsidRDefault="00B14D65" w:rsidP="00B14D65">
      <w:r w:rsidRPr="002E0E07">
        <w:t xml:space="preserve">The findings in this report are based on the data findings provided in detail in the </w:t>
      </w:r>
      <w:r w:rsidRPr="007C14F5">
        <w:rPr>
          <w:i/>
          <w:iCs/>
        </w:rPr>
        <w:t xml:space="preserve">Waste and Recycling in Victoria – </w:t>
      </w:r>
      <w:r>
        <w:rPr>
          <w:i/>
          <w:iCs/>
        </w:rPr>
        <w:t xml:space="preserve">Recycling </w:t>
      </w:r>
      <w:r w:rsidRPr="00C10D9B">
        <w:rPr>
          <w:i/>
          <w:iCs/>
        </w:rPr>
        <w:t xml:space="preserve">Industry </w:t>
      </w:r>
      <w:r>
        <w:rPr>
          <w:i/>
          <w:iCs/>
        </w:rPr>
        <w:t xml:space="preserve">Waste </w:t>
      </w:r>
      <w:r w:rsidRPr="00C10D9B">
        <w:rPr>
          <w:i/>
          <w:iCs/>
        </w:rPr>
        <w:t>Workbook 2019–20</w:t>
      </w:r>
      <w:r w:rsidRPr="002E0E07">
        <w:t xml:space="preserve">. The </w:t>
      </w:r>
      <w:r>
        <w:t>w</w:t>
      </w:r>
      <w:r w:rsidRPr="002E0E07">
        <w:t>orkbook</w:t>
      </w:r>
      <w:r>
        <w:t xml:space="preserve"> </w:t>
      </w:r>
      <w:r w:rsidRPr="002E0E07">
        <w:t>provides public access to the underlying data and includes historically available figures. This</w:t>
      </w:r>
      <w:r>
        <w:t xml:space="preserve"> </w:t>
      </w:r>
      <w:r w:rsidRPr="002E0E07">
        <w:t xml:space="preserve">report and the </w:t>
      </w:r>
      <w:r>
        <w:t>w</w:t>
      </w:r>
      <w:r w:rsidRPr="002E0E07">
        <w:t xml:space="preserve">orkbook are available on the </w:t>
      </w:r>
      <w:r>
        <w:t>SV</w:t>
      </w:r>
      <w:r w:rsidRPr="002E0E07">
        <w:t xml:space="preserve"> website</w:t>
      </w:r>
      <w:r>
        <w:t xml:space="preserve"> </w:t>
      </w:r>
      <w:bookmarkStart w:id="147" w:name="_Hlk72845240"/>
      <w:r w:rsidRPr="002E0E07">
        <w:t>(</w:t>
      </w:r>
      <w:hyperlink r:id="rId60" w:tooltip="Sustainability Victoria website" w:history="1">
        <w:r w:rsidRPr="00F81F42">
          <w:rPr>
            <w:rStyle w:val="Hyperlink"/>
          </w:rPr>
          <w:t>sustainability.vic.gov.au</w:t>
        </w:r>
      </w:hyperlink>
      <w:r w:rsidRPr="002E0E07">
        <w:t>).</w:t>
      </w:r>
      <w:bookmarkEnd w:id="147"/>
    </w:p>
    <w:p w14:paraId="7735AE2A" w14:textId="77777777" w:rsidR="00B14D65" w:rsidRPr="00F35F79" w:rsidRDefault="00B14D65" w:rsidP="00B14D65">
      <w:pPr>
        <w:pStyle w:val="Heading3"/>
      </w:pPr>
      <w:bookmarkStart w:id="148" w:name="_Toc78881425"/>
      <w:r w:rsidRPr="00F35F79">
        <w:t>Australian Plastics Recycling Survey data</w:t>
      </w:r>
      <w:bookmarkEnd w:id="148"/>
    </w:p>
    <w:p w14:paraId="61677745" w14:textId="77777777" w:rsidR="00B14D65" w:rsidRDefault="00B14D65" w:rsidP="00B14D65">
      <w:r>
        <w:t xml:space="preserve">Victorian plastics </w:t>
      </w:r>
      <w:proofErr w:type="spellStart"/>
      <w:r>
        <w:t>reprocessor</w:t>
      </w:r>
      <w:proofErr w:type="spellEnd"/>
      <w:r>
        <w:t xml:space="preserve"> data was obtained from the </w:t>
      </w:r>
      <w:r w:rsidRPr="00F82786">
        <w:rPr>
          <w:i/>
          <w:iCs/>
        </w:rPr>
        <w:t>2019</w:t>
      </w:r>
      <w:r>
        <w:rPr>
          <w:i/>
          <w:iCs/>
        </w:rPr>
        <w:t>–</w:t>
      </w:r>
      <w:r w:rsidRPr="00F82786">
        <w:rPr>
          <w:i/>
          <w:iCs/>
        </w:rPr>
        <w:t>20</w:t>
      </w:r>
      <w:r>
        <w:rPr>
          <w:i/>
          <w:iCs/>
        </w:rPr>
        <w:t xml:space="preserve"> </w:t>
      </w:r>
      <w:r w:rsidRPr="00AE008A">
        <w:rPr>
          <w:i/>
          <w:iCs/>
        </w:rPr>
        <w:t>Australian Plastics Recycling Survey</w:t>
      </w:r>
      <w:r>
        <w:rPr>
          <w:i/>
          <w:iCs/>
        </w:rPr>
        <w:t xml:space="preserve"> </w:t>
      </w:r>
      <w:r>
        <w:t xml:space="preserve">prepared by Envisage Works. This data aims to capture plastic consumption and recycling from surveying a combination of sources including resin producers, resin importers, plastics </w:t>
      </w:r>
      <w:proofErr w:type="spellStart"/>
      <w:r>
        <w:t>reprocessors</w:t>
      </w:r>
      <w:proofErr w:type="spellEnd"/>
      <w:r w:rsidRPr="00DB1035">
        <w:t xml:space="preserve"> </w:t>
      </w:r>
      <w:r>
        <w:t>and</w:t>
      </w:r>
      <w:r w:rsidRPr="00DB1035">
        <w:t xml:space="preserve"> </w:t>
      </w:r>
      <w:r>
        <w:t xml:space="preserve">plastics </w:t>
      </w:r>
      <w:r w:rsidRPr="00DB1035">
        <w:t>exporters</w:t>
      </w:r>
      <w:r>
        <w:t>.</w:t>
      </w:r>
    </w:p>
    <w:p w14:paraId="59576F33" w14:textId="75ABCFB5" w:rsidR="00B14D65" w:rsidRDefault="00B14D65" w:rsidP="00B14D65">
      <w:r>
        <w:t xml:space="preserve">Data on plastics recovery was sought from 44 plastics reprocessing businesses in Victoria. </w:t>
      </w:r>
      <w:r>
        <w:fldChar w:fldCharType="begin"/>
      </w:r>
      <w:r>
        <w:instrText xml:space="preserve"> REF _Ref73521277 \h </w:instrText>
      </w:r>
      <w:r>
        <w:fldChar w:fldCharType="separate"/>
      </w:r>
      <w:r w:rsidR="00176C53">
        <w:t xml:space="preserve">Table </w:t>
      </w:r>
      <w:r w:rsidR="00176C53">
        <w:rPr>
          <w:noProof/>
        </w:rPr>
        <w:t>8</w:t>
      </w:r>
      <w:r>
        <w:fldChar w:fldCharType="end"/>
      </w:r>
      <w:r>
        <w:t xml:space="preserve"> presents the response rate breakdown from this survey. A total of 34 plastics reprocessing businesses responded to this survey in 2019–20</w:t>
      </w:r>
      <w:r w:rsidRPr="00A46EA3">
        <w:t>,</w:t>
      </w:r>
      <w:r>
        <w:t xml:space="preserve"> representing a 77 per cent survey participation rate. The response rate to this survey was 98 per cent, as a further 9 organisations responded by opting out due to negligible processing during this </w:t>
      </w:r>
      <w:proofErr w:type="gramStart"/>
      <w:r>
        <w:t>time period</w:t>
      </w:r>
      <w:proofErr w:type="gramEnd"/>
      <w:r>
        <w:t xml:space="preserve"> or they were not interested in participating in the survey. Only 1 </w:t>
      </w:r>
      <w:proofErr w:type="spellStart"/>
      <w:r>
        <w:t>reprocessor</w:t>
      </w:r>
      <w:proofErr w:type="spellEnd"/>
      <w:r>
        <w:t xml:space="preserve"> out of 44 did not respond.</w:t>
      </w:r>
    </w:p>
    <w:p w14:paraId="0A51EF44" w14:textId="77777777" w:rsidR="00B14D65" w:rsidRDefault="00B14D65" w:rsidP="00B14D65">
      <w:pPr>
        <w:spacing w:after="0" w:line="240" w:lineRule="auto"/>
      </w:pPr>
      <w:r>
        <w:br w:type="page"/>
      </w:r>
    </w:p>
    <w:p w14:paraId="0454C139" w14:textId="116BB897" w:rsidR="00B14D65" w:rsidRDefault="00B14D65" w:rsidP="00B14D65">
      <w:pPr>
        <w:pStyle w:val="FigureCaption"/>
      </w:pPr>
      <w:bookmarkStart w:id="149" w:name="_Ref73521277"/>
      <w:bookmarkStart w:id="150" w:name="_Toc77087531"/>
      <w:r>
        <w:lastRenderedPageBreak/>
        <w:t xml:space="preserve">Table </w:t>
      </w:r>
      <w:r w:rsidR="0085736C">
        <w:fldChar w:fldCharType="begin"/>
      </w:r>
      <w:r w:rsidR="0085736C">
        <w:instrText xml:space="preserve"> SEQ Table \* ARABIC </w:instrText>
      </w:r>
      <w:r w:rsidR="0085736C">
        <w:fldChar w:fldCharType="separate"/>
      </w:r>
      <w:r w:rsidR="00176C53">
        <w:rPr>
          <w:noProof/>
        </w:rPr>
        <w:t>8</w:t>
      </w:r>
      <w:r w:rsidR="0085736C">
        <w:rPr>
          <w:noProof/>
        </w:rPr>
        <w:fldChar w:fldCharType="end"/>
      </w:r>
      <w:bookmarkEnd w:id="149"/>
      <w:r>
        <w:t>: Australian plastics recycling survey response rates, 2019–20</w:t>
      </w:r>
      <w:bookmarkEnd w:id="150"/>
    </w:p>
    <w:tbl>
      <w:tblPr>
        <w:tblStyle w:val="SVTable"/>
        <w:tblW w:w="2793" w:type="pct"/>
        <w:tblLayout w:type="fixed"/>
        <w:tblLook w:val="04E0" w:firstRow="1" w:lastRow="1" w:firstColumn="1" w:lastColumn="0" w:noHBand="0" w:noVBand="1"/>
      </w:tblPr>
      <w:tblGrid>
        <w:gridCol w:w="3261"/>
        <w:gridCol w:w="1078"/>
      </w:tblGrid>
      <w:tr w:rsidR="00B14D65" w:rsidRPr="00456498" w14:paraId="77CCBAAB" w14:textId="77777777" w:rsidTr="005C402D">
        <w:trPr>
          <w:cnfStyle w:val="100000000000" w:firstRow="1" w:lastRow="0" w:firstColumn="0" w:lastColumn="0" w:oddVBand="0" w:evenVBand="0" w:oddHBand="0" w:evenHBand="0" w:firstRowFirstColumn="0" w:firstRowLastColumn="0" w:lastRowFirstColumn="0" w:lastRowLastColumn="0"/>
        </w:trPr>
        <w:tc>
          <w:tcPr>
            <w:tcW w:w="3758" w:type="pct"/>
            <w:tcBorders>
              <w:bottom w:val="single" w:sz="4" w:space="0" w:color="82C341" w:themeColor="background1"/>
            </w:tcBorders>
          </w:tcPr>
          <w:p w14:paraId="4285600E" w14:textId="77777777" w:rsidR="00B14D65" w:rsidRPr="00B57871" w:rsidRDefault="00B14D65" w:rsidP="005C402D">
            <w:pPr>
              <w:pStyle w:val="TableHeading"/>
              <w:rPr>
                <w:color w:val="auto"/>
              </w:rPr>
            </w:pPr>
            <w:r w:rsidRPr="00B57871">
              <w:rPr>
                <w:color w:val="auto"/>
              </w:rPr>
              <w:t>Response type</w:t>
            </w:r>
          </w:p>
        </w:tc>
        <w:tc>
          <w:tcPr>
            <w:tcW w:w="1242" w:type="pct"/>
            <w:tcBorders>
              <w:bottom w:val="single" w:sz="4" w:space="0" w:color="82C341" w:themeColor="background1"/>
            </w:tcBorders>
          </w:tcPr>
          <w:p w14:paraId="11C2C358" w14:textId="77777777" w:rsidR="00B14D65" w:rsidRPr="00B57871" w:rsidRDefault="00B14D65" w:rsidP="005C402D">
            <w:pPr>
              <w:pStyle w:val="TableHeading"/>
              <w:jc w:val="right"/>
              <w:rPr>
                <w:color w:val="auto"/>
              </w:rPr>
            </w:pPr>
            <w:r w:rsidRPr="00B57871">
              <w:rPr>
                <w:color w:val="auto"/>
              </w:rPr>
              <w:t>2019–20</w:t>
            </w:r>
          </w:p>
        </w:tc>
      </w:tr>
      <w:tr w:rsidR="00B14D65" w:rsidRPr="00456498" w14:paraId="2CB3C04F" w14:textId="77777777" w:rsidTr="005C402D">
        <w:tc>
          <w:tcPr>
            <w:tcW w:w="3758" w:type="pct"/>
            <w:tcBorders>
              <w:top w:val="single" w:sz="4" w:space="0" w:color="82C341" w:themeColor="background1"/>
              <w:bottom w:val="single" w:sz="4" w:space="0" w:color="82C341" w:themeColor="background1"/>
            </w:tcBorders>
            <w:shd w:val="clear" w:color="auto" w:fill="auto"/>
            <w:vAlign w:val="center"/>
          </w:tcPr>
          <w:p w14:paraId="042218B4" w14:textId="77777777" w:rsidR="00B14D65" w:rsidRPr="00456498" w:rsidRDefault="00B14D65" w:rsidP="005C402D">
            <w:pPr>
              <w:pStyle w:val="TableText"/>
            </w:pPr>
            <w:r w:rsidRPr="00DA34A6">
              <w:rPr>
                <w:rFonts w:eastAsia="Times New Roman"/>
                <w:color w:val="000000"/>
                <w:szCs w:val="17"/>
                <w:lang w:eastAsia="en-AU"/>
              </w:rPr>
              <w:t>Surveys sent</w:t>
            </w:r>
          </w:p>
        </w:tc>
        <w:tc>
          <w:tcPr>
            <w:tcW w:w="1242" w:type="pct"/>
            <w:tcBorders>
              <w:top w:val="single" w:sz="4" w:space="0" w:color="82C341" w:themeColor="background1"/>
              <w:bottom w:val="single" w:sz="4" w:space="0" w:color="82C341" w:themeColor="background1"/>
            </w:tcBorders>
          </w:tcPr>
          <w:p w14:paraId="2B1A5821" w14:textId="77777777" w:rsidR="00B14D65" w:rsidRDefault="00B14D65" w:rsidP="005C402D">
            <w:pPr>
              <w:pStyle w:val="TableText"/>
              <w:jc w:val="right"/>
            </w:pPr>
            <w:r>
              <w:t>44</w:t>
            </w:r>
          </w:p>
        </w:tc>
      </w:tr>
      <w:tr w:rsidR="00B14D65" w:rsidRPr="00456498" w14:paraId="6366F535" w14:textId="77777777" w:rsidTr="005C402D">
        <w:tc>
          <w:tcPr>
            <w:tcW w:w="3758" w:type="pct"/>
            <w:tcBorders>
              <w:top w:val="single" w:sz="4" w:space="0" w:color="82C341" w:themeColor="background1"/>
              <w:bottom w:val="single" w:sz="4" w:space="0" w:color="82C341" w:themeColor="background1"/>
            </w:tcBorders>
            <w:shd w:val="clear" w:color="auto" w:fill="auto"/>
            <w:vAlign w:val="center"/>
          </w:tcPr>
          <w:p w14:paraId="06E553C5" w14:textId="77777777" w:rsidR="00B14D65" w:rsidRPr="00456498" w:rsidRDefault="00B14D65" w:rsidP="005C402D">
            <w:pPr>
              <w:pStyle w:val="TableText"/>
            </w:pPr>
            <w:r w:rsidRPr="00DA34A6">
              <w:rPr>
                <w:rFonts w:eastAsia="Times New Roman"/>
                <w:color w:val="000000"/>
                <w:szCs w:val="17"/>
                <w:lang w:eastAsia="en-AU"/>
              </w:rPr>
              <w:t>Submitted responses</w:t>
            </w:r>
          </w:p>
        </w:tc>
        <w:tc>
          <w:tcPr>
            <w:tcW w:w="1242" w:type="pct"/>
            <w:tcBorders>
              <w:top w:val="single" w:sz="4" w:space="0" w:color="82C341" w:themeColor="background1"/>
              <w:bottom w:val="single" w:sz="4" w:space="0" w:color="82C341" w:themeColor="background1"/>
            </w:tcBorders>
          </w:tcPr>
          <w:p w14:paraId="26CB6178" w14:textId="77777777" w:rsidR="00B14D65" w:rsidRDefault="00B14D65" w:rsidP="005C402D">
            <w:pPr>
              <w:pStyle w:val="TableText"/>
              <w:jc w:val="right"/>
            </w:pPr>
            <w:r>
              <w:t>34</w:t>
            </w:r>
          </w:p>
        </w:tc>
      </w:tr>
      <w:tr w:rsidR="00B14D65" w:rsidRPr="00456498" w14:paraId="2CD220C4" w14:textId="77777777" w:rsidTr="005C402D">
        <w:tc>
          <w:tcPr>
            <w:tcW w:w="3758" w:type="pct"/>
            <w:tcBorders>
              <w:top w:val="single" w:sz="4" w:space="0" w:color="82C341" w:themeColor="background1"/>
              <w:bottom w:val="single" w:sz="4" w:space="0" w:color="82C341" w:themeColor="background1"/>
            </w:tcBorders>
            <w:shd w:val="clear" w:color="auto" w:fill="auto"/>
            <w:vAlign w:val="center"/>
          </w:tcPr>
          <w:p w14:paraId="7FD9F06E" w14:textId="77777777" w:rsidR="00B14D65" w:rsidRPr="00B5643A" w:rsidRDefault="00B14D65" w:rsidP="005C402D">
            <w:pPr>
              <w:pStyle w:val="TableText"/>
              <w:rPr>
                <w:b/>
                <w:bCs w:val="0"/>
              </w:rPr>
            </w:pPr>
            <w:r w:rsidRPr="00DA34A6">
              <w:rPr>
                <w:rFonts w:eastAsia="Times New Roman"/>
                <w:color w:val="000000"/>
                <w:szCs w:val="17"/>
                <w:lang w:eastAsia="en-AU"/>
              </w:rPr>
              <w:t>Opted out response</w:t>
            </w:r>
          </w:p>
        </w:tc>
        <w:tc>
          <w:tcPr>
            <w:tcW w:w="1242" w:type="pct"/>
            <w:tcBorders>
              <w:top w:val="single" w:sz="4" w:space="0" w:color="82C341" w:themeColor="background1"/>
              <w:bottom w:val="single" w:sz="4" w:space="0" w:color="82C341" w:themeColor="background1"/>
            </w:tcBorders>
          </w:tcPr>
          <w:p w14:paraId="66E9A7AA" w14:textId="77777777" w:rsidR="00B14D65" w:rsidRPr="00DA34A6" w:rsidRDefault="00B14D65" w:rsidP="005C402D">
            <w:pPr>
              <w:pStyle w:val="TableText"/>
              <w:jc w:val="right"/>
              <w:rPr>
                <w:rFonts w:eastAsia="Times New Roman"/>
                <w:color w:val="000000"/>
                <w:szCs w:val="17"/>
                <w:lang w:eastAsia="en-AU"/>
              </w:rPr>
            </w:pPr>
            <w:r>
              <w:rPr>
                <w:rFonts w:eastAsia="Times New Roman"/>
                <w:color w:val="000000"/>
                <w:szCs w:val="17"/>
                <w:lang w:eastAsia="en-AU"/>
              </w:rPr>
              <w:t>9</w:t>
            </w:r>
          </w:p>
        </w:tc>
      </w:tr>
      <w:tr w:rsidR="00B14D65" w:rsidRPr="00456498" w14:paraId="2938990D" w14:textId="77777777" w:rsidTr="005C402D">
        <w:tc>
          <w:tcPr>
            <w:tcW w:w="3758" w:type="pct"/>
            <w:tcBorders>
              <w:top w:val="single" w:sz="4" w:space="0" w:color="82C341" w:themeColor="background1"/>
              <w:bottom w:val="single" w:sz="4" w:space="0" w:color="82C341" w:themeColor="background1"/>
            </w:tcBorders>
            <w:shd w:val="clear" w:color="auto" w:fill="auto"/>
            <w:vAlign w:val="center"/>
          </w:tcPr>
          <w:p w14:paraId="143FCA49" w14:textId="77777777" w:rsidR="00B14D65" w:rsidRPr="00B5643A" w:rsidRDefault="00B14D65" w:rsidP="005C402D">
            <w:pPr>
              <w:pStyle w:val="TableText"/>
              <w:rPr>
                <w:b/>
                <w:bCs w:val="0"/>
              </w:rPr>
            </w:pPr>
            <w:r w:rsidRPr="00DA34A6">
              <w:rPr>
                <w:rFonts w:eastAsia="Times New Roman"/>
                <w:color w:val="000000"/>
                <w:szCs w:val="17"/>
                <w:lang w:eastAsia="en-AU"/>
              </w:rPr>
              <w:t>Acknowledged but no response</w:t>
            </w:r>
            <w:r>
              <w:rPr>
                <w:rFonts w:eastAsia="Times New Roman"/>
                <w:color w:val="000000"/>
                <w:szCs w:val="17"/>
                <w:lang w:eastAsia="en-AU"/>
              </w:rPr>
              <w:t xml:space="preserve"> in time</w:t>
            </w:r>
          </w:p>
        </w:tc>
        <w:tc>
          <w:tcPr>
            <w:tcW w:w="1242" w:type="pct"/>
            <w:tcBorders>
              <w:top w:val="single" w:sz="4" w:space="0" w:color="82C341" w:themeColor="background1"/>
              <w:bottom w:val="single" w:sz="4" w:space="0" w:color="82C341" w:themeColor="background1"/>
            </w:tcBorders>
          </w:tcPr>
          <w:p w14:paraId="6E400625" w14:textId="77777777" w:rsidR="00B14D65" w:rsidRDefault="00B14D65" w:rsidP="005C402D">
            <w:pPr>
              <w:pStyle w:val="TableText"/>
              <w:jc w:val="right"/>
            </w:pPr>
            <w:r>
              <w:t>1</w:t>
            </w:r>
          </w:p>
        </w:tc>
      </w:tr>
      <w:tr w:rsidR="00B14D65" w:rsidRPr="00456498" w14:paraId="19A47BC6" w14:textId="77777777" w:rsidTr="005C402D">
        <w:tc>
          <w:tcPr>
            <w:tcW w:w="3758" w:type="pct"/>
            <w:tcBorders>
              <w:top w:val="single" w:sz="4" w:space="0" w:color="82C341" w:themeColor="background1"/>
              <w:bottom w:val="single" w:sz="4" w:space="0" w:color="82C341" w:themeColor="background1"/>
            </w:tcBorders>
            <w:shd w:val="clear" w:color="auto" w:fill="auto"/>
            <w:vAlign w:val="center"/>
          </w:tcPr>
          <w:p w14:paraId="7B5458DE" w14:textId="77777777" w:rsidR="00B14D65" w:rsidRPr="00B5643A" w:rsidRDefault="00B14D65" w:rsidP="005C402D">
            <w:pPr>
              <w:pStyle w:val="TableText"/>
              <w:rPr>
                <w:b/>
                <w:bCs w:val="0"/>
              </w:rPr>
            </w:pPr>
            <w:r w:rsidRPr="00DA34A6">
              <w:rPr>
                <w:rFonts w:eastAsia="Times New Roman"/>
                <w:color w:val="000000"/>
                <w:szCs w:val="17"/>
                <w:lang w:eastAsia="en-AU"/>
              </w:rPr>
              <w:t>Survey participation rate</w:t>
            </w:r>
          </w:p>
        </w:tc>
        <w:tc>
          <w:tcPr>
            <w:tcW w:w="1242" w:type="pct"/>
            <w:tcBorders>
              <w:top w:val="single" w:sz="4" w:space="0" w:color="82C341" w:themeColor="background1"/>
              <w:bottom w:val="single" w:sz="4" w:space="0" w:color="82C341" w:themeColor="background1"/>
            </w:tcBorders>
          </w:tcPr>
          <w:p w14:paraId="6DE231FC" w14:textId="77777777" w:rsidR="00B14D65" w:rsidRDefault="00B14D65" w:rsidP="005C402D">
            <w:pPr>
              <w:pStyle w:val="TableText"/>
              <w:jc w:val="right"/>
              <w:rPr>
                <w:rFonts w:eastAsia="Times New Roman"/>
                <w:color w:val="000000"/>
                <w:szCs w:val="17"/>
                <w:lang w:eastAsia="en-AU"/>
              </w:rPr>
            </w:pPr>
            <w:r>
              <w:rPr>
                <w:rFonts w:eastAsia="Times New Roman"/>
                <w:color w:val="000000"/>
                <w:szCs w:val="17"/>
                <w:lang w:eastAsia="en-AU"/>
              </w:rPr>
              <w:t>77%</w:t>
            </w:r>
          </w:p>
        </w:tc>
      </w:tr>
      <w:tr w:rsidR="00B14D65" w:rsidRPr="00456498" w14:paraId="0888C078" w14:textId="77777777" w:rsidTr="005C402D">
        <w:trPr>
          <w:cnfStyle w:val="010000000000" w:firstRow="0" w:lastRow="1" w:firstColumn="0" w:lastColumn="0" w:oddVBand="0" w:evenVBand="0" w:oddHBand="0" w:evenHBand="0" w:firstRowFirstColumn="0" w:firstRowLastColumn="0" w:lastRowFirstColumn="0" w:lastRowLastColumn="0"/>
        </w:trPr>
        <w:tc>
          <w:tcPr>
            <w:tcW w:w="3758" w:type="pct"/>
            <w:tcBorders>
              <w:top w:val="single" w:sz="4" w:space="0" w:color="82C341" w:themeColor="background1"/>
              <w:bottom w:val="single" w:sz="4" w:space="0" w:color="82C341" w:themeColor="background1"/>
            </w:tcBorders>
            <w:shd w:val="clear" w:color="auto" w:fill="auto"/>
            <w:vAlign w:val="center"/>
          </w:tcPr>
          <w:p w14:paraId="562D0BB5" w14:textId="77777777" w:rsidR="00B14D65" w:rsidRPr="00497872" w:rsidRDefault="00B14D65" w:rsidP="005C402D">
            <w:pPr>
              <w:pStyle w:val="TableText"/>
              <w:rPr>
                <w:rFonts w:eastAsia="Times New Roman"/>
                <w:b w:val="0"/>
                <w:bCs w:val="0"/>
                <w:color w:val="000000"/>
                <w:szCs w:val="17"/>
                <w:lang w:eastAsia="en-AU"/>
              </w:rPr>
            </w:pPr>
            <w:r w:rsidRPr="00497872">
              <w:rPr>
                <w:rFonts w:eastAsia="Times New Roman"/>
                <w:b w:val="0"/>
                <w:bCs w:val="0"/>
                <w:color w:val="000000"/>
                <w:szCs w:val="17"/>
                <w:lang w:eastAsia="en-AU"/>
              </w:rPr>
              <w:t>Response rate</w:t>
            </w:r>
          </w:p>
        </w:tc>
        <w:tc>
          <w:tcPr>
            <w:tcW w:w="1242" w:type="pct"/>
            <w:tcBorders>
              <w:top w:val="single" w:sz="4" w:space="0" w:color="82C341" w:themeColor="background1"/>
              <w:bottom w:val="single" w:sz="4" w:space="0" w:color="82C341" w:themeColor="background1"/>
            </w:tcBorders>
            <w:shd w:val="clear" w:color="auto" w:fill="auto"/>
          </w:tcPr>
          <w:p w14:paraId="1927021D" w14:textId="77777777" w:rsidR="00B14D65" w:rsidRPr="00BC2909" w:rsidRDefault="00B14D65" w:rsidP="005C402D">
            <w:pPr>
              <w:pStyle w:val="TableText"/>
              <w:jc w:val="right"/>
              <w:rPr>
                <w:rFonts w:eastAsia="Times New Roman"/>
                <w:b w:val="0"/>
                <w:bCs w:val="0"/>
                <w:color w:val="000000"/>
                <w:szCs w:val="17"/>
                <w:lang w:eastAsia="en-AU"/>
              </w:rPr>
            </w:pPr>
            <w:r w:rsidRPr="00BC2909">
              <w:rPr>
                <w:rFonts w:eastAsia="Times New Roman"/>
                <w:b w:val="0"/>
                <w:bCs w:val="0"/>
                <w:color w:val="000000"/>
                <w:szCs w:val="17"/>
                <w:lang w:eastAsia="en-AU"/>
              </w:rPr>
              <w:t>98%</w:t>
            </w:r>
          </w:p>
        </w:tc>
      </w:tr>
    </w:tbl>
    <w:p w14:paraId="014C7C56" w14:textId="77777777" w:rsidR="00B14D65" w:rsidRPr="000D5A58" w:rsidRDefault="00B14D65" w:rsidP="00B14D65"/>
    <w:p w14:paraId="6E4AA051" w14:textId="77777777" w:rsidR="00B14D65" w:rsidRDefault="00B14D65" w:rsidP="00B14D65">
      <w:r w:rsidRPr="002D1ED7">
        <w:t xml:space="preserve">Each </w:t>
      </w:r>
      <w:proofErr w:type="gramStart"/>
      <w:r>
        <w:t>plastics</w:t>
      </w:r>
      <w:proofErr w:type="gramEnd"/>
      <w:r>
        <w:t xml:space="preserve"> </w:t>
      </w:r>
      <w:proofErr w:type="spellStart"/>
      <w:r>
        <w:t>reprocessor</w:t>
      </w:r>
      <w:proofErr w:type="spellEnd"/>
      <w:r>
        <w:t xml:space="preserve"> in Victoria was sent a</w:t>
      </w:r>
      <w:r w:rsidRPr="002D1ED7">
        <w:t xml:space="preserve"> survey</w:t>
      </w:r>
      <w:r>
        <w:t xml:space="preserve"> in Excel format </w:t>
      </w:r>
      <w:r w:rsidRPr="002D1ED7">
        <w:t xml:space="preserve">and asked to give information for the </w:t>
      </w:r>
      <w:r>
        <w:t>2019–20</w:t>
      </w:r>
      <w:r w:rsidRPr="002D1ED7">
        <w:t xml:space="preserve"> financial year about the</w:t>
      </w:r>
      <w:r>
        <w:t xml:space="preserve"> reprocessed amount, import / export amounts and stockpile amount for each type of polymer. The survey is voluntary, and the information is self-reported by the organisation. To avoid double counting of material flowing through the system to local </w:t>
      </w:r>
      <w:proofErr w:type="spellStart"/>
      <w:r>
        <w:t>reprocessors</w:t>
      </w:r>
      <w:proofErr w:type="spellEnd"/>
      <w:r>
        <w:t>, the focus of data gathering in this survey was placed on the reprocessing stage of the plastics life cycle.</w:t>
      </w:r>
    </w:p>
    <w:p w14:paraId="3FF542A8" w14:textId="77777777" w:rsidR="00B14D65" w:rsidRDefault="00B14D65" w:rsidP="00B14D65">
      <w:pPr>
        <w:pStyle w:val="Heading3"/>
      </w:pPr>
      <w:bookmarkStart w:id="151" w:name="_Toc78881426"/>
      <w:r>
        <w:t>Australian Bureau of Statistics data</w:t>
      </w:r>
      <w:bookmarkEnd w:id="151"/>
    </w:p>
    <w:p w14:paraId="3F0AF661" w14:textId="77777777" w:rsidR="00B14D65" w:rsidRDefault="00B14D65" w:rsidP="00B14D65">
      <w:r w:rsidRPr="00852774">
        <w:t xml:space="preserve">Additional information was sought from the ABS on the export of materials from </w:t>
      </w:r>
      <w:r>
        <w:t>Victoria</w:t>
      </w:r>
      <w:r w:rsidRPr="00852774">
        <w:t xml:space="preserve"> to overseas markets for reprocessing during the </w:t>
      </w:r>
      <w:r>
        <w:t>2019–20</w:t>
      </w:r>
      <w:r w:rsidRPr="00852774">
        <w:t xml:space="preserve"> financial year. This data aims to capture materials exported from companies not surveyed by </w:t>
      </w:r>
      <w:r>
        <w:t>SV</w:t>
      </w:r>
      <w:r w:rsidRPr="00852774">
        <w:t xml:space="preserve">, such as export traders. </w:t>
      </w:r>
      <w:r>
        <w:t>Additional ABS data on population figures, GSP and consumer price index were also used in our analysis.</w:t>
      </w:r>
    </w:p>
    <w:p w14:paraId="229ACECB" w14:textId="38D1EBF0" w:rsidR="00B14D65" w:rsidRDefault="005575E6" w:rsidP="00B14D65">
      <w:pPr>
        <w:pStyle w:val="Heading3"/>
      </w:pPr>
      <w:bookmarkStart w:id="152" w:name="_Toc78881427"/>
      <w:r>
        <w:t xml:space="preserve"> </w:t>
      </w:r>
      <w:r w:rsidR="00B14D65">
        <w:t>Environment Protection Authority Victoria data</w:t>
      </w:r>
      <w:bookmarkEnd w:id="152"/>
    </w:p>
    <w:p w14:paraId="258639B2" w14:textId="7762E377" w:rsidR="00B43A25" w:rsidRPr="00B14D65" w:rsidRDefault="00B14D65" w:rsidP="00B43A25">
      <w:r w:rsidRPr="00852774">
        <w:rPr>
          <w:szCs w:val="19"/>
        </w:rPr>
        <w:t xml:space="preserve">Data on solid waste disposed </w:t>
      </w:r>
      <w:r>
        <w:rPr>
          <w:szCs w:val="19"/>
        </w:rPr>
        <w:t xml:space="preserve">of </w:t>
      </w:r>
      <w:proofErr w:type="spellStart"/>
      <w:r w:rsidRPr="00852774">
        <w:rPr>
          <w:szCs w:val="19"/>
        </w:rPr>
        <w:t>to</w:t>
      </w:r>
      <w:proofErr w:type="spellEnd"/>
      <w:r w:rsidRPr="00852774">
        <w:rPr>
          <w:szCs w:val="19"/>
        </w:rPr>
        <w:t xml:space="preserve"> licensed landfills was sourced from EPA</w:t>
      </w:r>
      <w:r>
        <w:rPr>
          <w:szCs w:val="19"/>
        </w:rPr>
        <w:t xml:space="preserve"> Victoria</w:t>
      </w:r>
      <w:r w:rsidRPr="00852774">
        <w:rPr>
          <w:szCs w:val="19"/>
        </w:rPr>
        <w:t xml:space="preserve">’s landfill levy returns. These returns provide data on </w:t>
      </w:r>
      <w:r>
        <w:rPr>
          <w:szCs w:val="19"/>
        </w:rPr>
        <w:t>MSW</w:t>
      </w:r>
      <w:r w:rsidRPr="00852774">
        <w:rPr>
          <w:szCs w:val="19"/>
        </w:rPr>
        <w:t xml:space="preserve"> to landfill and combined solid industrial waste to landfill</w:t>
      </w:r>
      <w:r>
        <w:rPr>
          <w:szCs w:val="19"/>
        </w:rPr>
        <w:t>,</w:t>
      </w:r>
      <w:r w:rsidRPr="00852774">
        <w:rPr>
          <w:szCs w:val="19"/>
        </w:rPr>
        <w:t xml:space="preserve"> which is the sum of waste from C&amp;I and C&amp;D. To estimate the quantities of waste going to landfill from these sectors individually, </w:t>
      </w:r>
      <w:r>
        <w:rPr>
          <w:szCs w:val="19"/>
        </w:rPr>
        <w:t>SV</w:t>
      </w:r>
      <w:r w:rsidRPr="00852774">
        <w:rPr>
          <w:szCs w:val="19"/>
        </w:rPr>
        <w:t xml:space="preserve"> applie</w:t>
      </w:r>
      <w:r>
        <w:rPr>
          <w:szCs w:val="19"/>
        </w:rPr>
        <w:t>d</w:t>
      </w:r>
      <w:r w:rsidRPr="00852774">
        <w:rPr>
          <w:szCs w:val="19"/>
        </w:rPr>
        <w:t xml:space="preserve"> an assumed proportional split</w:t>
      </w:r>
      <w:r>
        <w:rPr>
          <w:szCs w:val="19"/>
        </w:rPr>
        <w:t xml:space="preserve"> based on partially reported data from EPA Victoria</w:t>
      </w:r>
      <w:r w:rsidRPr="00852774">
        <w:rPr>
          <w:szCs w:val="19"/>
        </w:rPr>
        <w:t>. This allows for the calculation of diversion rates by source sector.</w:t>
      </w:r>
    </w:p>
    <w:sectPr w:rsidR="00B43A25" w:rsidRPr="00B14D65" w:rsidSect="00434E02">
      <w:headerReference w:type="first" r:id="rId61"/>
      <w:footerReference w:type="first" r:id="rId62"/>
      <w:pgSz w:w="11906" w:h="16838" w:code="9"/>
      <w:pgMar w:top="1418" w:right="964" w:bottom="1134" w:left="3175" w:header="851" w:footer="36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8AF0EF" w14:textId="77777777" w:rsidR="0085736C" w:rsidRDefault="0085736C" w:rsidP="006D5547">
      <w:pPr>
        <w:spacing w:after="0"/>
      </w:pPr>
      <w:r>
        <w:separator/>
      </w:r>
    </w:p>
    <w:p w14:paraId="1749D040" w14:textId="77777777" w:rsidR="0085736C" w:rsidRDefault="0085736C"/>
    <w:p w14:paraId="05C6EF69" w14:textId="77777777" w:rsidR="0085736C" w:rsidRDefault="0085736C"/>
  </w:endnote>
  <w:endnote w:type="continuationSeparator" w:id="0">
    <w:p w14:paraId="6521C4BC" w14:textId="77777777" w:rsidR="0085736C" w:rsidRDefault="0085736C" w:rsidP="006D5547">
      <w:pPr>
        <w:spacing w:after="0"/>
      </w:pPr>
      <w:r>
        <w:continuationSeparator/>
      </w:r>
    </w:p>
    <w:p w14:paraId="5B854932" w14:textId="77777777" w:rsidR="0085736C" w:rsidRDefault="0085736C"/>
    <w:p w14:paraId="2355E865" w14:textId="77777777" w:rsidR="0085736C" w:rsidRDefault="0085736C"/>
  </w:endnote>
  <w:endnote w:type="continuationNotice" w:id="1">
    <w:p w14:paraId="5AF6AF0A" w14:textId="77777777" w:rsidR="0085736C" w:rsidRDefault="0085736C">
      <w:pPr>
        <w:spacing w:after="0" w:line="240" w:lineRule="auto"/>
      </w:pPr>
    </w:p>
    <w:p w14:paraId="44A5F371" w14:textId="77777777" w:rsidR="0085736C" w:rsidRDefault="008573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Dotum">
    <w:altName w:val="돋움"/>
    <w:panose1 w:val="020B0600000101010101"/>
    <w:charset w:val="81"/>
    <w:family w:val="swiss"/>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imHei">
    <w:altName w:val="黑体"/>
    <w:panose1 w:val="0201060003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LayoutGrid"/>
      <w:tblW w:w="0" w:type="auto"/>
      <w:tblLayout w:type="fixed"/>
      <w:tblLook w:val="04A0" w:firstRow="1" w:lastRow="0" w:firstColumn="1" w:lastColumn="0" w:noHBand="0" w:noVBand="1"/>
    </w:tblPr>
    <w:tblGrid>
      <w:gridCol w:w="9628"/>
    </w:tblGrid>
    <w:tr w:rsidR="00567AEB" w14:paraId="599B2A36" w14:textId="77777777" w:rsidTr="00586EE1">
      <w:tc>
        <w:tcPr>
          <w:tcW w:w="9628" w:type="dxa"/>
        </w:tcPr>
        <w:p w14:paraId="14A6AF2E" w14:textId="77777777" w:rsidR="00567AEB" w:rsidRDefault="00567AEB">
          <w:pPr>
            <w:pStyle w:val="Footer"/>
          </w:pPr>
          <w:r>
            <w:rPr>
              <w:noProof/>
              <w:lang w:eastAsia="en-AU"/>
            </w:rPr>
            <w:drawing>
              <wp:inline distT="0" distB="0" distL="0" distR="0" wp14:anchorId="78E5F254" wp14:editId="07EAC00B">
                <wp:extent cx="1504800" cy="568800"/>
                <wp:effectExtent l="0" t="0" r="635" b="3175"/>
                <wp:docPr id="17" name="Picture 17" descr="Sustainability Victoria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ustainability Victoria logo">
                          <a:extLst>
                            <a:ext uri="{C183D7F6-B498-43B3-948B-1728B52AA6E4}">
                              <adec:decorative xmlns:adec="http://schemas.microsoft.com/office/drawing/2017/decorative" val="0"/>
                            </a:ext>
                          </a:extLst>
                        </pic:cNvPr>
                        <pic:cNvPicPr/>
                      </pic:nvPicPr>
                      <pic:blipFill>
                        <a:blip r:embed="rId1"/>
                        <a:stretch>
                          <a:fillRect/>
                        </a:stretch>
                      </pic:blipFill>
                      <pic:spPr>
                        <a:xfrm>
                          <a:off x="0" y="0"/>
                          <a:ext cx="1504800" cy="568800"/>
                        </a:xfrm>
                        <a:prstGeom prst="rect">
                          <a:avLst/>
                        </a:prstGeom>
                      </pic:spPr>
                    </pic:pic>
                  </a:graphicData>
                </a:graphic>
              </wp:inline>
            </w:drawing>
          </w:r>
        </w:p>
      </w:tc>
    </w:tr>
    <w:tr w:rsidR="00567AEB" w14:paraId="4EC884FB" w14:textId="77777777" w:rsidTr="00586EE1">
      <w:trPr>
        <w:trHeight w:hRule="exact" w:val="266"/>
      </w:trPr>
      <w:tc>
        <w:tcPr>
          <w:tcW w:w="9628" w:type="dxa"/>
        </w:tcPr>
        <w:p w14:paraId="30AF43CB" w14:textId="77777777" w:rsidR="00567AEB" w:rsidRDefault="00567AEB">
          <w:pPr>
            <w:pStyle w:val="Footer"/>
          </w:pPr>
        </w:p>
      </w:tc>
    </w:tr>
  </w:tbl>
  <w:p w14:paraId="7DA280E6" w14:textId="77777777" w:rsidR="00567AEB" w:rsidRDefault="00567A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LayoutGrid"/>
      <w:tblW w:w="8925" w:type="dxa"/>
      <w:tblLayout w:type="fixed"/>
      <w:tblLook w:val="04A0" w:firstRow="1" w:lastRow="0" w:firstColumn="1" w:lastColumn="0" w:noHBand="0" w:noVBand="1"/>
    </w:tblPr>
    <w:tblGrid>
      <w:gridCol w:w="2048"/>
      <w:gridCol w:w="6877"/>
    </w:tblGrid>
    <w:tr w:rsidR="00567AEB" w14:paraId="546EFBA3" w14:textId="77777777" w:rsidTr="00814DDB">
      <w:trPr>
        <w:trHeight w:hRule="exact" w:val="284"/>
      </w:trPr>
      <w:tc>
        <w:tcPr>
          <w:tcW w:w="2048" w:type="dxa"/>
          <w:vAlign w:val="bottom"/>
        </w:tcPr>
        <w:p w14:paraId="182E72A4" w14:textId="1C56B94C" w:rsidR="00567AEB" w:rsidRPr="00AB467D" w:rsidRDefault="00567AEB" w:rsidP="00814DDB">
          <w:pPr>
            <w:pStyle w:val="FooterDetails"/>
            <w:rPr>
              <w:rStyle w:val="PageNumber"/>
            </w:rPr>
          </w:pPr>
          <w:r w:rsidRPr="00AB467D">
            <w:rPr>
              <w:rStyle w:val="PageNumber"/>
            </w:rPr>
            <w:fldChar w:fldCharType="begin"/>
          </w:r>
          <w:r w:rsidRPr="00AB467D">
            <w:rPr>
              <w:rStyle w:val="PageNumber"/>
            </w:rPr>
            <w:instrText xml:space="preserve"> PAGE  \* Arabic  \* MERGEFORMAT </w:instrText>
          </w:r>
          <w:r w:rsidRPr="00AB467D">
            <w:rPr>
              <w:rStyle w:val="PageNumber"/>
            </w:rPr>
            <w:fldChar w:fldCharType="separate"/>
          </w:r>
          <w:r>
            <w:rPr>
              <w:rStyle w:val="PageNumber"/>
              <w:noProof/>
            </w:rPr>
            <w:t>2</w:t>
          </w:r>
          <w:r w:rsidRPr="00AB467D">
            <w:rPr>
              <w:rStyle w:val="PageNumber"/>
            </w:rPr>
            <w:fldChar w:fldCharType="end"/>
          </w:r>
        </w:p>
      </w:tc>
      <w:tc>
        <w:tcPr>
          <w:tcW w:w="6877" w:type="dxa"/>
          <w:vAlign w:val="bottom"/>
        </w:tcPr>
        <w:p w14:paraId="48F0AECE" w14:textId="77777777" w:rsidR="00567AEB" w:rsidRPr="00807D31" w:rsidRDefault="00567AEB" w:rsidP="00814DDB">
          <w:pPr>
            <w:pStyle w:val="FooterDetailsEven"/>
            <w:rPr>
              <w:rStyle w:val="PageNumber"/>
              <w:b/>
            </w:rPr>
          </w:pPr>
          <w:r w:rsidRPr="00807D31">
            <w:rPr>
              <w:rStyle w:val="PageNumber"/>
              <w:b/>
            </w:rPr>
            <w:t>Sustainability Victoria</w:t>
          </w:r>
        </w:p>
      </w:tc>
    </w:tr>
  </w:tbl>
  <w:p w14:paraId="40B87E25" w14:textId="77777777" w:rsidR="00567AEB" w:rsidRDefault="00567AEB">
    <w:pPr>
      <w:pStyle w:val="Footer"/>
    </w:pPr>
    <w:r>
      <w:rPr>
        <w:noProof/>
        <w:lang w:eastAsia="en-AU"/>
      </w:rPr>
      <w:drawing>
        <wp:anchor distT="0" distB="0" distL="114300" distR="114300" simplePos="0" relativeHeight="251658241" behindDoc="1" locked="1" layoutInCell="0" allowOverlap="1" wp14:anchorId="0057D6AE" wp14:editId="53D62349">
          <wp:simplePos x="0" y="0"/>
          <wp:positionH relativeFrom="page">
            <wp:posOffset>1289050</wp:posOffset>
          </wp:positionH>
          <wp:positionV relativeFrom="page">
            <wp:posOffset>9813925</wp:posOffset>
          </wp:positionV>
          <wp:extent cx="1562100" cy="878205"/>
          <wp:effectExtent l="0" t="0" r="0" b="0"/>
          <wp:wrapNone/>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stretch>
                    <a:fillRect/>
                  </a:stretch>
                </pic:blipFill>
                <pic:spPr>
                  <a:xfrm>
                    <a:off x="0" y="0"/>
                    <a:ext cx="1562100" cy="87820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hAnsiTheme="majorHAnsi"/>
        <w:sz w:val="15"/>
      </w:rPr>
      <w:id w:val="1733424426"/>
      <w:docPartObj>
        <w:docPartGallery w:val="Page Numbers (Bottom of Page)"/>
        <w:docPartUnique/>
      </w:docPartObj>
    </w:sdtPr>
    <w:sdtEndPr/>
    <w:sdtContent>
      <w:p w14:paraId="2681B10F" w14:textId="36E27EDA" w:rsidR="00567AEB" w:rsidRDefault="00567AEB">
        <w:pPr>
          <w:pStyle w:val="Footer"/>
          <w:jc w:val="right"/>
          <w:rPr>
            <w:noProof/>
            <w:lang w:eastAsia="en-AU"/>
          </w:rPr>
        </w:pPr>
        <w:r>
          <w:rPr>
            <w:noProof/>
            <w:lang w:eastAsia="en-AU"/>
          </w:rPr>
          <w:drawing>
            <wp:anchor distT="0" distB="0" distL="114300" distR="114300" simplePos="0" relativeHeight="251658242" behindDoc="1" locked="1" layoutInCell="1" allowOverlap="1" wp14:anchorId="2A2938E7" wp14:editId="1B129D0F">
              <wp:simplePos x="0" y="0"/>
              <wp:positionH relativeFrom="page">
                <wp:posOffset>5861050</wp:posOffset>
              </wp:positionH>
              <wp:positionV relativeFrom="page">
                <wp:posOffset>9740900</wp:posOffset>
              </wp:positionV>
              <wp:extent cx="1724025" cy="932180"/>
              <wp:effectExtent l="0" t="0" r="9525" b="1270"/>
              <wp:wrapNone/>
              <wp:docPr id="19" name="Picture 19" descr="Style icon over page number in foo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tyle icon over page number in footer. "/>
                      <pic:cNvPicPr/>
                    </pic:nvPicPr>
                    <pic:blipFill>
                      <a:blip r:embed="rId1"/>
                      <a:stretch>
                        <a:fillRect/>
                      </a:stretch>
                    </pic:blipFill>
                    <pic:spPr>
                      <a:xfrm>
                        <a:off x="0" y="0"/>
                        <a:ext cx="1724025" cy="932180"/>
                      </a:xfrm>
                      <a:prstGeom prst="rect">
                        <a:avLst/>
                      </a:prstGeom>
                    </pic:spPr>
                  </pic:pic>
                </a:graphicData>
              </a:graphic>
              <wp14:sizeRelH relativeFrom="margin">
                <wp14:pctWidth>0</wp14:pctWidth>
              </wp14:sizeRelH>
              <wp14:sizeRelV relativeFrom="margin">
                <wp14:pctHeight>0</wp14:pctHeight>
              </wp14:sizeRelV>
            </wp:anchor>
          </w:drawing>
        </w:r>
      </w:p>
      <w:tbl>
        <w:tblPr>
          <w:tblStyle w:val="LayoutGrid"/>
          <w:tblW w:w="8617" w:type="dxa"/>
          <w:tblLook w:val="04A0" w:firstRow="1" w:lastRow="0" w:firstColumn="1" w:lastColumn="0" w:noHBand="0" w:noVBand="1"/>
        </w:tblPr>
        <w:tblGrid>
          <w:gridCol w:w="6805"/>
          <w:gridCol w:w="906"/>
          <w:gridCol w:w="906"/>
        </w:tblGrid>
        <w:tr w:rsidR="00567AEB" w:rsidRPr="00C935D9" w14:paraId="720E76C9" w14:textId="77777777" w:rsidTr="00A64839">
          <w:tc>
            <w:tcPr>
              <w:tcW w:w="6805" w:type="dxa"/>
              <w:vAlign w:val="bottom"/>
            </w:tcPr>
            <w:p w14:paraId="587264B7" w14:textId="734A35F7" w:rsidR="00567AEB" w:rsidRPr="00C935D9" w:rsidRDefault="00567AEB" w:rsidP="00A64839">
              <w:pPr>
                <w:pStyle w:val="FooterDetails"/>
              </w:pPr>
              <w:r w:rsidRPr="00C935D9">
                <w:t xml:space="preserve">Waste and </w:t>
              </w:r>
              <w:r w:rsidR="003B36C5">
                <w:t>r</w:t>
              </w:r>
              <w:r w:rsidR="003B36C5" w:rsidRPr="00C935D9">
                <w:t xml:space="preserve">ecycling </w:t>
              </w:r>
              <w:r w:rsidRPr="00C935D9">
                <w:t xml:space="preserve">in Victoria – </w:t>
              </w:r>
              <w:r>
                <w:t xml:space="preserve">Recycling </w:t>
              </w:r>
              <w:r w:rsidR="003B36C5">
                <w:t>i</w:t>
              </w:r>
              <w:r w:rsidRPr="00C935D9">
                <w:t xml:space="preserve">ndustry </w:t>
              </w:r>
              <w:r w:rsidR="00FB2E95">
                <w:t xml:space="preserve">waste </w:t>
              </w:r>
              <w:r w:rsidR="003B36C5">
                <w:t>r</w:t>
              </w:r>
              <w:r w:rsidRPr="00C935D9">
                <w:t xml:space="preserve">eport 2019–20 </w:t>
              </w:r>
            </w:p>
          </w:tc>
          <w:tc>
            <w:tcPr>
              <w:tcW w:w="906" w:type="dxa"/>
              <w:vAlign w:val="bottom"/>
            </w:tcPr>
            <w:p w14:paraId="378E9945" w14:textId="77777777" w:rsidR="00567AEB" w:rsidRPr="00C935D9" w:rsidRDefault="00567AEB" w:rsidP="00A64839">
              <w:pPr>
                <w:pStyle w:val="FooterDetails"/>
                <w:jc w:val="right"/>
              </w:pPr>
              <w:r w:rsidRPr="00C935D9">
                <w:rPr>
                  <w:rStyle w:val="PageNumber"/>
                </w:rPr>
                <w:fldChar w:fldCharType="begin"/>
              </w:r>
              <w:r w:rsidRPr="00C935D9">
                <w:rPr>
                  <w:rStyle w:val="PageNumber"/>
                </w:rPr>
                <w:instrText xml:space="preserve"> PAGE  \* Arabic  \* MERGEFORMAT </w:instrText>
              </w:r>
              <w:r w:rsidRPr="00C935D9">
                <w:rPr>
                  <w:rStyle w:val="PageNumber"/>
                </w:rPr>
                <w:fldChar w:fldCharType="separate"/>
              </w:r>
              <w:r w:rsidRPr="00C935D9">
                <w:rPr>
                  <w:rStyle w:val="PageNumber"/>
                  <w:noProof/>
                </w:rPr>
                <w:t>5</w:t>
              </w:r>
              <w:r w:rsidRPr="00C935D9">
                <w:rPr>
                  <w:rStyle w:val="PageNumber"/>
                </w:rPr>
                <w:fldChar w:fldCharType="end"/>
              </w:r>
            </w:p>
          </w:tc>
          <w:tc>
            <w:tcPr>
              <w:tcW w:w="906" w:type="dxa"/>
            </w:tcPr>
            <w:p w14:paraId="749ACF45" w14:textId="34FF5664" w:rsidR="00567AEB" w:rsidRPr="00C935D9" w:rsidRDefault="0085736C" w:rsidP="00A64839">
              <w:pPr>
                <w:pStyle w:val="FooterDetails"/>
                <w:jc w:val="right"/>
                <w:rPr>
                  <w:rStyle w:val="PageNumber"/>
                </w:rPr>
              </w:pPr>
            </w:p>
          </w:tc>
        </w:tr>
      </w:tbl>
    </w:sdtContent>
  </w:sdt>
  <w:p w14:paraId="35F8400F" w14:textId="77777777" w:rsidR="00567AEB" w:rsidRPr="00C935D9" w:rsidRDefault="00567AEB" w:rsidP="00A64839">
    <w:pPr>
      <w:pStyle w:val="BackPageDetails"/>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A898A" w14:textId="77777777" w:rsidR="00567AEB" w:rsidRDefault="00567AEB" w:rsidP="0006777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LayoutGrid"/>
      <w:tblW w:w="8925" w:type="dxa"/>
      <w:tblInd w:w="-2041" w:type="dxa"/>
      <w:tblLayout w:type="fixed"/>
      <w:tblLook w:val="04A0" w:firstRow="1" w:lastRow="0" w:firstColumn="1" w:lastColumn="0" w:noHBand="0" w:noVBand="1"/>
    </w:tblPr>
    <w:tblGrid>
      <w:gridCol w:w="2048"/>
      <w:gridCol w:w="6877"/>
    </w:tblGrid>
    <w:tr w:rsidR="00567AEB" w14:paraId="6CA10319" w14:textId="77777777" w:rsidTr="002C1573">
      <w:trPr>
        <w:trHeight w:hRule="exact" w:val="284"/>
      </w:trPr>
      <w:tc>
        <w:tcPr>
          <w:tcW w:w="2098" w:type="dxa"/>
          <w:vAlign w:val="bottom"/>
        </w:tcPr>
        <w:p w14:paraId="24DA9C80" w14:textId="2FA42682" w:rsidR="00567AEB" w:rsidRPr="00AB467D" w:rsidRDefault="00567AEB" w:rsidP="006F7E30">
          <w:pPr>
            <w:pStyle w:val="FooterDetails"/>
            <w:rPr>
              <w:rStyle w:val="PageNumber"/>
            </w:rPr>
          </w:pPr>
          <w:r w:rsidRPr="00AB467D">
            <w:rPr>
              <w:rStyle w:val="PageNumber"/>
            </w:rPr>
            <w:fldChar w:fldCharType="begin"/>
          </w:r>
          <w:r w:rsidRPr="00AB467D">
            <w:rPr>
              <w:rStyle w:val="PageNumber"/>
            </w:rPr>
            <w:instrText xml:space="preserve"> PAGE  \* Arabic  \* MERGEFORMAT </w:instrText>
          </w:r>
          <w:r w:rsidRPr="00AB467D">
            <w:rPr>
              <w:rStyle w:val="PageNumber"/>
            </w:rPr>
            <w:fldChar w:fldCharType="separate"/>
          </w:r>
          <w:r>
            <w:rPr>
              <w:rStyle w:val="PageNumber"/>
              <w:noProof/>
            </w:rPr>
            <w:t>4</w:t>
          </w:r>
          <w:r w:rsidRPr="00AB467D">
            <w:rPr>
              <w:rStyle w:val="PageNumber"/>
            </w:rPr>
            <w:fldChar w:fldCharType="end"/>
          </w:r>
        </w:p>
      </w:tc>
      <w:tc>
        <w:tcPr>
          <w:tcW w:w="7046" w:type="dxa"/>
          <w:vAlign w:val="bottom"/>
        </w:tcPr>
        <w:p w14:paraId="71B29F95" w14:textId="51F35F8B" w:rsidR="00567AEB" w:rsidRPr="00807D31" w:rsidRDefault="00567AEB" w:rsidP="006F7E30">
          <w:pPr>
            <w:pStyle w:val="FooterDetailsEven"/>
            <w:rPr>
              <w:rStyle w:val="PageNumber"/>
              <w:b/>
            </w:rPr>
          </w:pPr>
          <w:r>
            <w:rPr>
              <w:rStyle w:val="PageNumber"/>
              <w:b/>
            </w:rPr>
            <w:t>Victorian Recycling Industry Annual Report 2019–20</w:t>
          </w:r>
        </w:p>
      </w:tc>
    </w:tr>
  </w:tbl>
  <w:p w14:paraId="7800CC8A" w14:textId="77777777" w:rsidR="00567AEB" w:rsidRDefault="00567AEB" w:rsidP="006F7E30">
    <w:pPr>
      <w:pStyle w:val="Footer"/>
    </w:pPr>
    <w:r>
      <w:rPr>
        <w:noProof/>
        <w:lang w:eastAsia="en-AU"/>
      </w:rPr>
      <w:drawing>
        <wp:anchor distT="0" distB="0" distL="114300" distR="114300" simplePos="0" relativeHeight="251658244" behindDoc="1" locked="1" layoutInCell="0" allowOverlap="1" wp14:anchorId="06F29FAE" wp14:editId="0586A30F">
          <wp:simplePos x="2013626" y="9581745"/>
          <wp:positionH relativeFrom="page">
            <wp:posOffset>0</wp:posOffset>
          </wp:positionH>
          <wp:positionV relativeFrom="page">
            <wp:align>bottom</wp:align>
          </wp:positionV>
          <wp:extent cx="1562400" cy="878400"/>
          <wp:effectExtent l="0" t="0" r="0" b="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stretch>
                    <a:fillRect/>
                  </a:stretch>
                </pic:blipFill>
                <pic:spPr>
                  <a:xfrm>
                    <a:off x="0" y="0"/>
                    <a:ext cx="1562400" cy="878400"/>
                  </a:xfrm>
                  <a:prstGeom prst="rect">
                    <a:avLst/>
                  </a:prstGeom>
                </pic:spPr>
              </pic:pic>
            </a:graphicData>
          </a:graphic>
          <wp14:sizeRelH relativeFrom="margin">
            <wp14:pctWidth>0</wp14:pctWidth>
          </wp14:sizeRelH>
          <wp14:sizeRelV relativeFrom="margin">
            <wp14:pctHeight>0</wp14:pctHeight>
          </wp14:sizeRelV>
        </wp:anchor>
      </w:drawing>
    </w:r>
  </w:p>
  <w:p w14:paraId="310132A5" w14:textId="77777777" w:rsidR="004F018F" w:rsidRDefault="004F018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0B5692" w14:textId="77777777" w:rsidR="0085736C" w:rsidRPr="00837869" w:rsidRDefault="0085736C" w:rsidP="00837869">
      <w:pPr>
        <w:pStyle w:val="FootnoteSpacer"/>
      </w:pPr>
    </w:p>
    <w:p w14:paraId="0304F97B" w14:textId="77777777" w:rsidR="0085736C" w:rsidRDefault="0085736C"/>
    <w:p w14:paraId="70E3A05F" w14:textId="77777777" w:rsidR="0085736C" w:rsidRDefault="0085736C"/>
  </w:footnote>
  <w:footnote w:type="continuationSeparator" w:id="0">
    <w:p w14:paraId="0F8B78A0" w14:textId="77777777" w:rsidR="0085736C" w:rsidRDefault="0085736C" w:rsidP="006D5547">
      <w:pPr>
        <w:spacing w:after="0"/>
      </w:pPr>
      <w:r>
        <w:continuationSeparator/>
      </w:r>
    </w:p>
    <w:p w14:paraId="749F38A3" w14:textId="77777777" w:rsidR="0085736C" w:rsidRDefault="0085736C"/>
    <w:p w14:paraId="1B4CACFE" w14:textId="77777777" w:rsidR="0085736C" w:rsidRDefault="0085736C"/>
  </w:footnote>
  <w:footnote w:type="continuationNotice" w:id="1">
    <w:p w14:paraId="67089466" w14:textId="77777777" w:rsidR="0085736C" w:rsidRDefault="0085736C">
      <w:pPr>
        <w:spacing w:after="0" w:line="240" w:lineRule="auto"/>
      </w:pPr>
    </w:p>
    <w:p w14:paraId="4F31F67A" w14:textId="77777777" w:rsidR="0085736C" w:rsidRDefault="0085736C"/>
  </w:footnote>
  <w:footnote w:id="2">
    <w:p w14:paraId="02E28B82" w14:textId="0346AF42" w:rsidR="00F24B11" w:rsidRPr="00D72210" w:rsidRDefault="00F24B11" w:rsidP="00D72210">
      <w:pPr>
        <w:rPr>
          <w:sz w:val="15"/>
        </w:rPr>
      </w:pPr>
      <w:r>
        <w:rPr>
          <w:rStyle w:val="FootnoteReference"/>
        </w:rPr>
        <w:footnoteRef/>
      </w:r>
      <w:r w:rsidRPr="00D72210">
        <w:rPr>
          <w:rStyle w:val="FootnoteTextChar"/>
        </w:rPr>
        <w:t xml:space="preserve"> The method used to compile this data is provided in </w:t>
      </w:r>
      <w:r w:rsidRPr="00D72210">
        <w:rPr>
          <w:rStyle w:val="FootnoteTextChar"/>
        </w:rPr>
        <w:fldChar w:fldCharType="begin"/>
      </w:r>
      <w:r w:rsidRPr="00D72210">
        <w:rPr>
          <w:rStyle w:val="FootnoteTextChar"/>
        </w:rPr>
        <w:instrText xml:space="preserve"> REF _Ref80209049 \h </w:instrText>
      </w:r>
      <w:r>
        <w:rPr>
          <w:rStyle w:val="FootnoteTextChar"/>
        </w:rPr>
        <w:instrText xml:space="preserve"> \* MERGEFORMAT </w:instrText>
      </w:r>
      <w:r w:rsidRPr="00D72210">
        <w:rPr>
          <w:rStyle w:val="FootnoteTextChar"/>
        </w:rPr>
      </w:r>
      <w:r w:rsidRPr="00D72210">
        <w:rPr>
          <w:rStyle w:val="FootnoteTextChar"/>
        </w:rPr>
        <w:fldChar w:fldCharType="separate"/>
      </w:r>
      <w:r w:rsidR="00176C53" w:rsidRPr="00176C53">
        <w:rPr>
          <w:rStyle w:val="FootnoteTextChar"/>
        </w:rPr>
        <w:t xml:space="preserve">Appendix </w:t>
      </w:r>
      <w:r w:rsidR="00176C53">
        <w:t xml:space="preserve">A: </w:t>
      </w:r>
      <w:r w:rsidRPr="00D72210">
        <w:rPr>
          <w:rStyle w:val="FootnoteTextChar"/>
        </w:rPr>
        <w:fldChar w:fldCharType="end"/>
      </w:r>
      <w:r w:rsidRPr="00D72210">
        <w:rPr>
          <w:rStyle w:val="FootnoteTextChar"/>
        </w:rPr>
        <w:t>.</w:t>
      </w:r>
    </w:p>
  </w:footnote>
  <w:footnote w:id="3">
    <w:p w14:paraId="34E72920" w14:textId="77777777" w:rsidR="00437D9B" w:rsidRDefault="00437D9B" w:rsidP="00437D9B">
      <w:pPr>
        <w:pStyle w:val="FootnoteText"/>
      </w:pPr>
      <w:r>
        <w:rPr>
          <w:rStyle w:val="FootnoteReference"/>
        </w:rPr>
        <w:footnoteRef/>
      </w:r>
      <w:r>
        <w:t xml:space="preserve"> </w:t>
      </w:r>
      <w:hyperlink r:id="rId1" w:anchor="tabs=Rainfall-tracker" w:tooltip="Bureau of Meteorology website" w:history="1">
        <w:r>
          <w:rPr>
            <w:rStyle w:val="Hyperlink"/>
          </w:rPr>
          <w:t>Drought Statement (bom.gov.au)</w:t>
        </w:r>
      </w:hyperlink>
    </w:p>
  </w:footnote>
  <w:footnote w:id="4">
    <w:p w14:paraId="1873C78E" w14:textId="3A240681" w:rsidR="00D72210" w:rsidRPr="000218C3" w:rsidRDefault="00D72210" w:rsidP="001341FB">
      <w:pPr>
        <w:spacing w:after="40" w:line="180" w:lineRule="atLeast"/>
        <w:rPr>
          <w:rStyle w:val="FootnoteTextChar"/>
        </w:rPr>
      </w:pPr>
      <w:r>
        <w:rPr>
          <w:rStyle w:val="FootnoteReference"/>
        </w:rPr>
        <w:footnoteRef/>
      </w:r>
      <w:r>
        <w:t xml:space="preserve"> </w:t>
      </w:r>
      <w:r w:rsidR="000218C3" w:rsidRPr="000218C3">
        <w:rPr>
          <w:rStyle w:val="FootnoteTextChar"/>
        </w:rPr>
        <w:t>Composition of commingle</w:t>
      </w:r>
      <w:r w:rsidR="000218C3">
        <w:rPr>
          <w:rStyle w:val="FootnoteTextChar"/>
        </w:rPr>
        <w:t>d</w:t>
      </w:r>
      <w:r w:rsidR="000218C3" w:rsidRPr="000218C3">
        <w:rPr>
          <w:rStyle w:val="FootnoteTextChar"/>
        </w:rPr>
        <w:t xml:space="preserve"> packaging post</w:t>
      </w:r>
      <w:r w:rsidR="000218C3">
        <w:rPr>
          <w:rStyle w:val="FootnoteTextChar"/>
        </w:rPr>
        <w:t>-</w:t>
      </w:r>
      <w:r w:rsidR="000218C3" w:rsidRPr="000218C3">
        <w:rPr>
          <w:rStyle w:val="FootnoteTextChar"/>
        </w:rPr>
        <w:t>consumer material includes data from kerbside recyclables and drop-off recyclables only</w:t>
      </w:r>
      <w:r w:rsidR="00E048BB">
        <w:rPr>
          <w:rStyle w:val="FootnoteTextChar"/>
        </w:rPr>
        <w:t>,</w:t>
      </w:r>
      <w:r w:rsidR="000218C3" w:rsidRPr="000218C3">
        <w:rPr>
          <w:rStyle w:val="FootnoteTextChar"/>
        </w:rPr>
        <w:t xml:space="preserve"> whereas the figure for total </w:t>
      </w:r>
      <w:r w:rsidR="000218C3" w:rsidRPr="000D36FB">
        <w:rPr>
          <w:rStyle w:val="FootnoteTextChar"/>
        </w:rPr>
        <w:t>recovered in</w:t>
      </w:r>
      <w:r w:rsidR="000D36FB" w:rsidRPr="000D36FB">
        <w:rPr>
          <w:rStyle w:val="FootnoteTextChar"/>
        </w:rPr>
        <w:t xml:space="preserve"> </w:t>
      </w:r>
      <w:r w:rsidR="000D36FB" w:rsidRPr="000D36FB">
        <w:rPr>
          <w:rStyle w:val="FootnoteTextChar"/>
        </w:rPr>
        <w:fldChar w:fldCharType="begin"/>
      </w:r>
      <w:r w:rsidR="000D36FB" w:rsidRPr="000D36FB">
        <w:rPr>
          <w:rStyle w:val="FootnoteTextChar"/>
        </w:rPr>
        <w:instrText xml:space="preserve"> REF _Ref41983294 \h </w:instrText>
      </w:r>
      <w:r w:rsidR="000D36FB">
        <w:rPr>
          <w:rStyle w:val="FootnoteTextChar"/>
        </w:rPr>
        <w:instrText xml:space="preserve"> \* MERGEFORMAT </w:instrText>
      </w:r>
      <w:r w:rsidR="000D36FB" w:rsidRPr="000D36FB">
        <w:rPr>
          <w:rStyle w:val="FootnoteTextChar"/>
        </w:rPr>
      </w:r>
      <w:r w:rsidR="000D36FB" w:rsidRPr="000D36FB">
        <w:rPr>
          <w:rStyle w:val="FootnoteTextChar"/>
        </w:rPr>
        <w:fldChar w:fldCharType="separate"/>
      </w:r>
      <w:r w:rsidR="00176C53" w:rsidRPr="00176C53">
        <w:rPr>
          <w:rStyle w:val="FootnoteTextChar"/>
        </w:rPr>
        <w:t xml:space="preserve">Table </w:t>
      </w:r>
      <w:r w:rsidR="00176C53">
        <w:rPr>
          <w:noProof/>
        </w:rPr>
        <w:t>5</w:t>
      </w:r>
      <w:r w:rsidR="000D36FB" w:rsidRPr="000D36FB">
        <w:rPr>
          <w:rStyle w:val="FootnoteTextChar"/>
        </w:rPr>
        <w:fldChar w:fldCharType="end"/>
      </w:r>
      <w:r w:rsidR="000D36FB" w:rsidRPr="000D36FB">
        <w:rPr>
          <w:rStyle w:val="FootnoteTextChar"/>
        </w:rPr>
        <w:t xml:space="preserve"> </w:t>
      </w:r>
      <w:r w:rsidR="000218C3" w:rsidRPr="000D36FB">
        <w:rPr>
          <w:rStyle w:val="FootnoteTextChar"/>
        </w:rPr>
        <w:t>for</w:t>
      </w:r>
      <w:r w:rsidR="000218C3" w:rsidRPr="000218C3">
        <w:rPr>
          <w:rStyle w:val="FootnoteTextChar"/>
        </w:rPr>
        <w:t xml:space="preserve"> the LGWSR includes an additional 25 </w:t>
      </w:r>
      <w:r w:rsidR="000218C3">
        <w:rPr>
          <w:rStyle w:val="FootnoteTextChar"/>
        </w:rPr>
        <w:t>k</w:t>
      </w:r>
      <w:r w:rsidR="000218C3" w:rsidRPr="000218C3">
        <w:rPr>
          <w:rStyle w:val="FootnoteTextChar"/>
        </w:rPr>
        <w:t>t of hard waste recovered for reprocessing.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6C948" w14:textId="4A27D265" w:rsidR="00567AEB" w:rsidRDefault="00166061">
    <w:pPr>
      <w:pStyle w:val="Header"/>
    </w:pPr>
    <w:r>
      <w:rPr>
        <w:noProof/>
        <w:lang w:eastAsia="en-AU"/>
      </w:rPr>
      <w:drawing>
        <wp:anchor distT="0" distB="0" distL="114300" distR="114300" simplePos="0" relativeHeight="251658240" behindDoc="1" locked="0" layoutInCell="1" allowOverlap="1" wp14:anchorId="74BF4E52" wp14:editId="3F802D81">
          <wp:simplePos x="0" y="0"/>
          <wp:positionH relativeFrom="column">
            <wp:posOffset>-469924</wp:posOffset>
          </wp:positionH>
          <wp:positionV relativeFrom="paragraph">
            <wp:posOffset>3608921</wp:posOffset>
          </wp:positionV>
          <wp:extent cx="7053092" cy="4718649"/>
          <wp:effectExtent l="0" t="0" r="0" b="6350"/>
          <wp:wrapNone/>
          <wp:docPr id="12" name="Picture 12" descr="report cover image of bales of crushed aluminium c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report cover image of bales of crushed aluminium cans"/>
                  <pic:cNvPicPr/>
                </pic:nvPicPr>
                <pic:blipFill>
                  <a:blip r:embed="rId1"/>
                  <a:stretch>
                    <a:fillRect/>
                  </a:stretch>
                </pic:blipFill>
                <pic:spPr>
                  <a:xfrm>
                    <a:off x="0" y="0"/>
                    <a:ext cx="7057589" cy="4721657"/>
                  </a:xfrm>
                  <a:prstGeom prst="rect">
                    <a:avLst/>
                  </a:prstGeom>
                </pic:spPr>
              </pic:pic>
            </a:graphicData>
          </a:graphic>
          <wp14:sizeRelH relativeFrom="page">
            <wp14:pctWidth>0</wp14:pctWidth>
          </wp14:sizeRelH>
          <wp14:sizeRelV relativeFrom="page">
            <wp14:pctHeight>0</wp14:pctHeight>
          </wp14:sizeRelV>
        </wp:anchor>
      </w:drawing>
    </w:r>
    <w:r w:rsidR="00567AEB">
      <w:rPr>
        <w:noProof/>
        <w:lang w:eastAsia="en-AU"/>
      </w:rPr>
      <w:drawing>
        <wp:anchor distT="0" distB="0" distL="114300" distR="114300" simplePos="0" relativeHeight="251658243" behindDoc="1" locked="1" layoutInCell="1" allowOverlap="1" wp14:anchorId="600226E6" wp14:editId="0B78E373">
          <wp:simplePos x="0" y="0"/>
          <wp:positionH relativeFrom="page">
            <wp:align>left</wp:align>
          </wp:positionH>
          <wp:positionV relativeFrom="page">
            <wp:align>top</wp:align>
          </wp:positionV>
          <wp:extent cx="7558405" cy="10689590"/>
          <wp:effectExtent l="0" t="0" r="4445" b="0"/>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pic:nvPicPr>
                <pic:blipFill>
                  <a:blip r:embed="rId2" cstate="print">
                    <a:extLst>
                      <a:ext uri="{28A0092B-C50C-407E-A947-70E740481C1C}">
                        <a14:useLocalDpi xmlns:a14="http://schemas.microsoft.com/office/drawing/2010/main"/>
                      </a:ext>
                    </a:extLst>
                  </a:blip>
                  <a:stretch>
                    <a:fillRect/>
                  </a:stretch>
                </pic:blipFill>
                <pic:spPr>
                  <a:xfrm>
                    <a:off x="0" y="0"/>
                    <a:ext cx="7558405" cy="10689590"/>
                  </a:xfrm>
                  <a:prstGeom prst="rect">
                    <a:avLst/>
                  </a:prstGeom>
                </pic:spPr>
              </pic:pic>
            </a:graphicData>
          </a:graphic>
          <wp14:sizeRelH relativeFrom="page">
            <wp14:pctWidth>0</wp14:pctWidth>
          </wp14:sizeRelH>
          <wp14:sizeRelV relativeFrom="page">
            <wp14:pctHeight>0</wp14:pctHeight>
          </wp14:sizeRelV>
        </wp:anchor>
      </w:drawing>
    </w:r>
    <w:r w:rsidR="00567AEB">
      <w:rPr>
        <w:noProof/>
        <w:lang w:eastAsia="en-AU"/>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73717" w14:textId="77777777" w:rsidR="00567AEB" w:rsidRDefault="00567AE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76FE7" w14:textId="77777777" w:rsidR="00567AEB" w:rsidRPr="009A225C" w:rsidRDefault="00567AEB" w:rsidP="009A225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LayoutGrid"/>
      <w:tblW w:w="0" w:type="auto"/>
      <w:tblLook w:val="04A0" w:firstRow="1" w:lastRow="0" w:firstColumn="1" w:lastColumn="0" w:noHBand="0" w:noVBand="1"/>
    </w:tblPr>
    <w:tblGrid>
      <w:gridCol w:w="5387"/>
      <w:gridCol w:w="3629"/>
    </w:tblGrid>
    <w:tr w:rsidR="00567AEB" w14:paraId="2FDE4991" w14:textId="77777777" w:rsidTr="00D27F7F">
      <w:tc>
        <w:tcPr>
          <w:tcW w:w="5387" w:type="dxa"/>
        </w:tcPr>
        <w:p w14:paraId="13073972" w14:textId="77777777" w:rsidR="00567AEB" w:rsidRDefault="00567AEB" w:rsidP="00A20134"/>
      </w:tc>
      <w:tc>
        <w:tcPr>
          <w:tcW w:w="3629" w:type="dxa"/>
        </w:tcPr>
        <w:p w14:paraId="17338E14" w14:textId="77777777" w:rsidR="00567AEB" w:rsidRDefault="00567AEB" w:rsidP="00A20134">
          <w:pPr>
            <w:pStyle w:val="Header"/>
          </w:pPr>
        </w:p>
      </w:tc>
    </w:tr>
  </w:tbl>
  <w:p w14:paraId="7DB91145" w14:textId="77777777" w:rsidR="00567AEB" w:rsidRDefault="00567AE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LayoutGrid"/>
      <w:tblW w:w="4555" w:type="pct"/>
      <w:tblLayout w:type="fixed"/>
      <w:tblLook w:val="04A0" w:firstRow="1" w:lastRow="0" w:firstColumn="1" w:lastColumn="0" w:noHBand="0" w:noVBand="1"/>
    </w:tblPr>
    <w:tblGrid>
      <w:gridCol w:w="8780"/>
    </w:tblGrid>
    <w:tr w:rsidR="00567AEB" w14:paraId="39A34178" w14:textId="77777777" w:rsidTr="00A66DB4">
      <w:trPr>
        <w:trHeight w:hRule="exact" w:val="283"/>
      </w:trPr>
      <w:tc>
        <w:tcPr>
          <w:tcW w:w="7075" w:type="dxa"/>
        </w:tcPr>
        <w:p w14:paraId="716137B6" w14:textId="77777777" w:rsidR="00567AEB" w:rsidRDefault="00567AEB" w:rsidP="00647203">
          <w:pPr>
            <w:pStyle w:val="Header"/>
          </w:pPr>
        </w:p>
      </w:tc>
    </w:tr>
  </w:tbl>
  <w:p w14:paraId="47137847" w14:textId="0C57D41A" w:rsidR="00567AEB" w:rsidRPr="00647203" w:rsidRDefault="00567AEB" w:rsidP="00647203">
    <w:pPr>
      <w:pStyle w:val="Header"/>
    </w:pPr>
  </w:p>
  <w:p w14:paraId="5FD60CD1" w14:textId="77777777" w:rsidR="004F018F" w:rsidRDefault="004F018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730244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D1A9F02"/>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D53E47A2"/>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21CACF38"/>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9"/>
    <w:multiLevelType w:val="singleLevel"/>
    <w:tmpl w:val="51D6FCE4"/>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5025153"/>
    <w:multiLevelType w:val="multilevel"/>
    <w:tmpl w:val="9592712C"/>
    <w:numStyleLink w:val="ListNumbers"/>
  </w:abstractNum>
  <w:abstractNum w:abstractNumId="6" w15:restartNumberingAfterBreak="0">
    <w:nsid w:val="0C3925AC"/>
    <w:multiLevelType w:val="multilevel"/>
    <w:tmpl w:val="9A8C6A78"/>
    <w:numStyleLink w:val="TableBulletList"/>
  </w:abstractNum>
  <w:abstractNum w:abstractNumId="7" w15:restartNumberingAfterBreak="0">
    <w:nsid w:val="1A317159"/>
    <w:multiLevelType w:val="multilevel"/>
    <w:tmpl w:val="9A8C6A78"/>
    <w:styleLink w:val="TableBulletList"/>
    <w:lvl w:ilvl="0">
      <w:start w:val="1"/>
      <w:numFmt w:val="bullet"/>
      <w:pStyle w:val="TableBullet"/>
      <w:lvlText w:val="»"/>
      <w:lvlJc w:val="left"/>
      <w:pPr>
        <w:ind w:left="227" w:hanging="227"/>
      </w:pPr>
      <w:rPr>
        <w:rFonts w:asciiTheme="minorHAnsi" w:hAnsiTheme="minorHAnsi" w:cs="Times New Roman" w:hint="default"/>
        <w:color w:val="82C341" w:themeColor="background1"/>
        <w:szCs w:val="10"/>
      </w:rPr>
    </w:lvl>
    <w:lvl w:ilvl="1">
      <w:start w:val="1"/>
      <w:numFmt w:val="bullet"/>
      <w:lvlText w:val=""/>
      <w:lvlJc w:val="left"/>
      <w:pPr>
        <w:ind w:left="454" w:hanging="227"/>
      </w:pPr>
      <w:rPr>
        <w:rFonts w:ascii="Symbol" w:hAnsi="Symbol" w:cs="Times New Roman" w:hint="default"/>
        <w:color w:val="000000" w:themeColor="text1"/>
      </w:rPr>
    </w:lvl>
    <w:lvl w:ilvl="2">
      <w:start w:val="1"/>
      <w:numFmt w:val="none"/>
      <w:lvlText w:val=""/>
      <w:lvlJc w:val="left"/>
      <w:pPr>
        <w:ind w:left="681" w:hanging="227"/>
      </w:pPr>
      <w:rPr>
        <w:rFonts w:hint="default"/>
      </w:rPr>
    </w:lvl>
    <w:lvl w:ilvl="3">
      <w:start w:val="1"/>
      <w:numFmt w:val="none"/>
      <w:lvlText w:val=""/>
      <w:lvlJc w:val="left"/>
      <w:pPr>
        <w:ind w:left="908" w:hanging="227"/>
      </w:pPr>
      <w:rPr>
        <w:rFonts w:hint="default"/>
      </w:rPr>
    </w:lvl>
    <w:lvl w:ilvl="4">
      <w:start w:val="1"/>
      <w:numFmt w:val="none"/>
      <w:lvlText w:val=""/>
      <w:lvlJc w:val="left"/>
      <w:pPr>
        <w:ind w:left="1135" w:hanging="227"/>
      </w:pPr>
      <w:rPr>
        <w:rFonts w:hint="default"/>
      </w:rPr>
    </w:lvl>
    <w:lvl w:ilvl="5">
      <w:start w:val="1"/>
      <w:numFmt w:val="none"/>
      <w:lvlText w:val=""/>
      <w:lvlJc w:val="left"/>
      <w:pPr>
        <w:ind w:left="1362" w:hanging="227"/>
      </w:pPr>
      <w:rPr>
        <w:rFonts w:hint="default"/>
      </w:rPr>
    </w:lvl>
    <w:lvl w:ilvl="6">
      <w:start w:val="1"/>
      <w:numFmt w:val="none"/>
      <w:lvlText w:val=""/>
      <w:lvlJc w:val="left"/>
      <w:pPr>
        <w:ind w:left="1589" w:hanging="227"/>
      </w:pPr>
      <w:rPr>
        <w:rFonts w:hint="default"/>
      </w:rPr>
    </w:lvl>
    <w:lvl w:ilvl="7">
      <w:start w:val="1"/>
      <w:numFmt w:val="none"/>
      <w:lvlText w:val=""/>
      <w:lvlJc w:val="left"/>
      <w:pPr>
        <w:ind w:left="1816" w:hanging="227"/>
      </w:pPr>
      <w:rPr>
        <w:rFonts w:hint="default"/>
      </w:rPr>
    </w:lvl>
    <w:lvl w:ilvl="8">
      <w:start w:val="1"/>
      <w:numFmt w:val="none"/>
      <w:lvlText w:val=""/>
      <w:lvlJc w:val="left"/>
      <w:pPr>
        <w:ind w:left="2043" w:hanging="227"/>
      </w:pPr>
      <w:rPr>
        <w:rFonts w:hint="default"/>
      </w:rPr>
    </w:lvl>
  </w:abstractNum>
  <w:abstractNum w:abstractNumId="8" w15:restartNumberingAfterBreak="0">
    <w:nsid w:val="1D033818"/>
    <w:multiLevelType w:val="multilevel"/>
    <w:tmpl w:val="9592712C"/>
    <w:styleLink w:val="ListNumbers"/>
    <w:lvl w:ilvl="0">
      <w:start w:val="1"/>
      <w:numFmt w:val="decimal"/>
      <w:pStyle w:val="ListNumber"/>
      <w:lvlText w:val="%1."/>
      <w:lvlJc w:val="left"/>
      <w:pPr>
        <w:ind w:left="284" w:hanging="284"/>
      </w:pPr>
      <w:rPr>
        <w:rFonts w:hint="default"/>
      </w:rPr>
    </w:lvl>
    <w:lvl w:ilvl="1">
      <w:start w:val="1"/>
      <w:numFmt w:val="lowerLetter"/>
      <w:pStyle w:val="ListNumber2"/>
      <w:lvlText w:val="%2."/>
      <w:lvlJc w:val="left"/>
      <w:pPr>
        <w:ind w:left="568" w:hanging="284"/>
      </w:pPr>
      <w:rPr>
        <w:rFonts w:hint="default"/>
      </w:rPr>
    </w:lvl>
    <w:lvl w:ilvl="2">
      <w:start w:val="1"/>
      <w:numFmt w:val="lowerRoman"/>
      <w:pStyle w:val="ListNumber3"/>
      <w:lvlText w:val="%3."/>
      <w:lvlJc w:val="left"/>
      <w:pPr>
        <w:ind w:left="852" w:hanging="284"/>
      </w:pPr>
      <w:rPr>
        <w:rFonts w:hint="default"/>
      </w:rPr>
    </w:lvl>
    <w:lvl w:ilvl="3">
      <w:start w:val="1"/>
      <w:numFmt w:val="none"/>
      <w:lvlText w:val=""/>
      <w:lvlJc w:val="left"/>
      <w:pPr>
        <w:ind w:left="1136" w:hanging="284"/>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7"/>
      <w:lvlJc w:val="left"/>
      <w:pPr>
        <w:ind w:left="1988" w:hanging="284"/>
      </w:pPr>
      <w:rPr>
        <w:rFonts w:hint="default"/>
      </w:rPr>
    </w:lvl>
    <w:lvl w:ilvl="7">
      <w:start w:val="1"/>
      <w:numFmt w:val="none"/>
      <w:lvlText w:val="%8"/>
      <w:lvlJc w:val="left"/>
      <w:pPr>
        <w:ind w:left="2272" w:hanging="284"/>
      </w:pPr>
      <w:rPr>
        <w:rFonts w:hint="default"/>
      </w:rPr>
    </w:lvl>
    <w:lvl w:ilvl="8">
      <w:start w:val="1"/>
      <w:numFmt w:val="none"/>
      <w:lvlText w:val="%9"/>
      <w:lvlJc w:val="left"/>
      <w:pPr>
        <w:ind w:left="2556" w:hanging="284"/>
      </w:pPr>
      <w:rPr>
        <w:rFonts w:hint="default"/>
      </w:rPr>
    </w:lvl>
  </w:abstractNum>
  <w:abstractNum w:abstractNumId="9" w15:restartNumberingAfterBreak="0">
    <w:nsid w:val="20690CD4"/>
    <w:multiLevelType w:val="multilevel"/>
    <w:tmpl w:val="14EAB5DA"/>
    <w:styleLink w:val="Bullets"/>
    <w:lvl w:ilvl="0">
      <w:start w:val="1"/>
      <w:numFmt w:val="bullet"/>
      <w:pStyle w:val="ListBullet"/>
      <w:lvlText w:val="»"/>
      <w:lvlJc w:val="left"/>
      <w:pPr>
        <w:ind w:left="227" w:hanging="227"/>
      </w:pPr>
      <w:rPr>
        <w:rFonts w:ascii="Times New Roman" w:hAnsi="Times New Roman" w:cs="Times New Roman" w:hint="default"/>
        <w:color w:val="82C341" w:themeColor="background1"/>
      </w:rPr>
    </w:lvl>
    <w:lvl w:ilvl="1">
      <w:start w:val="1"/>
      <w:numFmt w:val="bullet"/>
      <w:pStyle w:val="ListBullet2"/>
      <w:lvlText w:val="–"/>
      <w:lvlJc w:val="left"/>
      <w:pPr>
        <w:ind w:left="454" w:hanging="227"/>
      </w:pPr>
      <w:rPr>
        <w:rFonts w:ascii="Century Gothic" w:hAnsi="Century Gothic" w:cs="Times New Roman" w:hint="default"/>
      </w:rPr>
    </w:lvl>
    <w:lvl w:ilvl="2">
      <w:start w:val="1"/>
      <w:numFmt w:val="bullet"/>
      <w:pStyle w:val="ListBullet3"/>
      <w:lvlText w:val="–"/>
      <w:lvlJc w:val="left"/>
      <w:pPr>
        <w:ind w:left="681" w:hanging="227"/>
      </w:pPr>
      <w:rPr>
        <w:rFonts w:ascii="Century Gothic" w:hAnsi="Century Gothic" w:cs="Times New Roman" w:hint="default"/>
      </w:rPr>
    </w:lvl>
    <w:lvl w:ilvl="3">
      <w:start w:val="1"/>
      <w:numFmt w:val="none"/>
      <w:lvlText w:val=""/>
      <w:lvlJc w:val="left"/>
      <w:pPr>
        <w:tabs>
          <w:tab w:val="num" w:pos="2324"/>
        </w:tabs>
        <w:ind w:left="908" w:hanging="227"/>
      </w:pPr>
      <w:rPr>
        <w:rFonts w:hint="default"/>
      </w:rPr>
    </w:lvl>
    <w:lvl w:ilvl="4">
      <w:start w:val="1"/>
      <w:numFmt w:val="none"/>
      <w:lvlText w:val=""/>
      <w:lvlJc w:val="left"/>
      <w:pPr>
        <w:tabs>
          <w:tab w:val="num" w:pos="3004"/>
        </w:tabs>
        <w:ind w:left="1135" w:hanging="227"/>
      </w:pPr>
      <w:rPr>
        <w:rFonts w:hint="default"/>
      </w:rPr>
    </w:lvl>
    <w:lvl w:ilvl="5">
      <w:start w:val="1"/>
      <w:numFmt w:val="none"/>
      <w:lvlText w:val=""/>
      <w:lvlJc w:val="left"/>
      <w:pPr>
        <w:tabs>
          <w:tab w:val="num" w:pos="3684"/>
        </w:tabs>
        <w:ind w:left="1362" w:hanging="227"/>
      </w:pPr>
      <w:rPr>
        <w:rFonts w:hint="default"/>
      </w:rPr>
    </w:lvl>
    <w:lvl w:ilvl="6">
      <w:start w:val="1"/>
      <w:numFmt w:val="none"/>
      <w:lvlText w:val=""/>
      <w:lvlJc w:val="left"/>
      <w:pPr>
        <w:tabs>
          <w:tab w:val="num" w:pos="4364"/>
        </w:tabs>
        <w:ind w:left="1589" w:hanging="227"/>
      </w:pPr>
      <w:rPr>
        <w:rFonts w:hint="default"/>
      </w:rPr>
    </w:lvl>
    <w:lvl w:ilvl="7">
      <w:start w:val="1"/>
      <w:numFmt w:val="none"/>
      <w:lvlText w:val=""/>
      <w:lvlJc w:val="left"/>
      <w:pPr>
        <w:tabs>
          <w:tab w:val="num" w:pos="5044"/>
        </w:tabs>
        <w:ind w:left="1816" w:hanging="227"/>
      </w:pPr>
      <w:rPr>
        <w:rFonts w:hint="default"/>
      </w:rPr>
    </w:lvl>
    <w:lvl w:ilvl="8">
      <w:start w:val="1"/>
      <w:numFmt w:val="none"/>
      <w:lvlText w:val=""/>
      <w:lvlJc w:val="left"/>
      <w:pPr>
        <w:tabs>
          <w:tab w:val="num" w:pos="5724"/>
        </w:tabs>
        <w:ind w:left="2043" w:hanging="227"/>
      </w:pPr>
      <w:rPr>
        <w:rFonts w:hint="default"/>
      </w:rPr>
    </w:lvl>
  </w:abstractNum>
  <w:abstractNum w:abstractNumId="10" w15:restartNumberingAfterBreak="0">
    <w:nsid w:val="21987232"/>
    <w:multiLevelType w:val="multilevel"/>
    <w:tmpl w:val="837E0A84"/>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1" w15:restartNumberingAfterBreak="0">
    <w:nsid w:val="28701712"/>
    <w:multiLevelType w:val="hybridMultilevel"/>
    <w:tmpl w:val="9C34EC94"/>
    <w:lvl w:ilvl="0" w:tplc="07D02FB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9816565"/>
    <w:multiLevelType w:val="hybridMultilevel"/>
    <w:tmpl w:val="8E1EA5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0D77305"/>
    <w:multiLevelType w:val="hybridMultilevel"/>
    <w:tmpl w:val="A7B8C0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42B551D"/>
    <w:multiLevelType w:val="hybridMultilevel"/>
    <w:tmpl w:val="2292A0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C077367"/>
    <w:multiLevelType w:val="multilevel"/>
    <w:tmpl w:val="2EE20DF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4D0F6D39"/>
    <w:multiLevelType w:val="hybridMultilevel"/>
    <w:tmpl w:val="FA2050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3151A6A"/>
    <w:multiLevelType w:val="hybridMultilevel"/>
    <w:tmpl w:val="722090C8"/>
    <w:lvl w:ilvl="0" w:tplc="60D67B44">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4073A3A"/>
    <w:multiLevelType w:val="hybridMultilevel"/>
    <w:tmpl w:val="F6E8B3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D047181"/>
    <w:multiLevelType w:val="multilevel"/>
    <w:tmpl w:val="14EAB5DA"/>
    <w:numStyleLink w:val="Bullets"/>
  </w:abstractNum>
  <w:abstractNum w:abstractNumId="20" w15:restartNumberingAfterBreak="0">
    <w:nsid w:val="71FF0526"/>
    <w:multiLevelType w:val="multilevel"/>
    <w:tmpl w:val="1AC44A62"/>
    <w:styleLink w:val="NumberedHeadings"/>
    <w:lvl w:ilvl="0">
      <w:start w:val="1"/>
      <w:numFmt w:val="decimal"/>
      <w:pStyle w:val="SectionDividerTitle"/>
      <w:lvlText w:val="%1"/>
      <w:lvlJc w:val="left"/>
      <w:pPr>
        <w:ind w:left="2041" w:hanging="2041"/>
      </w:pPr>
      <w:rPr>
        <w:rFonts w:asciiTheme="minorHAnsi" w:hAnsiTheme="minorHAnsi" w:hint="default"/>
        <w:b/>
        <w:i w:val="0"/>
        <w:color w:val="82C341" w:themeColor="background1"/>
        <w:sz w:val="72"/>
      </w:rPr>
    </w:lvl>
    <w:lvl w:ilvl="1">
      <w:start w:val="1"/>
      <w:numFmt w:val="decimal"/>
      <w:pStyle w:val="Heading1Numbered"/>
      <w:lvlText w:val="%1.%2"/>
      <w:lvlJc w:val="left"/>
      <w:pPr>
        <w:ind w:left="0" w:hanging="851"/>
      </w:pPr>
      <w:rPr>
        <w:rFonts w:hint="default"/>
      </w:rPr>
    </w:lvl>
    <w:lvl w:ilvl="2">
      <w:start w:val="1"/>
      <w:numFmt w:val="decimal"/>
      <w:pStyle w:val="Heading2Numbered"/>
      <w:lvlText w:val="%1.%2.%3"/>
      <w:lvlJc w:val="left"/>
      <w:pPr>
        <w:ind w:left="567" w:hanging="567"/>
      </w:pPr>
      <w:rPr>
        <w:rFonts w:hint="default"/>
      </w:rPr>
    </w:lvl>
    <w:lvl w:ilvl="3">
      <w:start w:val="1"/>
      <w:numFmt w:val="decimal"/>
      <w:pStyle w:val="Heading3Numbered"/>
      <w:lvlText w:val="%1.%2.%3.%4"/>
      <w:lvlJc w:val="left"/>
      <w:pPr>
        <w:ind w:left="567" w:hanging="567"/>
      </w:pPr>
      <w:rPr>
        <w:rFonts w:hint="default"/>
      </w:rPr>
    </w:lvl>
    <w:lvl w:ilvl="4">
      <w:start w:val="1"/>
      <w:numFmt w:val="none"/>
      <w:lvlText w:val=""/>
      <w:lvlJc w:val="left"/>
      <w:pPr>
        <w:ind w:left="2041" w:hanging="4082"/>
      </w:pPr>
      <w:rPr>
        <w:rFonts w:hint="default"/>
      </w:rPr>
    </w:lvl>
    <w:lvl w:ilvl="5">
      <w:start w:val="1"/>
      <w:numFmt w:val="none"/>
      <w:lvlText w:val=""/>
      <w:lvlJc w:val="left"/>
      <w:pPr>
        <w:ind w:left="2041" w:hanging="4082"/>
      </w:pPr>
      <w:rPr>
        <w:rFonts w:hint="default"/>
      </w:rPr>
    </w:lvl>
    <w:lvl w:ilvl="6">
      <w:start w:val="1"/>
      <w:numFmt w:val="none"/>
      <w:lvlText w:val=""/>
      <w:lvlJc w:val="left"/>
      <w:pPr>
        <w:ind w:left="2041" w:hanging="4082"/>
      </w:pPr>
      <w:rPr>
        <w:rFonts w:hint="default"/>
      </w:rPr>
    </w:lvl>
    <w:lvl w:ilvl="7">
      <w:start w:val="1"/>
      <w:numFmt w:val="none"/>
      <w:lvlText w:val=""/>
      <w:lvlJc w:val="left"/>
      <w:pPr>
        <w:ind w:left="2041" w:hanging="4082"/>
      </w:pPr>
      <w:rPr>
        <w:rFonts w:hint="default"/>
      </w:rPr>
    </w:lvl>
    <w:lvl w:ilvl="8">
      <w:start w:val="1"/>
      <w:numFmt w:val="none"/>
      <w:lvlText w:val=""/>
      <w:lvlJc w:val="left"/>
      <w:pPr>
        <w:ind w:left="2041" w:hanging="4082"/>
      </w:pPr>
      <w:rPr>
        <w:rFonts w:hint="default"/>
      </w:rPr>
    </w:lvl>
  </w:abstractNum>
  <w:abstractNum w:abstractNumId="21" w15:restartNumberingAfterBreak="0">
    <w:nsid w:val="71FF0823"/>
    <w:multiLevelType w:val="multilevel"/>
    <w:tmpl w:val="1AC44A62"/>
    <w:numStyleLink w:val="NumberedHeadings"/>
  </w:abstractNum>
  <w:num w:numId="1">
    <w:abstractNumId w:val="3"/>
  </w:num>
  <w:num w:numId="2">
    <w:abstractNumId w:val="2"/>
  </w:num>
  <w:num w:numId="3">
    <w:abstractNumId w:val="1"/>
  </w:num>
  <w:num w:numId="4">
    <w:abstractNumId w:val="0"/>
  </w:num>
  <w:num w:numId="5">
    <w:abstractNumId w:val="9"/>
  </w:num>
  <w:num w:numId="6">
    <w:abstractNumId w:val="20"/>
  </w:num>
  <w:num w:numId="7">
    <w:abstractNumId w:val="8"/>
  </w:num>
  <w:num w:numId="8">
    <w:abstractNumId w:val="7"/>
  </w:num>
  <w:num w:numId="9">
    <w:abstractNumId w:val="10"/>
  </w:num>
  <w:num w:numId="10">
    <w:abstractNumId w:val="5"/>
  </w:num>
  <w:num w:numId="11">
    <w:abstractNumId w:val="19"/>
  </w:num>
  <w:num w:numId="12">
    <w:abstractNumId w:val="6"/>
  </w:num>
  <w:num w:numId="13">
    <w:abstractNumId w:val="21"/>
  </w:num>
  <w:num w:numId="14">
    <w:abstractNumId w:val="11"/>
  </w:num>
  <w:num w:numId="15">
    <w:abstractNumId w:val="12"/>
  </w:num>
  <w:num w:numId="16">
    <w:abstractNumId w:val="14"/>
  </w:num>
  <w:num w:numId="17">
    <w:abstractNumId w:val="16"/>
  </w:num>
  <w:num w:numId="18">
    <w:abstractNumId w:val="21"/>
    <w:lvlOverride w:ilvl="0">
      <w:lvl w:ilvl="0">
        <w:start w:val="1"/>
        <w:numFmt w:val="decimal"/>
        <w:pStyle w:val="SectionDividerTitle"/>
        <w:lvlText w:val="%1"/>
        <w:lvlJc w:val="left"/>
        <w:pPr>
          <w:ind w:left="4026" w:hanging="2041"/>
        </w:pPr>
        <w:rPr>
          <w:rFonts w:asciiTheme="minorHAnsi" w:hAnsiTheme="minorHAnsi" w:hint="default"/>
          <w:b/>
          <w:i w:val="0"/>
          <w:color w:val="82C341" w:themeColor="background1"/>
          <w:sz w:val="72"/>
        </w:rPr>
      </w:lvl>
    </w:lvlOverride>
  </w:num>
  <w:num w:numId="19">
    <w:abstractNumId w:val="18"/>
  </w:num>
  <w:num w:numId="20">
    <w:abstractNumId w:val="17"/>
  </w:num>
  <w:num w:numId="21">
    <w:abstractNumId w:val="15"/>
  </w:num>
  <w:num w:numId="22">
    <w:abstractNumId w:val="4"/>
  </w:num>
  <w:num w:numId="23">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zOxsDAyMjAxMDE0NjZV0lEKTi0uzszPAykws6gFAMV8Uy8tAAAA"/>
  </w:docVars>
  <w:rsids>
    <w:rsidRoot w:val="00B97FF6"/>
    <w:rsid w:val="000004F9"/>
    <w:rsid w:val="000018B1"/>
    <w:rsid w:val="000031BA"/>
    <w:rsid w:val="0000368F"/>
    <w:rsid w:val="000042E3"/>
    <w:rsid w:val="00004663"/>
    <w:rsid w:val="00004775"/>
    <w:rsid w:val="000052BB"/>
    <w:rsid w:val="00005838"/>
    <w:rsid w:val="00005C8F"/>
    <w:rsid w:val="0000628D"/>
    <w:rsid w:val="00007A56"/>
    <w:rsid w:val="000101DA"/>
    <w:rsid w:val="000102BE"/>
    <w:rsid w:val="00011955"/>
    <w:rsid w:val="00012442"/>
    <w:rsid w:val="00013382"/>
    <w:rsid w:val="00014F29"/>
    <w:rsid w:val="00016490"/>
    <w:rsid w:val="000170FC"/>
    <w:rsid w:val="000201F3"/>
    <w:rsid w:val="00020F9A"/>
    <w:rsid w:val="000218C3"/>
    <w:rsid w:val="00022479"/>
    <w:rsid w:val="000237D6"/>
    <w:rsid w:val="00023FB5"/>
    <w:rsid w:val="0002428E"/>
    <w:rsid w:val="0002447A"/>
    <w:rsid w:val="00024CD9"/>
    <w:rsid w:val="00025A68"/>
    <w:rsid w:val="00027A30"/>
    <w:rsid w:val="0003083F"/>
    <w:rsid w:val="0003104A"/>
    <w:rsid w:val="00034D6D"/>
    <w:rsid w:val="000350BF"/>
    <w:rsid w:val="000360EA"/>
    <w:rsid w:val="000365F5"/>
    <w:rsid w:val="00041904"/>
    <w:rsid w:val="0004300D"/>
    <w:rsid w:val="00043D56"/>
    <w:rsid w:val="000446AA"/>
    <w:rsid w:val="00044C09"/>
    <w:rsid w:val="00045044"/>
    <w:rsid w:val="0004560F"/>
    <w:rsid w:val="00046386"/>
    <w:rsid w:val="000472A7"/>
    <w:rsid w:val="00047B2E"/>
    <w:rsid w:val="000502C0"/>
    <w:rsid w:val="000506DF"/>
    <w:rsid w:val="000508F7"/>
    <w:rsid w:val="00051A32"/>
    <w:rsid w:val="00051F0E"/>
    <w:rsid w:val="000523DA"/>
    <w:rsid w:val="000548BD"/>
    <w:rsid w:val="00056D23"/>
    <w:rsid w:val="00061964"/>
    <w:rsid w:val="00061DE4"/>
    <w:rsid w:val="000620E3"/>
    <w:rsid w:val="00062ACC"/>
    <w:rsid w:val="00063AA2"/>
    <w:rsid w:val="0006511F"/>
    <w:rsid w:val="00066795"/>
    <w:rsid w:val="00066A6B"/>
    <w:rsid w:val="00067772"/>
    <w:rsid w:val="00070EF8"/>
    <w:rsid w:val="00071CA7"/>
    <w:rsid w:val="000724A8"/>
    <w:rsid w:val="00073841"/>
    <w:rsid w:val="0007461D"/>
    <w:rsid w:val="00074814"/>
    <w:rsid w:val="00074975"/>
    <w:rsid w:val="00074F11"/>
    <w:rsid w:val="000752D0"/>
    <w:rsid w:val="00075484"/>
    <w:rsid w:val="00075678"/>
    <w:rsid w:val="00075E0E"/>
    <w:rsid w:val="000762DC"/>
    <w:rsid w:val="00077B7C"/>
    <w:rsid w:val="000803CD"/>
    <w:rsid w:val="00081362"/>
    <w:rsid w:val="000816AC"/>
    <w:rsid w:val="0008190F"/>
    <w:rsid w:val="00083D06"/>
    <w:rsid w:val="00084A77"/>
    <w:rsid w:val="00084B28"/>
    <w:rsid w:val="000861DE"/>
    <w:rsid w:val="000864EB"/>
    <w:rsid w:val="00087E8F"/>
    <w:rsid w:val="000902C6"/>
    <w:rsid w:val="00090E4D"/>
    <w:rsid w:val="00090EC7"/>
    <w:rsid w:val="0009122F"/>
    <w:rsid w:val="0009342F"/>
    <w:rsid w:val="00095B83"/>
    <w:rsid w:val="00095FF1"/>
    <w:rsid w:val="000962B7"/>
    <w:rsid w:val="0009703E"/>
    <w:rsid w:val="00097348"/>
    <w:rsid w:val="000976C7"/>
    <w:rsid w:val="000A0130"/>
    <w:rsid w:val="000A0783"/>
    <w:rsid w:val="000A2AD9"/>
    <w:rsid w:val="000A2B15"/>
    <w:rsid w:val="000A2FDA"/>
    <w:rsid w:val="000A3CFC"/>
    <w:rsid w:val="000A40F9"/>
    <w:rsid w:val="000A5AFC"/>
    <w:rsid w:val="000A5B83"/>
    <w:rsid w:val="000A5FDC"/>
    <w:rsid w:val="000A638B"/>
    <w:rsid w:val="000A6F7B"/>
    <w:rsid w:val="000A7D8F"/>
    <w:rsid w:val="000A7E9D"/>
    <w:rsid w:val="000A7FE8"/>
    <w:rsid w:val="000B135A"/>
    <w:rsid w:val="000B21AE"/>
    <w:rsid w:val="000B26F8"/>
    <w:rsid w:val="000B3727"/>
    <w:rsid w:val="000B4165"/>
    <w:rsid w:val="000B493D"/>
    <w:rsid w:val="000B5CAD"/>
    <w:rsid w:val="000B66D8"/>
    <w:rsid w:val="000B69D8"/>
    <w:rsid w:val="000C0BE7"/>
    <w:rsid w:val="000C306A"/>
    <w:rsid w:val="000C3D28"/>
    <w:rsid w:val="000C5468"/>
    <w:rsid w:val="000C7D6D"/>
    <w:rsid w:val="000D0074"/>
    <w:rsid w:val="000D1F03"/>
    <w:rsid w:val="000D1F93"/>
    <w:rsid w:val="000D26B9"/>
    <w:rsid w:val="000D36FB"/>
    <w:rsid w:val="000D399E"/>
    <w:rsid w:val="000D557B"/>
    <w:rsid w:val="000D58CF"/>
    <w:rsid w:val="000D5A58"/>
    <w:rsid w:val="000D652E"/>
    <w:rsid w:val="000D6913"/>
    <w:rsid w:val="000D6A18"/>
    <w:rsid w:val="000E1236"/>
    <w:rsid w:val="000E210F"/>
    <w:rsid w:val="000E28D3"/>
    <w:rsid w:val="000E2E21"/>
    <w:rsid w:val="000E3AA1"/>
    <w:rsid w:val="000E4C99"/>
    <w:rsid w:val="000E4EA0"/>
    <w:rsid w:val="000E5BE8"/>
    <w:rsid w:val="000E61FC"/>
    <w:rsid w:val="000E7187"/>
    <w:rsid w:val="000E7305"/>
    <w:rsid w:val="000F4FD4"/>
    <w:rsid w:val="000F56D6"/>
    <w:rsid w:val="000F6256"/>
    <w:rsid w:val="000F69CB"/>
    <w:rsid w:val="0010183C"/>
    <w:rsid w:val="00102368"/>
    <w:rsid w:val="00103014"/>
    <w:rsid w:val="00103C78"/>
    <w:rsid w:val="001045F9"/>
    <w:rsid w:val="00104EED"/>
    <w:rsid w:val="00105597"/>
    <w:rsid w:val="001078F8"/>
    <w:rsid w:val="00107C0D"/>
    <w:rsid w:val="001114E1"/>
    <w:rsid w:val="00111749"/>
    <w:rsid w:val="00111DB6"/>
    <w:rsid w:val="00111F62"/>
    <w:rsid w:val="0011289D"/>
    <w:rsid w:val="00114BE9"/>
    <w:rsid w:val="00114C34"/>
    <w:rsid w:val="001171EC"/>
    <w:rsid w:val="00117D6F"/>
    <w:rsid w:val="00120B61"/>
    <w:rsid w:val="0012111B"/>
    <w:rsid w:val="00123351"/>
    <w:rsid w:val="00124174"/>
    <w:rsid w:val="00130AB4"/>
    <w:rsid w:val="00131F11"/>
    <w:rsid w:val="0013339E"/>
    <w:rsid w:val="001341FB"/>
    <w:rsid w:val="00134B11"/>
    <w:rsid w:val="00135023"/>
    <w:rsid w:val="00136A6F"/>
    <w:rsid w:val="00142451"/>
    <w:rsid w:val="00144DD9"/>
    <w:rsid w:val="00145539"/>
    <w:rsid w:val="00145B7B"/>
    <w:rsid w:val="0014690B"/>
    <w:rsid w:val="00146998"/>
    <w:rsid w:val="0014711D"/>
    <w:rsid w:val="00150E00"/>
    <w:rsid w:val="0015178F"/>
    <w:rsid w:val="00151F5B"/>
    <w:rsid w:val="001539C4"/>
    <w:rsid w:val="00154622"/>
    <w:rsid w:val="00154C4D"/>
    <w:rsid w:val="001554C4"/>
    <w:rsid w:val="001555FB"/>
    <w:rsid w:val="001559C1"/>
    <w:rsid w:val="00155CD0"/>
    <w:rsid w:val="00155E3F"/>
    <w:rsid w:val="00156981"/>
    <w:rsid w:val="00157CA8"/>
    <w:rsid w:val="00157ED6"/>
    <w:rsid w:val="00160153"/>
    <w:rsid w:val="001609D4"/>
    <w:rsid w:val="00160E9C"/>
    <w:rsid w:val="00162187"/>
    <w:rsid w:val="00163996"/>
    <w:rsid w:val="00164525"/>
    <w:rsid w:val="00164C38"/>
    <w:rsid w:val="00166061"/>
    <w:rsid w:val="001664BB"/>
    <w:rsid w:val="0016689A"/>
    <w:rsid w:val="0016744F"/>
    <w:rsid w:val="001677D7"/>
    <w:rsid w:val="00167A3D"/>
    <w:rsid w:val="001705CF"/>
    <w:rsid w:val="00170CE0"/>
    <w:rsid w:val="00171163"/>
    <w:rsid w:val="00171637"/>
    <w:rsid w:val="00171BB3"/>
    <w:rsid w:val="00173E20"/>
    <w:rsid w:val="00175627"/>
    <w:rsid w:val="001761C8"/>
    <w:rsid w:val="00176C53"/>
    <w:rsid w:val="0018078B"/>
    <w:rsid w:val="00181ADC"/>
    <w:rsid w:val="0018225B"/>
    <w:rsid w:val="001839CC"/>
    <w:rsid w:val="00184180"/>
    <w:rsid w:val="00184F9F"/>
    <w:rsid w:val="001852C8"/>
    <w:rsid w:val="001868C1"/>
    <w:rsid w:val="00186FF5"/>
    <w:rsid w:val="00191121"/>
    <w:rsid w:val="00191C3B"/>
    <w:rsid w:val="001922BB"/>
    <w:rsid w:val="001925FB"/>
    <w:rsid w:val="0019446D"/>
    <w:rsid w:val="00194F95"/>
    <w:rsid w:val="00195D76"/>
    <w:rsid w:val="0019616A"/>
    <w:rsid w:val="0019671B"/>
    <w:rsid w:val="00196E95"/>
    <w:rsid w:val="001A0253"/>
    <w:rsid w:val="001A16B0"/>
    <w:rsid w:val="001A20C4"/>
    <w:rsid w:val="001A260F"/>
    <w:rsid w:val="001A3CA8"/>
    <w:rsid w:val="001A4B07"/>
    <w:rsid w:val="001A55F1"/>
    <w:rsid w:val="001A6628"/>
    <w:rsid w:val="001A6C99"/>
    <w:rsid w:val="001A7A0B"/>
    <w:rsid w:val="001B01F3"/>
    <w:rsid w:val="001B07C7"/>
    <w:rsid w:val="001B09E2"/>
    <w:rsid w:val="001B24ED"/>
    <w:rsid w:val="001B26B0"/>
    <w:rsid w:val="001B3363"/>
    <w:rsid w:val="001B43F4"/>
    <w:rsid w:val="001B5335"/>
    <w:rsid w:val="001B5FF9"/>
    <w:rsid w:val="001B77FA"/>
    <w:rsid w:val="001C12ED"/>
    <w:rsid w:val="001C15C2"/>
    <w:rsid w:val="001C1E01"/>
    <w:rsid w:val="001C21F7"/>
    <w:rsid w:val="001C2A4D"/>
    <w:rsid w:val="001C3D17"/>
    <w:rsid w:val="001C4019"/>
    <w:rsid w:val="001C67E9"/>
    <w:rsid w:val="001C6BAC"/>
    <w:rsid w:val="001C6BD9"/>
    <w:rsid w:val="001C711A"/>
    <w:rsid w:val="001D0251"/>
    <w:rsid w:val="001D577E"/>
    <w:rsid w:val="001D5E51"/>
    <w:rsid w:val="001D7D04"/>
    <w:rsid w:val="001E0B7D"/>
    <w:rsid w:val="001E17E9"/>
    <w:rsid w:val="001E2342"/>
    <w:rsid w:val="001E2933"/>
    <w:rsid w:val="001E408C"/>
    <w:rsid w:val="001E4E8F"/>
    <w:rsid w:val="001E5C54"/>
    <w:rsid w:val="001E5D31"/>
    <w:rsid w:val="001E68C8"/>
    <w:rsid w:val="001E7FDA"/>
    <w:rsid w:val="001F07FE"/>
    <w:rsid w:val="001F20BD"/>
    <w:rsid w:val="001F3331"/>
    <w:rsid w:val="001F3676"/>
    <w:rsid w:val="001F3950"/>
    <w:rsid w:val="001F4410"/>
    <w:rsid w:val="001F51D9"/>
    <w:rsid w:val="001F5998"/>
    <w:rsid w:val="001F5BFC"/>
    <w:rsid w:val="001F6874"/>
    <w:rsid w:val="001F6B92"/>
    <w:rsid w:val="00200819"/>
    <w:rsid w:val="00200C11"/>
    <w:rsid w:val="00201970"/>
    <w:rsid w:val="002019D6"/>
    <w:rsid w:val="00203800"/>
    <w:rsid w:val="00203F61"/>
    <w:rsid w:val="00204068"/>
    <w:rsid w:val="002044EF"/>
    <w:rsid w:val="00204AC2"/>
    <w:rsid w:val="0020592A"/>
    <w:rsid w:val="00207AAD"/>
    <w:rsid w:val="002105B4"/>
    <w:rsid w:val="00211885"/>
    <w:rsid w:val="00212E43"/>
    <w:rsid w:val="00214926"/>
    <w:rsid w:val="00216EA9"/>
    <w:rsid w:val="00216F2C"/>
    <w:rsid w:val="002174A2"/>
    <w:rsid w:val="0022036E"/>
    <w:rsid w:val="00220FD7"/>
    <w:rsid w:val="002211F4"/>
    <w:rsid w:val="00221487"/>
    <w:rsid w:val="00222BB0"/>
    <w:rsid w:val="00224207"/>
    <w:rsid w:val="002251BF"/>
    <w:rsid w:val="00225A21"/>
    <w:rsid w:val="00226542"/>
    <w:rsid w:val="00227ADC"/>
    <w:rsid w:val="00230269"/>
    <w:rsid w:val="00231AA7"/>
    <w:rsid w:val="00232725"/>
    <w:rsid w:val="00235B47"/>
    <w:rsid w:val="002375E5"/>
    <w:rsid w:val="00237BBA"/>
    <w:rsid w:val="00237F37"/>
    <w:rsid w:val="00240079"/>
    <w:rsid w:val="00240B02"/>
    <w:rsid w:val="002425E5"/>
    <w:rsid w:val="00242D2F"/>
    <w:rsid w:val="00243202"/>
    <w:rsid w:val="00243BCE"/>
    <w:rsid w:val="0024455B"/>
    <w:rsid w:val="0024552F"/>
    <w:rsid w:val="00250196"/>
    <w:rsid w:val="0025058C"/>
    <w:rsid w:val="00251F7B"/>
    <w:rsid w:val="00251FEB"/>
    <w:rsid w:val="0025276B"/>
    <w:rsid w:val="002547FA"/>
    <w:rsid w:val="00255828"/>
    <w:rsid w:val="00255F02"/>
    <w:rsid w:val="002573C2"/>
    <w:rsid w:val="002575F8"/>
    <w:rsid w:val="00257F91"/>
    <w:rsid w:val="00261A2F"/>
    <w:rsid w:val="00261D72"/>
    <w:rsid w:val="00262D30"/>
    <w:rsid w:val="00263C67"/>
    <w:rsid w:val="00263D15"/>
    <w:rsid w:val="00264D81"/>
    <w:rsid w:val="00265EE2"/>
    <w:rsid w:val="00266098"/>
    <w:rsid w:val="002662F1"/>
    <w:rsid w:val="002671B2"/>
    <w:rsid w:val="00267612"/>
    <w:rsid w:val="00270F67"/>
    <w:rsid w:val="00271428"/>
    <w:rsid w:val="002715E7"/>
    <w:rsid w:val="00271B6C"/>
    <w:rsid w:val="00272092"/>
    <w:rsid w:val="00274F71"/>
    <w:rsid w:val="00275002"/>
    <w:rsid w:val="002766FF"/>
    <w:rsid w:val="00276703"/>
    <w:rsid w:val="0027681C"/>
    <w:rsid w:val="00277FA7"/>
    <w:rsid w:val="00280084"/>
    <w:rsid w:val="002810A5"/>
    <w:rsid w:val="002814CA"/>
    <w:rsid w:val="00281517"/>
    <w:rsid w:val="00281D71"/>
    <w:rsid w:val="0028230B"/>
    <w:rsid w:val="002830D7"/>
    <w:rsid w:val="00285938"/>
    <w:rsid w:val="0028724F"/>
    <w:rsid w:val="002923EE"/>
    <w:rsid w:val="00293737"/>
    <w:rsid w:val="00295707"/>
    <w:rsid w:val="002957A6"/>
    <w:rsid w:val="00295E4E"/>
    <w:rsid w:val="002961D7"/>
    <w:rsid w:val="0029630C"/>
    <w:rsid w:val="0029648B"/>
    <w:rsid w:val="002A0B98"/>
    <w:rsid w:val="002A1766"/>
    <w:rsid w:val="002A278B"/>
    <w:rsid w:val="002A4D1A"/>
    <w:rsid w:val="002A4EC7"/>
    <w:rsid w:val="002A5C96"/>
    <w:rsid w:val="002A5D4A"/>
    <w:rsid w:val="002A6D76"/>
    <w:rsid w:val="002A7A10"/>
    <w:rsid w:val="002B12C2"/>
    <w:rsid w:val="002B13A1"/>
    <w:rsid w:val="002B2D2B"/>
    <w:rsid w:val="002B518A"/>
    <w:rsid w:val="002B5DFB"/>
    <w:rsid w:val="002B63CD"/>
    <w:rsid w:val="002B6571"/>
    <w:rsid w:val="002B6DE1"/>
    <w:rsid w:val="002B7B29"/>
    <w:rsid w:val="002B7CB6"/>
    <w:rsid w:val="002C0079"/>
    <w:rsid w:val="002C091F"/>
    <w:rsid w:val="002C1573"/>
    <w:rsid w:val="002C222F"/>
    <w:rsid w:val="002C3195"/>
    <w:rsid w:val="002C33A3"/>
    <w:rsid w:val="002C5201"/>
    <w:rsid w:val="002C5472"/>
    <w:rsid w:val="002C5513"/>
    <w:rsid w:val="002C5DAE"/>
    <w:rsid w:val="002C6684"/>
    <w:rsid w:val="002D08E7"/>
    <w:rsid w:val="002D1587"/>
    <w:rsid w:val="002D2627"/>
    <w:rsid w:val="002D3367"/>
    <w:rsid w:val="002D4613"/>
    <w:rsid w:val="002D60A6"/>
    <w:rsid w:val="002D6396"/>
    <w:rsid w:val="002D72B0"/>
    <w:rsid w:val="002E271E"/>
    <w:rsid w:val="002E2A72"/>
    <w:rsid w:val="002E2D2A"/>
    <w:rsid w:val="002E45E5"/>
    <w:rsid w:val="002E4C0D"/>
    <w:rsid w:val="002E5385"/>
    <w:rsid w:val="002E5F17"/>
    <w:rsid w:val="002F0B91"/>
    <w:rsid w:val="002F0CD7"/>
    <w:rsid w:val="002F2031"/>
    <w:rsid w:val="002F3B9A"/>
    <w:rsid w:val="002F49C1"/>
    <w:rsid w:val="002F6956"/>
    <w:rsid w:val="002F7ECB"/>
    <w:rsid w:val="00300C34"/>
    <w:rsid w:val="0030192E"/>
    <w:rsid w:val="00301960"/>
    <w:rsid w:val="003029DE"/>
    <w:rsid w:val="00302A7E"/>
    <w:rsid w:val="00302C86"/>
    <w:rsid w:val="003032F8"/>
    <w:rsid w:val="00303DF1"/>
    <w:rsid w:val="00304F91"/>
    <w:rsid w:val="00306340"/>
    <w:rsid w:val="00306EEA"/>
    <w:rsid w:val="003111A2"/>
    <w:rsid w:val="0031272F"/>
    <w:rsid w:val="00315946"/>
    <w:rsid w:val="003162CA"/>
    <w:rsid w:val="00316BBC"/>
    <w:rsid w:val="00317ED1"/>
    <w:rsid w:val="003201AD"/>
    <w:rsid w:val="003217D1"/>
    <w:rsid w:val="00322460"/>
    <w:rsid w:val="00324009"/>
    <w:rsid w:val="00331D83"/>
    <w:rsid w:val="00331E1C"/>
    <w:rsid w:val="00333325"/>
    <w:rsid w:val="0033411C"/>
    <w:rsid w:val="00336A37"/>
    <w:rsid w:val="0034004D"/>
    <w:rsid w:val="0034065F"/>
    <w:rsid w:val="0034259F"/>
    <w:rsid w:val="00342A1F"/>
    <w:rsid w:val="00342D0E"/>
    <w:rsid w:val="00343F5C"/>
    <w:rsid w:val="00352DD1"/>
    <w:rsid w:val="00353DD3"/>
    <w:rsid w:val="00356710"/>
    <w:rsid w:val="00356B6F"/>
    <w:rsid w:val="00356CF1"/>
    <w:rsid w:val="00360143"/>
    <w:rsid w:val="00360BA8"/>
    <w:rsid w:val="00360D02"/>
    <w:rsid w:val="003611B7"/>
    <w:rsid w:val="00361776"/>
    <w:rsid w:val="0036244F"/>
    <w:rsid w:val="00362D3E"/>
    <w:rsid w:val="00362E17"/>
    <w:rsid w:val="0036326D"/>
    <w:rsid w:val="00363785"/>
    <w:rsid w:val="0036445E"/>
    <w:rsid w:val="0036448C"/>
    <w:rsid w:val="00365305"/>
    <w:rsid w:val="00365CBE"/>
    <w:rsid w:val="00365E4F"/>
    <w:rsid w:val="003671A6"/>
    <w:rsid w:val="00367BF4"/>
    <w:rsid w:val="00370D7E"/>
    <w:rsid w:val="00370FC1"/>
    <w:rsid w:val="00372BF0"/>
    <w:rsid w:val="00372D73"/>
    <w:rsid w:val="0037370F"/>
    <w:rsid w:val="00373F2A"/>
    <w:rsid w:val="00376631"/>
    <w:rsid w:val="00377793"/>
    <w:rsid w:val="0038079A"/>
    <w:rsid w:val="003807CC"/>
    <w:rsid w:val="00380986"/>
    <w:rsid w:val="00380E5C"/>
    <w:rsid w:val="00381340"/>
    <w:rsid w:val="00382BCA"/>
    <w:rsid w:val="00383B68"/>
    <w:rsid w:val="00384DFD"/>
    <w:rsid w:val="00385304"/>
    <w:rsid w:val="00385B24"/>
    <w:rsid w:val="00385E7C"/>
    <w:rsid w:val="003862DF"/>
    <w:rsid w:val="003863D0"/>
    <w:rsid w:val="00386CA8"/>
    <w:rsid w:val="00386FB8"/>
    <w:rsid w:val="00387AFB"/>
    <w:rsid w:val="0039000B"/>
    <w:rsid w:val="00390DAD"/>
    <w:rsid w:val="0039266E"/>
    <w:rsid w:val="00392CD9"/>
    <w:rsid w:val="003930E3"/>
    <w:rsid w:val="003971B0"/>
    <w:rsid w:val="003A12E6"/>
    <w:rsid w:val="003A2E29"/>
    <w:rsid w:val="003A3882"/>
    <w:rsid w:val="003A40F1"/>
    <w:rsid w:val="003A44AB"/>
    <w:rsid w:val="003A761A"/>
    <w:rsid w:val="003A7C37"/>
    <w:rsid w:val="003B07B7"/>
    <w:rsid w:val="003B32D3"/>
    <w:rsid w:val="003B36C5"/>
    <w:rsid w:val="003B39C1"/>
    <w:rsid w:val="003B3FC9"/>
    <w:rsid w:val="003B79BF"/>
    <w:rsid w:val="003C1936"/>
    <w:rsid w:val="003C61EB"/>
    <w:rsid w:val="003C6CCA"/>
    <w:rsid w:val="003D1179"/>
    <w:rsid w:val="003D667D"/>
    <w:rsid w:val="003E386F"/>
    <w:rsid w:val="003E48B2"/>
    <w:rsid w:val="003E518E"/>
    <w:rsid w:val="003E5515"/>
    <w:rsid w:val="003E5A24"/>
    <w:rsid w:val="003E5B3A"/>
    <w:rsid w:val="003E6177"/>
    <w:rsid w:val="003E6AAD"/>
    <w:rsid w:val="003F09FB"/>
    <w:rsid w:val="003F1946"/>
    <w:rsid w:val="003F27E7"/>
    <w:rsid w:val="003F32F4"/>
    <w:rsid w:val="003F36F8"/>
    <w:rsid w:val="003F3912"/>
    <w:rsid w:val="003F3B79"/>
    <w:rsid w:val="003F404E"/>
    <w:rsid w:val="003F4623"/>
    <w:rsid w:val="003F52BF"/>
    <w:rsid w:val="003F640E"/>
    <w:rsid w:val="003F6427"/>
    <w:rsid w:val="003F7C3A"/>
    <w:rsid w:val="0040013F"/>
    <w:rsid w:val="004005F3"/>
    <w:rsid w:val="00401BD2"/>
    <w:rsid w:val="00401C65"/>
    <w:rsid w:val="00402574"/>
    <w:rsid w:val="00402934"/>
    <w:rsid w:val="004029F6"/>
    <w:rsid w:val="00402A3E"/>
    <w:rsid w:val="00403518"/>
    <w:rsid w:val="004076A1"/>
    <w:rsid w:val="00410240"/>
    <w:rsid w:val="004114C1"/>
    <w:rsid w:val="00412312"/>
    <w:rsid w:val="00412CE0"/>
    <w:rsid w:val="00414475"/>
    <w:rsid w:val="004174E3"/>
    <w:rsid w:val="00417FC8"/>
    <w:rsid w:val="004204BB"/>
    <w:rsid w:val="00420CF2"/>
    <w:rsid w:val="00421258"/>
    <w:rsid w:val="004213AA"/>
    <w:rsid w:val="004226BC"/>
    <w:rsid w:val="00424D18"/>
    <w:rsid w:val="0042522D"/>
    <w:rsid w:val="00425449"/>
    <w:rsid w:val="004260C2"/>
    <w:rsid w:val="00426ED5"/>
    <w:rsid w:val="00427264"/>
    <w:rsid w:val="004300C3"/>
    <w:rsid w:val="00430426"/>
    <w:rsid w:val="00431099"/>
    <w:rsid w:val="0043111F"/>
    <w:rsid w:val="00433304"/>
    <w:rsid w:val="00434E02"/>
    <w:rsid w:val="00436744"/>
    <w:rsid w:val="00436D3A"/>
    <w:rsid w:val="00436DDB"/>
    <w:rsid w:val="0043792C"/>
    <w:rsid w:val="00437B26"/>
    <w:rsid w:val="00437D9B"/>
    <w:rsid w:val="004409E1"/>
    <w:rsid w:val="00440B27"/>
    <w:rsid w:val="00440FA9"/>
    <w:rsid w:val="0044210B"/>
    <w:rsid w:val="00444EF0"/>
    <w:rsid w:val="00444F38"/>
    <w:rsid w:val="0044521E"/>
    <w:rsid w:val="00445DB8"/>
    <w:rsid w:val="00447736"/>
    <w:rsid w:val="0045012C"/>
    <w:rsid w:val="00450C9A"/>
    <w:rsid w:val="0045125A"/>
    <w:rsid w:val="004525C8"/>
    <w:rsid w:val="00453919"/>
    <w:rsid w:val="00454AC1"/>
    <w:rsid w:val="00454D31"/>
    <w:rsid w:val="004551D9"/>
    <w:rsid w:val="0045529F"/>
    <w:rsid w:val="0045557E"/>
    <w:rsid w:val="00456498"/>
    <w:rsid w:val="0045749D"/>
    <w:rsid w:val="00460F2E"/>
    <w:rsid w:val="004619A5"/>
    <w:rsid w:val="004620EE"/>
    <w:rsid w:val="00462294"/>
    <w:rsid w:val="00462D64"/>
    <w:rsid w:val="00462E45"/>
    <w:rsid w:val="004635A7"/>
    <w:rsid w:val="004635BE"/>
    <w:rsid w:val="0046452D"/>
    <w:rsid w:val="004655D3"/>
    <w:rsid w:val="00465AC9"/>
    <w:rsid w:val="00465D67"/>
    <w:rsid w:val="00467AB9"/>
    <w:rsid w:val="0047043A"/>
    <w:rsid w:val="00470F37"/>
    <w:rsid w:val="0047146C"/>
    <w:rsid w:val="0047255C"/>
    <w:rsid w:val="00473E84"/>
    <w:rsid w:val="0047415B"/>
    <w:rsid w:val="00474364"/>
    <w:rsid w:val="0047477D"/>
    <w:rsid w:val="00474A7D"/>
    <w:rsid w:val="00475927"/>
    <w:rsid w:val="00475A9B"/>
    <w:rsid w:val="00476203"/>
    <w:rsid w:val="00476321"/>
    <w:rsid w:val="0047692A"/>
    <w:rsid w:val="00476BC7"/>
    <w:rsid w:val="00477CF6"/>
    <w:rsid w:val="00477F36"/>
    <w:rsid w:val="0048005F"/>
    <w:rsid w:val="0048126E"/>
    <w:rsid w:val="00481548"/>
    <w:rsid w:val="00481D66"/>
    <w:rsid w:val="00482F84"/>
    <w:rsid w:val="00485FBA"/>
    <w:rsid w:val="00487286"/>
    <w:rsid w:val="0048763C"/>
    <w:rsid w:val="00490A3D"/>
    <w:rsid w:val="00491A5B"/>
    <w:rsid w:val="004922B7"/>
    <w:rsid w:val="004927DE"/>
    <w:rsid w:val="00493A58"/>
    <w:rsid w:val="00493D80"/>
    <w:rsid w:val="004950C7"/>
    <w:rsid w:val="00496056"/>
    <w:rsid w:val="004977ED"/>
    <w:rsid w:val="00497872"/>
    <w:rsid w:val="004A041D"/>
    <w:rsid w:val="004A0FA1"/>
    <w:rsid w:val="004A1409"/>
    <w:rsid w:val="004A171C"/>
    <w:rsid w:val="004A20D2"/>
    <w:rsid w:val="004A24C7"/>
    <w:rsid w:val="004A2D0D"/>
    <w:rsid w:val="004A4112"/>
    <w:rsid w:val="004A6270"/>
    <w:rsid w:val="004A6FC5"/>
    <w:rsid w:val="004A7089"/>
    <w:rsid w:val="004A7C9F"/>
    <w:rsid w:val="004B0021"/>
    <w:rsid w:val="004B1CCE"/>
    <w:rsid w:val="004B2FDD"/>
    <w:rsid w:val="004B4283"/>
    <w:rsid w:val="004B4ED4"/>
    <w:rsid w:val="004B576D"/>
    <w:rsid w:val="004B6CCB"/>
    <w:rsid w:val="004B6CD1"/>
    <w:rsid w:val="004C1C19"/>
    <w:rsid w:val="004C1F03"/>
    <w:rsid w:val="004C34C4"/>
    <w:rsid w:val="004C4933"/>
    <w:rsid w:val="004C5297"/>
    <w:rsid w:val="004C74E5"/>
    <w:rsid w:val="004C793B"/>
    <w:rsid w:val="004C7F60"/>
    <w:rsid w:val="004D007A"/>
    <w:rsid w:val="004D07BA"/>
    <w:rsid w:val="004D2700"/>
    <w:rsid w:val="004D29EC"/>
    <w:rsid w:val="004D2B6D"/>
    <w:rsid w:val="004D3D6C"/>
    <w:rsid w:val="004D5542"/>
    <w:rsid w:val="004D5764"/>
    <w:rsid w:val="004D5F94"/>
    <w:rsid w:val="004E072E"/>
    <w:rsid w:val="004E0CEB"/>
    <w:rsid w:val="004E1E3F"/>
    <w:rsid w:val="004E2888"/>
    <w:rsid w:val="004E348D"/>
    <w:rsid w:val="004E40E1"/>
    <w:rsid w:val="004E4254"/>
    <w:rsid w:val="004E42F4"/>
    <w:rsid w:val="004E4D23"/>
    <w:rsid w:val="004E5F77"/>
    <w:rsid w:val="004E631A"/>
    <w:rsid w:val="004E75D0"/>
    <w:rsid w:val="004F018F"/>
    <w:rsid w:val="004F0309"/>
    <w:rsid w:val="004F0658"/>
    <w:rsid w:val="004F080B"/>
    <w:rsid w:val="004F133C"/>
    <w:rsid w:val="004F1479"/>
    <w:rsid w:val="004F2BC8"/>
    <w:rsid w:val="004F2C0D"/>
    <w:rsid w:val="004F40A6"/>
    <w:rsid w:val="004F4DCA"/>
    <w:rsid w:val="004F55A5"/>
    <w:rsid w:val="004F5E46"/>
    <w:rsid w:val="004F700D"/>
    <w:rsid w:val="0050214A"/>
    <w:rsid w:val="005026F0"/>
    <w:rsid w:val="005029BC"/>
    <w:rsid w:val="00502AF9"/>
    <w:rsid w:val="00502E33"/>
    <w:rsid w:val="00502E84"/>
    <w:rsid w:val="00504E9C"/>
    <w:rsid w:val="005055BA"/>
    <w:rsid w:val="005061B2"/>
    <w:rsid w:val="00506B49"/>
    <w:rsid w:val="00507E6B"/>
    <w:rsid w:val="005126CB"/>
    <w:rsid w:val="00513C26"/>
    <w:rsid w:val="005147AC"/>
    <w:rsid w:val="00514EE9"/>
    <w:rsid w:val="0051535D"/>
    <w:rsid w:val="00515927"/>
    <w:rsid w:val="00515C5E"/>
    <w:rsid w:val="00517754"/>
    <w:rsid w:val="00517968"/>
    <w:rsid w:val="00517A65"/>
    <w:rsid w:val="00520463"/>
    <w:rsid w:val="005226D6"/>
    <w:rsid w:val="0052316F"/>
    <w:rsid w:val="00524022"/>
    <w:rsid w:val="0052520E"/>
    <w:rsid w:val="00525972"/>
    <w:rsid w:val="00525DAD"/>
    <w:rsid w:val="00527200"/>
    <w:rsid w:val="005279E6"/>
    <w:rsid w:val="00530644"/>
    <w:rsid w:val="005306AC"/>
    <w:rsid w:val="005312DC"/>
    <w:rsid w:val="00531637"/>
    <w:rsid w:val="00531EB8"/>
    <w:rsid w:val="00532F0B"/>
    <w:rsid w:val="00533F53"/>
    <w:rsid w:val="00534897"/>
    <w:rsid w:val="0053526A"/>
    <w:rsid w:val="005352D0"/>
    <w:rsid w:val="00535B23"/>
    <w:rsid w:val="00537474"/>
    <w:rsid w:val="00537D33"/>
    <w:rsid w:val="00540751"/>
    <w:rsid w:val="00540E71"/>
    <w:rsid w:val="00542CF3"/>
    <w:rsid w:val="00543122"/>
    <w:rsid w:val="005441C5"/>
    <w:rsid w:val="00544829"/>
    <w:rsid w:val="00544FAC"/>
    <w:rsid w:val="005458AB"/>
    <w:rsid w:val="00546662"/>
    <w:rsid w:val="0054706E"/>
    <w:rsid w:val="00550512"/>
    <w:rsid w:val="00550CDE"/>
    <w:rsid w:val="0055281C"/>
    <w:rsid w:val="005575E6"/>
    <w:rsid w:val="005575F6"/>
    <w:rsid w:val="00561730"/>
    <w:rsid w:val="00561C1D"/>
    <w:rsid w:val="00563882"/>
    <w:rsid w:val="005643A7"/>
    <w:rsid w:val="0056453D"/>
    <w:rsid w:val="00564CC1"/>
    <w:rsid w:val="005654E1"/>
    <w:rsid w:val="00565602"/>
    <w:rsid w:val="00565D48"/>
    <w:rsid w:val="00566CBB"/>
    <w:rsid w:val="00567AEB"/>
    <w:rsid w:val="00567FCB"/>
    <w:rsid w:val="00570775"/>
    <w:rsid w:val="00570CCD"/>
    <w:rsid w:val="005724C4"/>
    <w:rsid w:val="00572746"/>
    <w:rsid w:val="00572CB8"/>
    <w:rsid w:val="00574167"/>
    <w:rsid w:val="00575B8C"/>
    <w:rsid w:val="00575BE6"/>
    <w:rsid w:val="005779D1"/>
    <w:rsid w:val="00580825"/>
    <w:rsid w:val="005831A6"/>
    <w:rsid w:val="00583588"/>
    <w:rsid w:val="00583AFA"/>
    <w:rsid w:val="00583BAF"/>
    <w:rsid w:val="0058430E"/>
    <w:rsid w:val="005844EA"/>
    <w:rsid w:val="005854A4"/>
    <w:rsid w:val="00585B4F"/>
    <w:rsid w:val="00586860"/>
    <w:rsid w:val="005868A1"/>
    <w:rsid w:val="00586D62"/>
    <w:rsid w:val="00586EE1"/>
    <w:rsid w:val="00587025"/>
    <w:rsid w:val="00587127"/>
    <w:rsid w:val="00591659"/>
    <w:rsid w:val="005923DA"/>
    <w:rsid w:val="005944D4"/>
    <w:rsid w:val="005945C5"/>
    <w:rsid w:val="00595B96"/>
    <w:rsid w:val="00596112"/>
    <w:rsid w:val="0059659D"/>
    <w:rsid w:val="00596C47"/>
    <w:rsid w:val="00597A34"/>
    <w:rsid w:val="00597BAB"/>
    <w:rsid w:val="005A0785"/>
    <w:rsid w:val="005A0CF1"/>
    <w:rsid w:val="005A681D"/>
    <w:rsid w:val="005A6BCB"/>
    <w:rsid w:val="005A7702"/>
    <w:rsid w:val="005A7B64"/>
    <w:rsid w:val="005B0985"/>
    <w:rsid w:val="005B111C"/>
    <w:rsid w:val="005B222E"/>
    <w:rsid w:val="005B312F"/>
    <w:rsid w:val="005B3289"/>
    <w:rsid w:val="005B361A"/>
    <w:rsid w:val="005B3AEE"/>
    <w:rsid w:val="005B4224"/>
    <w:rsid w:val="005C0645"/>
    <w:rsid w:val="005C2778"/>
    <w:rsid w:val="005C2A61"/>
    <w:rsid w:val="005C3293"/>
    <w:rsid w:val="005C4B25"/>
    <w:rsid w:val="005C5DAD"/>
    <w:rsid w:val="005C5FCD"/>
    <w:rsid w:val="005C6334"/>
    <w:rsid w:val="005C73CC"/>
    <w:rsid w:val="005D0740"/>
    <w:rsid w:val="005D07F8"/>
    <w:rsid w:val="005D0C2A"/>
    <w:rsid w:val="005D0ECF"/>
    <w:rsid w:val="005D12B4"/>
    <w:rsid w:val="005D161E"/>
    <w:rsid w:val="005D20A6"/>
    <w:rsid w:val="005D2691"/>
    <w:rsid w:val="005D2780"/>
    <w:rsid w:val="005D5005"/>
    <w:rsid w:val="005D62B7"/>
    <w:rsid w:val="005D6AD9"/>
    <w:rsid w:val="005E05CD"/>
    <w:rsid w:val="005E0761"/>
    <w:rsid w:val="005E1CD6"/>
    <w:rsid w:val="005E2C76"/>
    <w:rsid w:val="005E392F"/>
    <w:rsid w:val="005E3E26"/>
    <w:rsid w:val="005E438A"/>
    <w:rsid w:val="005E479F"/>
    <w:rsid w:val="005E7DBA"/>
    <w:rsid w:val="005F353C"/>
    <w:rsid w:val="005F366F"/>
    <w:rsid w:val="005F3D1B"/>
    <w:rsid w:val="005F4F57"/>
    <w:rsid w:val="005F616F"/>
    <w:rsid w:val="005F6403"/>
    <w:rsid w:val="006007F4"/>
    <w:rsid w:val="00600B43"/>
    <w:rsid w:val="00601159"/>
    <w:rsid w:val="00601564"/>
    <w:rsid w:val="006031C0"/>
    <w:rsid w:val="0060470F"/>
    <w:rsid w:val="00606638"/>
    <w:rsid w:val="00606971"/>
    <w:rsid w:val="0060762E"/>
    <w:rsid w:val="00610302"/>
    <w:rsid w:val="00610966"/>
    <w:rsid w:val="00611A79"/>
    <w:rsid w:val="00613016"/>
    <w:rsid w:val="006130FA"/>
    <w:rsid w:val="00613CBF"/>
    <w:rsid w:val="006151E9"/>
    <w:rsid w:val="00616DC2"/>
    <w:rsid w:val="006201C6"/>
    <w:rsid w:val="00620868"/>
    <w:rsid w:val="00622A2B"/>
    <w:rsid w:val="00625051"/>
    <w:rsid w:val="006253A9"/>
    <w:rsid w:val="00626E55"/>
    <w:rsid w:val="00627572"/>
    <w:rsid w:val="00627BFF"/>
    <w:rsid w:val="00630BF2"/>
    <w:rsid w:val="00631741"/>
    <w:rsid w:val="006338CF"/>
    <w:rsid w:val="006343E8"/>
    <w:rsid w:val="00634B31"/>
    <w:rsid w:val="00634C3E"/>
    <w:rsid w:val="00635F26"/>
    <w:rsid w:val="00637F51"/>
    <w:rsid w:val="006407A8"/>
    <w:rsid w:val="006410DE"/>
    <w:rsid w:val="00641186"/>
    <w:rsid w:val="00644CCC"/>
    <w:rsid w:val="00646AD5"/>
    <w:rsid w:val="006471E3"/>
    <w:rsid w:val="00647203"/>
    <w:rsid w:val="00647255"/>
    <w:rsid w:val="00647C98"/>
    <w:rsid w:val="00647D3C"/>
    <w:rsid w:val="006507F1"/>
    <w:rsid w:val="00651030"/>
    <w:rsid w:val="00651B00"/>
    <w:rsid w:val="00653327"/>
    <w:rsid w:val="006539C3"/>
    <w:rsid w:val="00654AF6"/>
    <w:rsid w:val="006557C5"/>
    <w:rsid w:val="00655FCF"/>
    <w:rsid w:val="00656576"/>
    <w:rsid w:val="006576A3"/>
    <w:rsid w:val="00657B67"/>
    <w:rsid w:val="00657CEA"/>
    <w:rsid w:val="00660093"/>
    <w:rsid w:val="00660283"/>
    <w:rsid w:val="00660437"/>
    <w:rsid w:val="00661161"/>
    <w:rsid w:val="0066139F"/>
    <w:rsid w:val="0066227E"/>
    <w:rsid w:val="0066286F"/>
    <w:rsid w:val="00665DF7"/>
    <w:rsid w:val="00665EFA"/>
    <w:rsid w:val="00666C9D"/>
    <w:rsid w:val="006670FF"/>
    <w:rsid w:val="00667471"/>
    <w:rsid w:val="00667497"/>
    <w:rsid w:val="006676C7"/>
    <w:rsid w:val="00667F9B"/>
    <w:rsid w:val="00670ADC"/>
    <w:rsid w:val="00672044"/>
    <w:rsid w:val="0067465E"/>
    <w:rsid w:val="00675623"/>
    <w:rsid w:val="00675B01"/>
    <w:rsid w:val="0068035F"/>
    <w:rsid w:val="0068184E"/>
    <w:rsid w:val="00684698"/>
    <w:rsid w:val="00684AD0"/>
    <w:rsid w:val="00684FC4"/>
    <w:rsid w:val="00685686"/>
    <w:rsid w:val="00685896"/>
    <w:rsid w:val="00685A6E"/>
    <w:rsid w:val="006903BD"/>
    <w:rsid w:val="0069065C"/>
    <w:rsid w:val="00690CAC"/>
    <w:rsid w:val="00690D00"/>
    <w:rsid w:val="00690DF0"/>
    <w:rsid w:val="0069188A"/>
    <w:rsid w:val="00692ACC"/>
    <w:rsid w:val="006935E3"/>
    <w:rsid w:val="00693735"/>
    <w:rsid w:val="006938FB"/>
    <w:rsid w:val="00693ACA"/>
    <w:rsid w:val="00693DC4"/>
    <w:rsid w:val="006960EF"/>
    <w:rsid w:val="00696479"/>
    <w:rsid w:val="00697FB2"/>
    <w:rsid w:val="006A18C8"/>
    <w:rsid w:val="006A43B2"/>
    <w:rsid w:val="006A4696"/>
    <w:rsid w:val="006A5136"/>
    <w:rsid w:val="006A5432"/>
    <w:rsid w:val="006A6757"/>
    <w:rsid w:val="006A793D"/>
    <w:rsid w:val="006B0B3E"/>
    <w:rsid w:val="006B0D7B"/>
    <w:rsid w:val="006B227C"/>
    <w:rsid w:val="006B33C5"/>
    <w:rsid w:val="006B38C7"/>
    <w:rsid w:val="006B41CF"/>
    <w:rsid w:val="006B41F0"/>
    <w:rsid w:val="006B4431"/>
    <w:rsid w:val="006B491C"/>
    <w:rsid w:val="006B6532"/>
    <w:rsid w:val="006C0145"/>
    <w:rsid w:val="006C0807"/>
    <w:rsid w:val="006C28A4"/>
    <w:rsid w:val="006C5493"/>
    <w:rsid w:val="006C58A0"/>
    <w:rsid w:val="006C6460"/>
    <w:rsid w:val="006D0EF2"/>
    <w:rsid w:val="006D0F82"/>
    <w:rsid w:val="006D2078"/>
    <w:rsid w:val="006D28B6"/>
    <w:rsid w:val="006D4735"/>
    <w:rsid w:val="006D4C3C"/>
    <w:rsid w:val="006D5547"/>
    <w:rsid w:val="006D5D6A"/>
    <w:rsid w:val="006D63EA"/>
    <w:rsid w:val="006E1230"/>
    <w:rsid w:val="006E19B4"/>
    <w:rsid w:val="006E2614"/>
    <w:rsid w:val="006E4ED2"/>
    <w:rsid w:val="006E581B"/>
    <w:rsid w:val="006E5C61"/>
    <w:rsid w:val="006E5CBD"/>
    <w:rsid w:val="006E5DE9"/>
    <w:rsid w:val="006E6DCB"/>
    <w:rsid w:val="006E7297"/>
    <w:rsid w:val="006E76F7"/>
    <w:rsid w:val="006F0287"/>
    <w:rsid w:val="006F0612"/>
    <w:rsid w:val="006F1040"/>
    <w:rsid w:val="006F164D"/>
    <w:rsid w:val="006F2E03"/>
    <w:rsid w:val="006F310D"/>
    <w:rsid w:val="006F43E5"/>
    <w:rsid w:val="006F5FEF"/>
    <w:rsid w:val="006F66F1"/>
    <w:rsid w:val="006F6B9C"/>
    <w:rsid w:val="006F7B47"/>
    <w:rsid w:val="006F7E30"/>
    <w:rsid w:val="006F7F28"/>
    <w:rsid w:val="006F7F2D"/>
    <w:rsid w:val="00700637"/>
    <w:rsid w:val="00700A1B"/>
    <w:rsid w:val="00700CFE"/>
    <w:rsid w:val="007013B9"/>
    <w:rsid w:val="007021F6"/>
    <w:rsid w:val="007029E2"/>
    <w:rsid w:val="007040CF"/>
    <w:rsid w:val="00704235"/>
    <w:rsid w:val="0070457E"/>
    <w:rsid w:val="007046E6"/>
    <w:rsid w:val="007057D0"/>
    <w:rsid w:val="007058E9"/>
    <w:rsid w:val="00706AB1"/>
    <w:rsid w:val="00707045"/>
    <w:rsid w:val="007070E9"/>
    <w:rsid w:val="0071048E"/>
    <w:rsid w:val="00710901"/>
    <w:rsid w:val="0071112C"/>
    <w:rsid w:val="00711726"/>
    <w:rsid w:val="00713915"/>
    <w:rsid w:val="00714974"/>
    <w:rsid w:val="00714F96"/>
    <w:rsid w:val="00715E79"/>
    <w:rsid w:val="00716683"/>
    <w:rsid w:val="007166FD"/>
    <w:rsid w:val="0071736D"/>
    <w:rsid w:val="00720893"/>
    <w:rsid w:val="00723193"/>
    <w:rsid w:val="007236B8"/>
    <w:rsid w:val="00723CED"/>
    <w:rsid w:val="00726F4F"/>
    <w:rsid w:val="00727587"/>
    <w:rsid w:val="00731E1B"/>
    <w:rsid w:val="00731EE2"/>
    <w:rsid w:val="00732CDE"/>
    <w:rsid w:val="00733EFC"/>
    <w:rsid w:val="00734127"/>
    <w:rsid w:val="00734296"/>
    <w:rsid w:val="00737426"/>
    <w:rsid w:val="0073746D"/>
    <w:rsid w:val="0074074F"/>
    <w:rsid w:val="00740B07"/>
    <w:rsid w:val="0074131E"/>
    <w:rsid w:val="007413FC"/>
    <w:rsid w:val="00741F4F"/>
    <w:rsid w:val="00742D5A"/>
    <w:rsid w:val="00743052"/>
    <w:rsid w:val="007445C1"/>
    <w:rsid w:val="00744B3D"/>
    <w:rsid w:val="00745658"/>
    <w:rsid w:val="0074612A"/>
    <w:rsid w:val="00746F34"/>
    <w:rsid w:val="00750033"/>
    <w:rsid w:val="007515E6"/>
    <w:rsid w:val="00755AC8"/>
    <w:rsid w:val="007562A6"/>
    <w:rsid w:val="00756A39"/>
    <w:rsid w:val="007571CA"/>
    <w:rsid w:val="00757882"/>
    <w:rsid w:val="00757BC8"/>
    <w:rsid w:val="0076032E"/>
    <w:rsid w:val="007607C6"/>
    <w:rsid w:val="0076087A"/>
    <w:rsid w:val="0076192D"/>
    <w:rsid w:val="0076295D"/>
    <w:rsid w:val="00763DCE"/>
    <w:rsid w:val="00763F24"/>
    <w:rsid w:val="0076441C"/>
    <w:rsid w:val="00766D19"/>
    <w:rsid w:val="007735DF"/>
    <w:rsid w:val="00775499"/>
    <w:rsid w:val="0077560D"/>
    <w:rsid w:val="00775A0F"/>
    <w:rsid w:val="00776D97"/>
    <w:rsid w:val="00777A87"/>
    <w:rsid w:val="0078189A"/>
    <w:rsid w:val="007828C2"/>
    <w:rsid w:val="00782A20"/>
    <w:rsid w:val="007831E3"/>
    <w:rsid w:val="007839CE"/>
    <w:rsid w:val="00783E50"/>
    <w:rsid w:val="00784E31"/>
    <w:rsid w:val="0078552E"/>
    <w:rsid w:val="007864F9"/>
    <w:rsid w:val="00787125"/>
    <w:rsid w:val="00787A98"/>
    <w:rsid w:val="007915B2"/>
    <w:rsid w:val="00791BF3"/>
    <w:rsid w:val="007922FA"/>
    <w:rsid w:val="00792656"/>
    <w:rsid w:val="007929AD"/>
    <w:rsid w:val="00793056"/>
    <w:rsid w:val="007950E7"/>
    <w:rsid w:val="00796430"/>
    <w:rsid w:val="007965EA"/>
    <w:rsid w:val="007A286D"/>
    <w:rsid w:val="007A2CA7"/>
    <w:rsid w:val="007A2EAD"/>
    <w:rsid w:val="007A4720"/>
    <w:rsid w:val="007A5F04"/>
    <w:rsid w:val="007A6885"/>
    <w:rsid w:val="007B134A"/>
    <w:rsid w:val="007B25EB"/>
    <w:rsid w:val="007B29B9"/>
    <w:rsid w:val="007B431F"/>
    <w:rsid w:val="007B4B1F"/>
    <w:rsid w:val="007B4BC4"/>
    <w:rsid w:val="007B6594"/>
    <w:rsid w:val="007B6D13"/>
    <w:rsid w:val="007B71DD"/>
    <w:rsid w:val="007C00BC"/>
    <w:rsid w:val="007C0204"/>
    <w:rsid w:val="007C03B8"/>
    <w:rsid w:val="007C04F1"/>
    <w:rsid w:val="007C0594"/>
    <w:rsid w:val="007C1A4C"/>
    <w:rsid w:val="007C1CB2"/>
    <w:rsid w:val="007C2C19"/>
    <w:rsid w:val="007C3096"/>
    <w:rsid w:val="007C4975"/>
    <w:rsid w:val="007C4DBC"/>
    <w:rsid w:val="007C51CE"/>
    <w:rsid w:val="007C5AC0"/>
    <w:rsid w:val="007C6600"/>
    <w:rsid w:val="007C671E"/>
    <w:rsid w:val="007C796D"/>
    <w:rsid w:val="007D0537"/>
    <w:rsid w:val="007D0E4E"/>
    <w:rsid w:val="007D11FD"/>
    <w:rsid w:val="007D13C3"/>
    <w:rsid w:val="007D18B7"/>
    <w:rsid w:val="007D2118"/>
    <w:rsid w:val="007D23D0"/>
    <w:rsid w:val="007D2CFA"/>
    <w:rsid w:val="007D2E76"/>
    <w:rsid w:val="007D3482"/>
    <w:rsid w:val="007D38CD"/>
    <w:rsid w:val="007D3D09"/>
    <w:rsid w:val="007D4F71"/>
    <w:rsid w:val="007D5013"/>
    <w:rsid w:val="007D57D4"/>
    <w:rsid w:val="007D7791"/>
    <w:rsid w:val="007E157F"/>
    <w:rsid w:val="007E2AE8"/>
    <w:rsid w:val="007E2B51"/>
    <w:rsid w:val="007E6705"/>
    <w:rsid w:val="007E7E57"/>
    <w:rsid w:val="007F0134"/>
    <w:rsid w:val="007F019E"/>
    <w:rsid w:val="007F1645"/>
    <w:rsid w:val="007F310B"/>
    <w:rsid w:val="007F347F"/>
    <w:rsid w:val="007F5C2A"/>
    <w:rsid w:val="007F609C"/>
    <w:rsid w:val="007F6480"/>
    <w:rsid w:val="007F796E"/>
    <w:rsid w:val="00800438"/>
    <w:rsid w:val="00800444"/>
    <w:rsid w:val="00800A7D"/>
    <w:rsid w:val="00800CA6"/>
    <w:rsid w:val="008013D5"/>
    <w:rsid w:val="00802B4A"/>
    <w:rsid w:val="0080374F"/>
    <w:rsid w:val="00804751"/>
    <w:rsid w:val="008051DB"/>
    <w:rsid w:val="008074CF"/>
    <w:rsid w:val="00807B89"/>
    <w:rsid w:val="00807D31"/>
    <w:rsid w:val="0081064F"/>
    <w:rsid w:val="008106CC"/>
    <w:rsid w:val="00810D8E"/>
    <w:rsid w:val="0081105D"/>
    <w:rsid w:val="0081120C"/>
    <w:rsid w:val="00812F21"/>
    <w:rsid w:val="00812F5A"/>
    <w:rsid w:val="0081339A"/>
    <w:rsid w:val="008139E2"/>
    <w:rsid w:val="008147A4"/>
    <w:rsid w:val="00814DDB"/>
    <w:rsid w:val="00815276"/>
    <w:rsid w:val="00816737"/>
    <w:rsid w:val="008170B3"/>
    <w:rsid w:val="00823125"/>
    <w:rsid w:val="008236C4"/>
    <w:rsid w:val="0082498A"/>
    <w:rsid w:val="00824C43"/>
    <w:rsid w:val="00824E21"/>
    <w:rsid w:val="00825399"/>
    <w:rsid w:val="008253E9"/>
    <w:rsid w:val="008255E3"/>
    <w:rsid w:val="00825FE3"/>
    <w:rsid w:val="0082643A"/>
    <w:rsid w:val="00830181"/>
    <w:rsid w:val="008321A5"/>
    <w:rsid w:val="00832357"/>
    <w:rsid w:val="00832B32"/>
    <w:rsid w:val="008333B2"/>
    <w:rsid w:val="00833539"/>
    <w:rsid w:val="008336D7"/>
    <w:rsid w:val="00834296"/>
    <w:rsid w:val="0083478E"/>
    <w:rsid w:val="0083505E"/>
    <w:rsid w:val="0083554E"/>
    <w:rsid w:val="0083569E"/>
    <w:rsid w:val="008357C0"/>
    <w:rsid w:val="00835943"/>
    <w:rsid w:val="008363B0"/>
    <w:rsid w:val="00836FCF"/>
    <w:rsid w:val="008370A0"/>
    <w:rsid w:val="008373B9"/>
    <w:rsid w:val="00837463"/>
    <w:rsid w:val="008376AC"/>
    <w:rsid w:val="00837869"/>
    <w:rsid w:val="00837A50"/>
    <w:rsid w:val="00840D60"/>
    <w:rsid w:val="00841B40"/>
    <w:rsid w:val="00841C48"/>
    <w:rsid w:val="00842377"/>
    <w:rsid w:val="00843069"/>
    <w:rsid w:val="00843567"/>
    <w:rsid w:val="00843C5E"/>
    <w:rsid w:val="00845D28"/>
    <w:rsid w:val="008465B8"/>
    <w:rsid w:val="00846C8E"/>
    <w:rsid w:val="00846D0D"/>
    <w:rsid w:val="0084702A"/>
    <w:rsid w:val="0084771A"/>
    <w:rsid w:val="00847BF6"/>
    <w:rsid w:val="008525E7"/>
    <w:rsid w:val="008528E0"/>
    <w:rsid w:val="00855055"/>
    <w:rsid w:val="008551D3"/>
    <w:rsid w:val="008553F6"/>
    <w:rsid w:val="00855482"/>
    <w:rsid w:val="00855BF8"/>
    <w:rsid w:val="008564BB"/>
    <w:rsid w:val="0085736C"/>
    <w:rsid w:val="00860990"/>
    <w:rsid w:val="00860B00"/>
    <w:rsid w:val="00861331"/>
    <w:rsid w:val="0086157E"/>
    <w:rsid w:val="008628A2"/>
    <w:rsid w:val="00862911"/>
    <w:rsid w:val="00863706"/>
    <w:rsid w:val="0086429B"/>
    <w:rsid w:val="0086585D"/>
    <w:rsid w:val="008660E9"/>
    <w:rsid w:val="00866746"/>
    <w:rsid w:val="00870380"/>
    <w:rsid w:val="00872113"/>
    <w:rsid w:val="008721C0"/>
    <w:rsid w:val="008727ED"/>
    <w:rsid w:val="00872A9E"/>
    <w:rsid w:val="00873C5C"/>
    <w:rsid w:val="00875739"/>
    <w:rsid w:val="00875A00"/>
    <w:rsid w:val="00875BDB"/>
    <w:rsid w:val="00875FD0"/>
    <w:rsid w:val="0087711F"/>
    <w:rsid w:val="00880547"/>
    <w:rsid w:val="00881980"/>
    <w:rsid w:val="00882CF5"/>
    <w:rsid w:val="00882F6F"/>
    <w:rsid w:val="008863E5"/>
    <w:rsid w:val="008872DB"/>
    <w:rsid w:val="00887459"/>
    <w:rsid w:val="008915F8"/>
    <w:rsid w:val="008919EA"/>
    <w:rsid w:val="00891BBE"/>
    <w:rsid w:val="00891F43"/>
    <w:rsid w:val="00891FD5"/>
    <w:rsid w:val="00892831"/>
    <w:rsid w:val="008931F1"/>
    <w:rsid w:val="0089375B"/>
    <w:rsid w:val="0089614A"/>
    <w:rsid w:val="008965FF"/>
    <w:rsid w:val="0089670E"/>
    <w:rsid w:val="008A02E3"/>
    <w:rsid w:val="008A080D"/>
    <w:rsid w:val="008A0FDF"/>
    <w:rsid w:val="008A1D8B"/>
    <w:rsid w:val="008A256C"/>
    <w:rsid w:val="008A4558"/>
    <w:rsid w:val="008A5904"/>
    <w:rsid w:val="008A6B29"/>
    <w:rsid w:val="008A6BD2"/>
    <w:rsid w:val="008B06B9"/>
    <w:rsid w:val="008B0B33"/>
    <w:rsid w:val="008B15C3"/>
    <w:rsid w:val="008B2D71"/>
    <w:rsid w:val="008B31AA"/>
    <w:rsid w:val="008B3567"/>
    <w:rsid w:val="008B4463"/>
    <w:rsid w:val="008C1B20"/>
    <w:rsid w:val="008C2346"/>
    <w:rsid w:val="008C285C"/>
    <w:rsid w:val="008C3A0B"/>
    <w:rsid w:val="008C3B14"/>
    <w:rsid w:val="008C4509"/>
    <w:rsid w:val="008C5135"/>
    <w:rsid w:val="008C52B2"/>
    <w:rsid w:val="008C5BEC"/>
    <w:rsid w:val="008C65B4"/>
    <w:rsid w:val="008C6CDA"/>
    <w:rsid w:val="008C7270"/>
    <w:rsid w:val="008C7430"/>
    <w:rsid w:val="008C75CD"/>
    <w:rsid w:val="008C78A0"/>
    <w:rsid w:val="008C7E8B"/>
    <w:rsid w:val="008D2584"/>
    <w:rsid w:val="008D2653"/>
    <w:rsid w:val="008D349F"/>
    <w:rsid w:val="008D46C1"/>
    <w:rsid w:val="008D4B1F"/>
    <w:rsid w:val="008D4F83"/>
    <w:rsid w:val="008D5527"/>
    <w:rsid w:val="008D5A42"/>
    <w:rsid w:val="008D7DA7"/>
    <w:rsid w:val="008E0E19"/>
    <w:rsid w:val="008E156D"/>
    <w:rsid w:val="008E1F19"/>
    <w:rsid w:val="008E2A48"/>
    <w:rsid w:val="008E3CE5"/>
    <w:rsid w:val="008E3DB1"/>
    <w:rsid w:val="008E4597"/>
    <w:rsid w:val="008E4704"/>
    <w:rsid w:val="008E617F"/>
    <w:rsid w:val="008E75DB"/>
    <w:rsid w:val="008F0CB1"/>
    <w:rsid w:val="008F122E"/>
    <w:rsid w:val="008F1596"/>
    <w:rsid w:val="008F1B69"/>
    <w:rsid w:val="008F1DEF"/>
    <w:rsid w:val="008F25A4"/>
    <w:rsid w:val="008F2A97"/>
    <w:rsid w:val="008F5CA8"/>
    <w:rsid w:val="008F6FBA"/>
    <w:rsid w:val="008F7BC7"/>
    <w:rsid w:val="0090133C"/>
    <w:rsid w:val="00901D6E"/>
    <w:rsid w:val="0090239A"/>
    <w:rsid w:val="009024EF"/>
    <w:rsid w:val="009028AD"/>
    <w:rsid w:val="00903911"/>
    <w:rsid w:val="00904140"/>
    <w:rsid w:val="009042F6"/>
    <w:rsid w:val="00904B4B"/>
    <w:rsid w:val="00904C76"/>
    <w:rsid w:val="00905F91"/>
    <w:rsid w:val="00906300"/>
    <w:rsid w:val="00906AB2"/>
    <w:rsid w:val="00907B08"/>
    <w:rsid w:val="00907D54"/>
    <w:rsid w:val="00910561"/>
    <w:rsid w:val="009109E8"/>
    <w:rsid w:val="00912489"/>
    <w:rsid w:val="009125C1"/>
    <w:rsid w:val="00912AC1"/>
    <w:rsid w:val="00914AF8"/>
    <w:rsid w:val="00915EAD"/>
    <w:rsid w:val="009166EB"/>
    <w:rsid w:val="00920D9A"/>
    <w:rsid w:val="009214A6"/>
    <w:rsid w:val="00922542"/>
    <w:rsid w:val="00923A19"/>
    <w:rsid w:val="0092469E"/>
    <w:rsid w:val="00925177"/>
    <w:rsid w:val="009267A2"/>
    <w:rsid w:val="00926D52"/>
    <w:rsid w:val="00927E12"/>
    <w:rsid w:val="00930E51"/>
    <w:rsid w:val="00932148"/>
    <w:rsid w:val="00933ECA"/>
    <w:rsid w:val="00934E76"/>
    <w:rsid w:val="00935993"/>
    <w:rsid w:val="00937AC5"/>
    <w:rsid w:val="00940BDC"/>
    <w:rsid w:val="009415BB"/>
    <w:rsid w:val="009415C8"/>
    <w:rsid w:val="00941879"/>
    <w:rsid w:val="00943732"/>
    <w:rsid w:val="0094631D"/>
    <w:rsid w:val="00947245"/>
    <w:rsid w:val="009476F2"/>
    <w:rsid w:val="0094787F"/>
    <w:rsid w:val="00950042"/>
    <w:rsid w:val="009506C3"/>
    <w:rsid w:val="00952705"/>
    <w:rsid w:val="00952953"/>
    <w:rsid w:val="00953493"/>
    <w:rsid w:val="0095389C"/>
    <w:rsid w:val="00953AE2"/>
    <w:rsid w:val="0095449E"/>
    <w:rsid w:val="00954B8B"/>
    <w:rsid w:val="00956C05"/>
    <w:rsid w:val="00957310"/>
    <w:rsid w:val="00957A05"/>
    <w:rsid w:val="00957C0E"/>
    <w:rsid w:val="00960A84"/>
    <w:rsid w:val="009612B6"/>
    <w:rsid w:val="00962ACC"/>
    <w:rsid w:val="0096319F"/>
    <w:rsid w:val="00964318"/>
    <w:rsid w:val="00964D6D"/>
    <w:rsid w:val="009665B4"/>
    <w:rsid w:val="009668B5"/>
    <w:rsid w:val="009672FC"/>
    <w:rsid w:val="009702CE"/>
    <w:rsid w:val="0097073B"/>
    <w:rsid w:val="00970C83"/>
    <w:rsid w:val="00972347"/>
    <w:rsid w:val="00972ADA"/>
    <w:rsid w:val="00972E77"/>
    <w:rsid w:val="00973388"/>
    <w:rsid w:val="0097377A"/>
    <w:rsid w:val="00973D0B"/>
    <w:rsid w:val="009745A5"/>
    <w:rsid w:val="00974915"/>
    <w:rsid w:val="009762B4"/>
    <w:rsid w:val="009763DB"/>
    <w:rsid w:val="009771F2"/>
    <w:rsid w:val="0098030E"/>
    <w:rsid w:val="00980E76"/>
    <w:rsid w:val="009826AA"/>
    <w:rsid w:val="00985E4A"/>
    <w:rsid w:val="00987059"/>
    <w:rsid w:val="00987E92"/>
    <w:rsid w:val="009915AE"/>
    <w:rsid w:val="00991945"/>
    <w:rsid w:val="00991FA7"/>
    <w:rsid w:val="00992491"/>
    <w:rsid w:val="009926EC"/>
    <w:rsid w:val="00992A81"/>
    <w:rsid w:val="00993146"/>
    <w:rsid w:val="00993CA7"/>
    <w:rsid w:val="00995DE4"/>
    <w:rsid w:val="0099663C"/>
    <w:rsid w:val="00996ABD"/>
    <w:rsid w:val="0099745A"/>
    <w:rsid w:val="0099784A"/>
    <w:rsid w:val="009A033D"/>
    <w:rsid w:val="009A0705"/>
    <w:rsid w:val="009A225C"/>
    <w:rsid w:val="009A3564"/>
    <w:rsid w:val="009A3809"/>
    <w:rsid w:val="009A3830"/>
    <w:rsid w:val="009A5F73"/>
    <w:rsid w:val="009A6179"/>
    <w:rsid w:val="009A64B9"/>
    <w:rsid w:val="009B0128"/>
    <w:rsid w:val="009B0B32"/>
    <w:rsid w:val="009B1678"/>
    <w:rsid w:val="009B3B9F"/>
    <w:rsid w:val="009B4CA8"/>
    <w:rsid w:val="009B528B"/>
    <w:rsid w:val="009B5A47"/>
    <w:rsid w:val="009B5CB5"/>
    <w:rsid w:val="009B5E85"/>
    <w:rsid w:val="009B773A"/>
    <w:rsid w:val="009C044B"/>
    <w:rsid w:val="009C2611"/>
    <w:rsid w:val="009C3881"/>
    <w:rsid w:val="009C3B23"/>
    <w:rsid w:val="009C527B"/>
    <w:rsid w:val="009C671E"/>
    <w:rsid w:val="009C7CA0"/>
    <w:rsid w:val="009D1C14"/>
    <w:rsid w:val="009D3140"/>
    <w:rsid w:val="009D3410"/>
    <w:rsid w:val="009D5527"/>
    <w:rsid w:val="009D58F7"/>
    <w:rsid w:val="009D7250"/>
    <w:rsid w:val="009D7336"/>
    <w:rsid w:val="009D7A36"/>
    <w:rsid w:val="009E0FF2"/>
    <w:rsid w:val="009E1069"/>
    <w:rsid w:val="009E2244"/>
    <w:rsid w:val="009E25DD"/>
    <w:rsid w:val="009E439B"/>
    <w:rsid w:val="009E52BE"/>
    <w:rsid w:val="009E6187"/>
    <w:rsid w:val="009E675D"/>
    <w:rsid w:val="009E69A7"/>
    <w:rsid w:val="009E7131"/>
    <w:rsid w:val="009E7EA1"/>
    <w:rsid w:val="009F10CE"/>
    <w:rsid w:val="009F3E62"/>
    <w:rsid w:val="009F5CD2"/>
    <w:rsid w:val="009F7266"/>
    <w:rsid w:val="00A00583"/>
    <w:rsid w:val="00A0231E"/>
    <w:rsid w:val="00A02656"/>
    <w:rsid w:val="00A02813"/>
    <w:rsid w:val="00A037A3"/>
    <w:rsid w:val="00A03C75"/>
    <w:rsid w:val="00A060E0"/>
    <w:rsid w:val="00A065C6"/>
    <w:rsid w:val="00A06947"/>
    <w:rsid w:val="00A1038B"/>
    <w:rsid w:val="00A11ED2"/>
    <w:rsid w:val="00A12ED8"/>
    <w:rsid w:val="00A1526C"/>
    <w:rsid w:val="00A15C47"/>
    <w:rsid w:val="00A20134"/>
    <w:rsid w:val="00A201A9"/>
    <w:rsid w:val="00A2076B"/>
    <w:rsid w:val="00A2202F"/>
    <w:rsid w:val="00A22805"/>
    <w:rsid w:val="00A228F9"/>
    <w:rsid w:val="00A23BD7"/>
    <w:rsid w:val="00A23DD0"/>
    <w:rsid w:val="00A2454D"/>
    <w:rsid w:val="00A24C65"/>
    <w:rsid w:val="00A24F2B"/>
    <w:rsid w:val="00A2567B"/>
    <w:rsid w:val="00A265FD"/>
    <w:rsid w:val="00A26855"/>
    <w:rsid w:val="00A26862"/>
    <w:rsid w:val="00A27474"/>
    <w:rsid w:val="00A31007"/>
    <w:rsid w:val="00A32725"/>
    <w:rsid w:val="00A35AB4"/>
    <w:rsid w:val="00A36343"/>
    <w:rsid w:val="00A402E3"/>
    <w:rsid w:val="00A403DC"/>
    <w:rsid w:val="00A40666"/>
    <w:rsid w:val="00A40793"/>
    <w:rsid w:val="00A407CE"/>
    <w:rsid w:val="00A40C7A"/>
    <w:rsid w:val="00A40CA0"/>
    <w:rsid w:val="00A4156A"/>
    <w:rsid w:val="00A428BE"/>
    <w:rsid w:val="00A43E18"/>
    <w:rsid w:val="00A47FF2"/>
    <w:rsid w:val="00A51195"/>
    <w:rsid w:val="00A51D98"/>
    <w:rsid w:val="00A5376D"/>
    <w:rsid w:val="00A53945"/>
    <w:rsid w:val="00A55127"/>
    <w:rsid w:val="00A55F38"/>
    <w:rsid w:val="00A56A8C"/>
    <w:rsid w:val="00A61DDB"/>
    <w:rsid w:val="00A620A0"/>
    <w:rsid w:val="00A627E0"/>
    <w:rsid w:val="00A637B4"/>
    <w:rsid w:val="00A64839"/>
    <w:rsid w:val="00A658E1"/>
    <w:rsid w:val="00A659DB"/>
    <w:rsid w:val="00A66633"/>
    <w:rsid w:val="00A66DB4"/>
    <w:rsid w:val="00A67D3A"/>
    <w:rsid w:val="00A70CC4"/>
    <w:rsid w:val="00A71632"/>
    <w:rsid w:val="00A71CEC"/>
    <w:rsid w:val="00A720A9"/>
    <w:rsid w:val="00A73696"/>
    <w:rsid w:val="00A74D2B"/>
    <w:rsid w:val="00A80332"/>
    <w:rsid w:val="00A80805"/>
    <w:rsid w:val="00A80BE7"/>
    <w:rsid w:val="00A82A54"/>
    <w:rsid w:val="00A83F5A"/>
    <w:rsid w:val="00A84C16"/>
    <w:rsid w:val="00A857EF"/>
    <w:rsid w:val="00A85C4A"/>
    <w:rsid w:val="00A86BCE"/>
    <w:rsid w:val="00A874C8"/>
    <w:rsid w:val="00A87CA0"/>
    <w:rsid w:val="00A91732"/>
    <w:rsid w:val="00A91AEE"/>
    <w:rsid w:val="00A927E3"/>
    <w:rsid w:val="00A92A76"/>
    <w:rsid w:val="00A92DC0"/>
    <w:rsid w:val="00A92EFD"/>
    <w:rsid w:val="00A954C4"/>
    <w:rsid w:val="00A957D7"/>
    <w:rsid w:val="00A961EE"/>
    <w:rsid w:val="00A9671C"/>
    <w:rsid w:val="00A96A3A"/>
    <w:rsid w:val="00A97369"/>
    <w:rsid w:val="00A9765A"/>
    <w:rsid w:val="00AA1A03"/>
    <w:rsid w:val="00AA2E14"/>
    <w:rsid w:val="00AA4467"/>
    <w:rsid w:val="00AA5D1A"/>
    <w:rsid w:val="00AA5E5B"/>
    <w:rsid w:val="00AA6896"/>
    <w:rsid w:val="00AA7021"/>
    <w:rsid w:val="00AA716B"/>
    <w:rsid w:val="00AB1EBC"/>
    <w:rsid w:val="00AB2325"/>
    <w:rsid w:val="00AB2BB7"/>
    <w:rsid w:val="00AB3ABD"/>
    <w:rsid w:val="00AB4031"/>
    <w:rsid w:val="00AB467D"/>
    <w:rsid w:val="00AB49AF"/>
    <w:rsid w:val="00AB4C3F"/>
    <w:rsid w:val="00AB68D4"/>
    <w:rsid w:val="00AC06AD"/>
    <w:rsid w:val="00AC0D9A"/>
    <w:rsid w:val="00AC35F6"/>
    <w:rsid w:val="00AC3854"/>
    <w:rsid w:val="00AC3D70"/>
    <w:rsid w:val="00AC4763"/>
    <w:rsid w:val="00AC4C69"/>
    <w:rsid w:val="00AC6C3B"/>
    <w:rsid w:val="00AC7273"/>
    <w:rsid w:val="00AD089C"/>
    <w:rsid w:val="00AD08CB"/>
    <w:rsid w:val="00AD202E"/>
    <w:rsid w:val="00AD2263"/>
    <w:rsid w:val="00AD3801"/>
    <w:rsid w:val="00AD44B6"/>
    <w:rsid w:val="00AD50CB"/>
    <w:rsid w:val="00AD53C7"/>
    <w:rsid w:val="00AD67D1"/>
    <w:rsid w:val="00AD6F28"/>
    <w:rsid w:val="00AD7874"/>
    <w:rsid w:val="00AD7F62"/>
    <w:rsid w:val="00AD7F6B"/>
    <w:rsid w:val="00AE019E"/>
    <w:rsid w:val="00AE0441"/>
    <w:rsid w:val="00AE0773"/>
    <w:rsid w:val="00AE096F"/>
    <w:rsid w:val="00AE1EA7"/>
    <w:rsid w:val="00AE23AB"/>
    <w:rsid w:val="00AE2AB0"/>
    <w:rsid w:val="00AE330D"/>
    <w:rsid w:val="00AE4AC9"/>
    <w:rsid w:val="00AE5458"/>
    <w:rsid w:val="00AE607A"/>
    <w:rsid w:val="00AE65B5"/>
    <w:rsid w:val="00AE673B"/>
    <w:rsid w:val="00AF0EBB"/>
    <w:rsid w:val="00AF1D8E"/>
    <w:rsid w:val="00AF6085"/>
    <w:rsid w:val="00AF7086"/>
    <w:rsid w:val="00AF76E8"/>
    <w:rsid w:val="00AF7735"/>
    <w:rsid w:val="00AF7D33"/>
    <w:rsid w:val="00AF7D62"/>
    <w:rsid w:val="00B00777"/>
    <w:rsid w:val="00B02B22"/>
    <w:rsid w:val="00B04F6A"/>
    <w:rsid w:val="00B04FBC"/>
    <w:rsid w:val="00B05452"/>
    <w:rsid w:val="00B06281"/>
    <w:rsid w:val="00B06B8C"/>
    <w:rsid w:val="00B06E2E"/>
    <w:rsid w:val="00B0732A"/>
    <w:rsid w:val="00B074DA"/>
    <w:rsid w:val="00B07729"/>
    <w:rsid w:val="00B07F0B"/>
    <w:rsid w:val="00B10008"/>
    <w:rsid w:val="00B11D27"/>
    <w:rsid w:val="00B12616"/>
    <w:rsid w:val="00B137AE"/>
    <w:rsid w:val="00B138BA"/>
    <w:rsid w:val="00B14D65"/>
    <w:rsid w:val="00B163FA"/>
    <w:rsid w:val="00B173DF"/>
    <w:rsid w:val="00B20862"/>
    <w:rsid w:val="00B20883"/>
    <w:rsid w:val="00B2129B"/>
    <w:rsid w:val="00B21486"/>
    <w:rsid w:val="00B223C4"/>
    <w:rsid w:val="00B22B51"/>
    <w:rsid w:val="00B22C5B"/>
    <w:rsid w:val="00B26332"/>
    <w:rsid w:val="00B2729D"/>
    <w:rsid w:val="00B27FC2"/>
    <w:rsid w:val="00B30617"/>
    <w:rsid w:val="00B30AD8"/>
    <w:rsid w:val="00B31E6B"/>
    <w:rsid w:val="00B33912"/>
    <w:rsid w:val="00B354E4"/>
    <w:rsid w:val="00B357A3"/>
    <w:rsid w:val="00B35C26"/>
    <w:rsid w:val="00B35CB7"/>
    <w:rsid w:val="00B3623D"/>
    <w:rsid w:val="00B37BCC"/>
    <w:rsid w:val="00B401DE"/>
    <w:rsid w:val="00B40288"/>
    <w:rsid w:val="00B415EA"/>
    <w:rsid w:val="00B42860"/>
    <w:rsid w:val="00B4312E"/>
    <w:rsid w:val="00B433B3"/>
    <w:rsid w:val="00B43A25"/>
    <w:rsid w:val="00B44289"/>
    <w:rsid w:val="00B44B39"/>
    <w:rsid w:val="00B4781F"/>
    <w:rsid w:val="00B504C8"/>
    <w:rsid w:val="00B504F8"/>
    <w:rsid w:val="00B50531"/>
    <w:rsid w:val="00B50FEC"/>
    <w:rsid w:val="00B51700"/>
    <w:rsid w:val="00B518F7"/>
    <w:rsid w:val="00B5253A"/>
    <w:rsid w:val="00B52BDC"/>
    <w:rsid w:val="00B52D21"/>
    <w:rsid w:val="00B53A47"/>
    <w:rsid w:val="00B53E6F"/>
    <w:rsid w:val="00B54BB2"/>
    <w:rsid w:val="00B55A88"/>
    <w:rsid w:val="00B56DE8"/>
    <w:rsid w:val="00B57871"/>
    <w:rsid w:val="00B60611"/>
    <w:rsid w:val="00B62322"/>
    <w:rsid w:val="00B656CC"/>
    <w:rsid w:val="00B65BC4"/>
    <w:rsid w:val="00B66891"/>
    <w:rsid w:val="00B669E5"/>
    <w:rsid w:val="00B67E51"/>
    <w:rsid w:val="00B704CE"/>
    <w:rsid w:val="00B718B8"/>
    <w:rsid w:val="00B7232A"/>
    <w:rsid w:val="00B728D0"/>
    <w:rsid w:val="00B72968"/>
    <w:rsid w:val="00B73CF1"/>
    <w:rsid w:val="00B73E65"/>
    <w:rsid w:val="00B74FB6"/>
    <w:rsid w:val="00B76856"/>
    <w:rsid w:val="00B76D99"/>
    <w:rsid w:val="00B778AC"/>
    <w:rsid w:val="00B77AA4"/>
    <w:rsid w:val="00B8034C"/>
    <w:rsid w:val="00B80D05"/>
    <w:rsid w:val="00B82A7F"/>
    <w:rsid w:val="00B82CBC"/>
    <w:rsid w:val="00B82D20"/>
    <w:rsid w:val="00B85ED0"/>
    <w:rsid w:val="00B86744"/>
    <w:rsid w:val="00B9016F"/>
    <w:rsid w:val="00B91C2F"/>
    <w:rsid w:val="00B9312D"/>
    <w:rsid w:val="00B93430"/>
    <w:rsid w:val="00B95984"/>
    <w:rsid w:val="00B95CAF"/>
    <w:rsid w:val="00B95EBA"/>
    <w:rsid w:val="00B96BAC"/>
    <w:rsid w:val="00B97101"/>
    <w:rsid w:val="00B974D5"/>
    <w:rsid w:val="00B97FCE"/>
    <w:rsid w:val="00B97FF6"/>
    <w:rsid w:val="00BA104A"/>
    <w:rsid w:val="00BA1878"/>
    <w:rsid w:val="00BA2DB9"/>
    <w:rsid w:val="00BA335A"/>
    <w:rsid w:val="00BA34C5"/>
    <w:rsid w:val="00BA46B2"/>
    <w:rsid w:val="00BA661A"/>
    <w:rsid w:val="00BB032E"/>
    <w:rsid w:val="00BB0CFD"/>
    <w:rsid w:val="00BB1865"/>
    <w:rsid w:val="00BB18E4"/>
    <w:rsid w:val="00BB25B2"/>
    <w:rsid w:val="00BB2F05"/>
    <w:rsid w:val="00BB3B1C"/>
    <w:rsid w:val="00BB3E08"/>
    <w:rsid w:val="00BB4533"/>
    <w:rsid w:val="00BB5738"/>
    <w:rsid w:val="00BB7506"/>
    <w:rsid w:val="00BB7605"/>
    <w:rsid w:val="00BC07FD"/>
    <w:rsid w:val="00BC1BC1"/>
    <w:rsid w:val="00BC2909"/>
    <w:rsid w:val="00BC357B"/>
    <w:rsid w:val="00BC3B10"/>
    <w:rsid w:val="00BC41FE"/>
    <w:rsid w:val="00BC4664"/>
    <w:rsid w:val="00BC47DC"/>
    <w:rsid w:val="00BC4BFB"/>
    <w:rsid w:val="00BC4FEB"/>
    <w:rsid w:val="00BC50BF"/>
    <w:rsid w:val="00BC52BC"/>
    <w:rsid w:val="00BC625F"/>
    <w:rsid w:val="00BC6379"/>
    <w:rsid w:val="00BC6E4C"/>
    <w:rsid w:val="00BC6E64"/>
    <w:rsid w:val="00BC6F2A"/>
    <w:rsid w:val="00BD0CA2"/>
    <w:rsid w:val="00BD6EB4"/>
    <w:rsid w:val="00BD70D2"/>
    <w:rsid w:val="00BE191D"/>
    <w:rsid w:val="00BE1A90"/>
    <w:rsid w:val="00BE2B14"/>
    <w:rsid w:val="00BE58AF"/>
    <w:rsid w:val="00BE5B40"/>
    <w:rsid w:val="00BE6404"/>
    <w:rsid w:val="00BE67C0"/>
    <w:rsid w:val="00BE6ABD"/>
    <w:rsid w:val="00BE6C48"/>
    <w:rsid w:val="00BE7F60"/>
    <w:rsid w:val="00BF01DB"/>
    <w:rsid w:val="00BF137D"/>
    <w:rsid w:val="00BF1D34"/>
    <w:rsid w:val="00BF393B"/>
    <w:rsid w:val="00BF3C97"/>
    <w:rsid w:val="00BF4638"/>
    <w:rsid w:val="00BF4643"/>
    <w:rsid w:val="00BF4A4C"/>
    <w:rsid w:val="00BF529D"/>
    <w:rsid w:val="00BF588F"/>
    <w:rsid w:val="00BF5B23"/>
    <w:rsid w:val="00BF742F"/>
    <w:rsid w:val="00BF79DF"/>
    <w:rsid w:val="00BF7DA8"/>
    <w:rsid w:val="00C004B5"/>
    <w:rsid w:val="00C01C1A"/>
    <w:rsid w:val="00C01E9A"/>
    <w:rsid w:val="00C02A3E"/>
    <w:rsid w:val="00C03695"/>
    <w:rsid w:val="00C03C0F"/>
    <w:rsid w:val="00C04C53"/>
    <w:rsid w:val="00C0564E"/>
    <w:rsid w:val="00C07541"/>
    <w:rsid w:val="00C105D2"/>
    <w:rsid w:val="00C106DC"/>
    <w:rsid w:val="00C1098D"/>
    <w:rsid w:val="00C1099F"/>
    <w:rsid w:val="00C10D9B"/>
    <w:rsid w:val="00C1113B"/>
    <w:rsid w:val="00C1258F"/>
    <w:rsid w:val="00C13341"/>
    <w:rsid w:val="00C13A4D"/>
    <w:rsid w:val="00C13AF5"/>
    <w:rsid w:val="00C157F0"/>
    <w:rsid w:val="00C15CED"/>
    <w:rsid w:val="00C15CEE"/>
    <w:rsid w:val="00C1719D"/>
    <w:rsid w:val="00C207D6"/>
    <w:rsid w:val="00C20AA9"/>
    <w:rsid w:val="00C23193"/>
    <w:rsid w:val="00C23BC9"/>
    <w:rsid w:val="00C23CC2"/>
    <w:rsid w:val="00C23CDB"/>
    <w:rsid w:val="00C24441"/>
    <w:rsid w:val="00C25661"/>
    <w:rsid w:val="00C2616C"/>
    <w:rsid w:val="00C277CF"/>
    <w:rsid w:val="00C31242"/>
    <w:rsid w:val="00C31E8B"/>
    <w:rsid w:val="00C31F1C"/>
    <w:rsid w:val="00C3233F"/>
    <w:rsid w:val="00C329F4"/>
    <w:rsid w:val="00C34610"/>
    <w:rsid w:val="00C348AD"/>
    <w:rsid w:val="00C34CB3"/>
    <w:rsid w:val="00C34EF2"/>
    <w:rsid w:val="00C35AE5"/>
    <w:rsid w:val="00C372EC"/>
    <w:rsid w:val="00C3761D"/>
    <w:rsid w:val="00C40B96"/>
    <w:rsid w:val="00C42113"/>
    <w:rsid w:val="00C42167"/>
    <w:rsid w:val="00C4257A"/>
    <w:rsid w:val="00C4351E"/>
    <w:rsid w:val="00C43813"/>
    <w:rsid w:val="00C44016"/>
    <w:rsid w:val="00C45228"/>
    <w:rsid w:val="00C455B8"/>
    <w:rsid w:val="00C45881"/>
    <w:rsid w:val="00C46E0B"/>
    <w:rsid w:val="00C47B65"/>
    <w:rsid w:val="00C50F55"/>
    <w:rsid w:val="00C5258F"/>
    <w:rsid w:val="00C53266"/>
    <w:rsid w:val="00C5412D"/>
    <w:rsid w:val="00C545C5"/>
    <w:rsid w:val="00C54C6E"/>
    <w:rsid w:val="00C54CD1"/>
    <w:rsid w:val="00C55487"/>
    <w:rsid w:val="00C57F0A"/>
    <w:rsid w:val="00C60B6B"/>
    <w:rsid w:val="00C61645"/>
    <w:rsid w:val="00C62BCD"/>
    <w:rsid w:val="00C63DE3"/>
    <w:rsid w:val="00C64428"/>
    <w:rsid w:val="00C644E4"/>
    <w:rsid w:val="00C64789"/>
    <w:rsid w:val="00C64EB9"/>
    <w:rsid w:val="00C659D6"/>
    <w:rsid w:val="00C65D97"/>
    <w:rsid w:val="00C71B3D"/>
    <w:rsid w:val="00C731CF"/>
    <w:rsid w:val="00C7434A"/>
    <w:rsid w:val="00C74DEA"/>
    <w:rsid w:val="00C7630B"/>
    <w:rsid w:val="00C76FE5"/>
    <w:rsid w:val="00C81326"/>
    <w:rsid w:val="00C81B8F"/>
    <w:rsid w:val="00C81BD6"/>
    <w:rsid w:val="00C81D92"/>
    <w:rsid w:val="00C82633"/>
    <w:rsid w:val="00C8355A"/>
    <w:rsid w:val="00C83749"/>
    <w:rsid w:val="00C83C4A"/>
    <w:rsid w:val="00C83D8E"/>
    <w:rsid w:val="00C84668"/>
    <w:rsid w:val="00C849AE"/>
    <w:rsid w:val="00C865EE"/>
    <w:rsid w:val="00C86A20"/>
    <w:rsid w:val="00C86E32"/>
    <w:rsid w:val="00C87446"/>
    <w:rsid w:val="00C87F35"/>
    <w:rsid w:val="00C90B23"/>
    <w:rsid w:val="00C90B4F"/>
    <w:rsid w:val="00C935D9"/>
    <w:rsid w:val="00C93B4D"/>
    <w:rsid w:val="00C9473A"/>
    <w:rsid w:val="00C94BF1"/>
    <w:rsid w:val="00C9539B"/>
    <w:rsid w:val="00C958A5"/>
    <w:rsid w:val="00C9672D"/>
    <w:rsid w:val="00C97538"/>
    <w:rsid w:val="00C97D7A"/>
    <w:rsid w:val="00C97F92"/>
    <w:rsid w:val="00CA0CA0"/>
    <w:rsid w:val="00CA1E86"/>
    <w:rsid w:val="00CA2A19"/>
    <w:rsid w:val="00CA2ED5"/>
    <w:rsid w:val="00CA4A26"/>
    <w:rsid w:val="00CA4D58"/>
    <w:rsid w:val="00CA4E05"/>
    <w:rsid w:val="00CA5A5F"/>
    <w:rsid w:val="00CA6235"/>
    <w:rsid w:val="00CA67EC"/>
    <w:rsid w:val="00CB097B"/>
    <w:rsid w:val="00CB0F0E"/>
    <w:rsid w:val="00CB28C3"/>
    <w:rsid w:val="00CB39D0"/>
    <w:rsid w:val="00CB49C6"/>
    <w:rsid w:val="00CB517E"/>
    <w:rsid w:val="00CB5B2C"/>
    <w:rsid w:val="00CB62CF"/>
    <w:rsid w:val="00CB671D"/>
    <w:rsid w:val="00CC0B77"/>
    <w:rsid w:val="00CC1E55"/>
    <w:rsid w:val="00CC2C28"/>
    <w:rsid w:val="00CC389F"/>
    <w:rsid w:val="00CC6F34"/>
    <w:rsid w:val="00CC6FA6"/>
    <w:rsid w:val="00CC7227"/>
    <w:rsid w:val="00CC77AF"/>
    <w:rsid w:val="00CC7ABD"/>
    <w:rsid w:val="00CD0338"/>
    <w:rsid w:val="00CD15D8"/>
    <w:rsid w:val="00CD3350"/>
    <w:rsid w:val="00CD61D9"/>
    <w:rsid w:val="00CE18B2"/>
    <w:rsid w:val="00CE1CC8"/>
    <w:rsid w:val="00CE1E77"/>
    <w:rsid w:val="00CE30E5"/>
    <w:rsid w:val="00CE3EBB"/>
    <w:rsid w:val="00CE4255"/>
    <w:rsid w:val="00CE61D7"/>
    <w:rsid w:val="00CE7042"/>
    <w:rsid w:val="00CF04CA"/>
    <w:rsid w:val="00CF154E"/>
    <w:rsid w:val="00CF187E"/>
    <w:rsid w:val="00CF19A5"/>
    <w:rsid w:val="00CF1C39"/>
    <w:rsid w:val="00CF1F00"/>
    <w:rsid w:val="00CF21E1"/>
    <w:rsid w:val="00CF22D4"/>
    <w:rsid w:val="00CF264E"/>
    <w:rsid w:val="00CF2DA1"/>
    <w:rsid w:val="00CF306D"/>
    <w:rsid w:val="00CF3A8E"/>
    <w:rsid w:val="00CF4CDE"/>
    <w:rsid w:val="00CF7B06"/>
    <w:rsid w:val="00D0004A"/>
    <w:rsid w:val="00D009B9"/>
    <w:rsid w:val="00D00EC9"/>
    <w:rsid w:val="00D010F6"/>
    <w:rsid w:val="00D01911"/>
    <w:rsid w:val="00D01FA4"/>
    <w:rsid w:val="00D021CF"/>
    <w:rsid w:val="00D02593"/>
    <w:rsid w:val="00D03247"/>
    <w:rsid w:val="00D04B92"/>
    <w:rsid w:val="00D04ED1"/>
    <w:rsid w:val="00D050D9"/>
    <w:rsid w:val="00D060B4"/>
    <w:rsid w:val="00D061C6"/>
    <w:rsid w:val="00D10059"/>
    <w:rsid w:val="00D1096A"/>
    <w:rsid w:val="00D11258"/>
    <w:rsid w:val="00D12825"/>
    <w:rsid w:val="00D12A9C"/>
    <w:rsid w:val="00D13B3E"/>
    <w:rsid w:val="00D140CB"/>
    <w:rsid w:val="00D14E2E"/>
    <w:rsid w:val="00D15576"/>
    <w:rsid w:val="00D1761F"/>
    <w:rsid w:val="00D1778E"/>
    <w:rsid w:val="00D17B6A"/>
    <w:rsid w:val="00D17FB6"/>
    <w:rsid w:val="00D21338"/>
    <w:rsid w:val="00D22726"/>
    <w:rsid w:val="00D22D58"/>
    <w:rsid w:val="00D25208"/>
    <w:rsid w:val="00D27EBC"/>
    <w:rsid w:val="00D27F7F"/>
    <w:rsid w:val="00D327A4"/>
    <w:rsid w:val="00D328A2"/>
    <w:rsid w:val="00D33218"/>
    <w:rsid w:val="00D347A0"/>
    <w:rsid w:val="00D369BB"/>
    <w:rsid w:val="00D36F94"/>
    <w:rsid w:val="00D3768F"/>
    <w:rsid w:val="00D40461"/>
    <w:rsid w:val="00D405A0"/>
    <w:rsid w:val="00D4236E"/>
    <w:rsid w:val="00D425AF"/>
    <w:rsid w:val="00D4273B"/>
    <w:rsid w:val="00D43669"/>
    <w:rsid w:val="00D4454C"/>
    <w:rsid w:val="00D44571"/>
    <w:rsid w:val="00D4636B"/>
    <w:rsid w:val="00D4687E"/>
    <w:rsid w:val="00D4715A"/>
    <w:rsid w:val="00D475D7"/>
    <w:rsid w:val="00D47A89"/>
    <w:rsid w:val="00D47BAB"/>
    <w:rsid w:val="00D47D5C"/>
    <w:rsid w:val="00D50CAA"/>
    <w:rsid w:val="00D53241"/>
    <w:rsid w:val="00D54C5C"/>
    <w:rsid w:val="00D57855"/>
    <w:rsid w:val="00D57902"/>
    <w:rsid w:val="00D6074C"/>
    <w:rsid w:val="00D6151A"/>
    <w:rsid w:val="00D6183A"/>
    <w:rsid w:val="00D61A95"/>
    <w:rsid w:val="00D6200D"/>
    <w:rsid w:val="00D62BB2"/>
    <w:rsid w:val="00D6459D"/>
    <w:rsid w:val="00D64C63"/>
    <w:rsid w:val="00D64D51"/>
    <w:rsid w:val="00D651DD"/>
    <w:rsid w:val="00D65329"/>
    <w:rsid w:val="00D65794"/>
    <w:rsid w:val="00D700C2"/>
    <w:rsid w:val="00D72146"/>
    <w:rsid w:val="00D72210"/>
    <w:rsid w:val="00D7238C"/>
    <w:rsid w:val="00D72DF1"/>
    <w:rsid w:val="00D7301D"/>
    <w:rsid w:val="00D74CD9"/>
    <w:rsid w:val="00D7533D"/>
    <w:rsid w:val="00D75D80"/>
    <w:rsid w:val="00D76600"/>
    <w:rsid w:val="00D76F3E"/>
    <w:rsid w:val="00D772C0"/>
    <w:rsid w:val="00D77521"/>
    <w:rsid w:val="00D813F3"/>
    <w:rsid w:val="00D81471"/>
    <w:rsid w:val="00D81B17"/>
    <w:rsid w:val="00D82FB3"/>
    <w:rsid w:val="00D8338F"/>
    <w:rsid w:val="00D8359E"/>
    <w:rsid w:val="00D83B6D"/>
    <w:rsid w:val="00D87688"/>
    <w:rsid w:val="00D91D14"/>
    <w:rsid w:val="00D92941"/>
    <w:rsid w:val="00D94115"/>
    <w:rsid w:val="00D9428D"/>
    <w:rsid w:val="00D945CD"/>
    <w:rsid w:val="00D9699E"/>
    <w:rsid w:val="00DA0581"/>
    <w:rsid w:val="00DA097C"/>
    <w:rsid w:val="00DA09C7"/>
    <w:rsid w:val="00DA129E"/>
    <w:rsid w:val="00DA286C"/>
    <w:rsid w:val="00DA4A37"/>
    <w:rsid w:val="00DA5411"/>
    <w:rsid w:val="00DA54F8"/>
    <w:rsid w:val="00DA5867"/>
    <w:rsid w:val="00DA7344"/>
    <w:rsid w:val="00DA7B19"/>
    <w:rsid w:val="00DB0882"/>
    <w:rsid w:val="00DB1E8E"/>
    <w:rsid w:val="00DB2EC7"/>
    <w:rsid w:val="00DB3433"/>
    <w:rsid w:val="00DB3D15"/>
    <w:rsid w:val="00DB45FB"/>
    <w:rsid w:val="00DB48D5"/>
    <w:rsid w:val="00DB525E"/>
    <w:rsid w:val="00DB5E64"/>
    <w:rsid w:val="00DB6CD4"/>
    <w:rsid w:val="00DB6F38"/>
    <w:rsid w:val="00DC162F"/>
    <w:rsid w:val="00DC1BEB"/>
    <w:rsid w:val="00DC1FCD"/>
    <w:rsid w:val="00DC2554"/>
    <w:rsid w:val="00DC28D8"/>
    <w:rsid w:val="00DC5797"/>
    <w:rsid w:val="00DC69B1"/>
    <w:rsid w:val="00DC70B4"/>
    <w:rsid w:val="00DC7D2A"/>
    <w:rsid w:val="00DD1386"/>
    <w:rsid w:val="00DD1D58"/>
    <w:rsid w:val="00DD1FD7"/>
    <w:rsid w:val="00DD3753"/>
    <w:rsid w:val="00DD3802"/>
    <w:rsid w:val="00DD3D85"/>
    <w:rsid w:val="00DD419F"/>
    <w:rsid w:val="00DD459E"/>
    <w:rsid w:val="00DD69F1"/>
    <w:rsid w:val="00DE0AF9"/>
    <w:rsid w:val="00DE2239"/>
    <w:rsid w:val="00DE2D48"/>
    <w:rsid w:val="00DE3036"/>
    <w:rsid w:val="00DE320E"/>
    <w:rsid w:val="00DE4A58"/>
    <w:rsid w:val="00DE4BFE"/>
    <w:rsid w:val="00DE5025"/>
    <w:rsid w:val="00DE54C6"/>
    <w:rsid w:val="00DE554A"/>
    <w:rsid w:val="00DE564E"/>
    <w:rsid w:val="00DE74F8"/>
    <w:rsid w:val="00DE7C87"/>
    <w:rsid w:val="00DE7E7A"/>
    <w:rsid w:val="00DE7F3B"/>
    <w:rsid w:val="00DF3ED0"/>
    <w:rsid w:val="00DF4422"/>
    <w:rsid w:val="00DF4473"/>
    <w:rsid w:val="00DF4836"/>
    <w:rsid w:val="00DF4B6B"/>
    <w:rsid w:val="00DF5C27"/>
    <w:rsid w:val="00DF5FCA"/>
    <w:rsid w:val="00DF6AC0"/>
    <w:rsid w:val="00DF7341"/>
    <w:rsid w:val="00E000A8"/>
    <w:rsid w:val="00E00BD9"/>
    <w:rsid w:val="00E01591"/>
    <w:rsid w:val="00E0230A"/>
    <w:rsid w:val="00E0248A"/>
    <w:rsid w:val="00E02ABD"/>
    <w:rsid w:val="00E048BB"/>
    <w:rsid w:val="00E04B75"/>
    <w:rsid w:val="00E053E6"/>
    <w:rsid w:val="00E05728"/>
    <w:rsid w:val="00E059BD"/>
    <w:rsid w:val="00E05C97"/>
    <w:rsid w:val="00E05CF3"/>
    <w:rsid w:val="00E0638D"/>
    <w:rsid w:val="00E06AA5"/>
    <w:rsid w:val="00E06CA0"/>
    <w:rsid w:val="00E06E82"/>
    <w:rsid w:val="00E07136"/>
    <w:rsid w:val="00E07ACD"/>
    <w:rsid w:val="00E07F0A"/>
    <w:rsid w:val="00E1055E"/>
    <w:rsid w:val="00E10B6D"/>
    <w:rsid w:val="00E110C9"/>
    <w:rsid w:val="00E12902"/>
    <w:rsid w:val="00E13456"/>
    <w:rsid w:val="00E13737"/>
    <w:rsid w:val="00E13C5E"/>
    <w:rsid w:val="00E14BE7"/>
    <w:rsid w:val="00E160B9"/>
    <w:rsid w:val="00E16F1C"/>
    <w:rsid w:val="00E17282"/>
    <w:rsid w:val="00E17BF9"/>
    <w:rsid w:val="00E17DB2"/>
    <w:rsid w:val="00E20D5E"/>
    <w:rsid w:val="00E2117D"/>
    <w:rsid w:val="00E22026"/>
    <w:rsid w:val="00E240E8"/>
    <w:rsid w:val="00E24315"/>
    <w:rsid w:val="00E24672"/>
    <w:rsid w:val="00E24F0F"/>
    <w:rsid w:val="00E262AA"/>
    <w:rsid w:val="00E266A3"/>
    <w:rsid w:val="00E27102"/>
    <w:rsid w:val="00E279EB"/>
    <w:rsid w:val="00E30EE8"/>
    <w:rsid w:val="00E313D0"/>
    <w:rsid w:val="00E314FD"/>
    <w:rsid w:val="00E31B4E"/>
    <w:rsid w:val="00E32DBA"/>
    <w:rsid w:val="00E34290"/>
    <w:rsid w:val="00E34C58"/>
    <w:rsid w:val="00E369F1"/>
    <w:rsid w:val="00E37C38"/>
    <w:rsid w:val="00E37D74"/>
    <w:rsid w:val="00E403B5"/>
    <w:rsid w:val="00E42DC4"/>
    <w:rsid w:val="00E43222"/>
    <w:rsid w:val="00E44A84"/>
    <w:rsid w:val="00E47F33"/>
    <w:rsid w:val="00E510E4"/>
    <w:rsid w:val="00E512FD"/>
    <w:rsid w:val="00E5338C"/>
    <w:rsid w:val="00E5535B"/>
    <w:rsid w:val="00E55F54"/>
    <w:rsid w:val="00E5602D"/>
    <w:rsid w:val="00E56C8F"/>
    <w:rsid w:val="00E579C4"/>
    <w:rsid w:val="00E57E9D"/>
    <w:rsid w:val="00E57F07"/>
    <w:rsid w:val="00E613D6"/>
    <w:rsid w:val="00E617A2"/>
    <w:rsid w:val="00E63562"/>
    <w:rsid w:val="00E65994"/>
    <w:rsid w:val="00E70102"/>
    <w:rsid w:val="00E709A5"/>
    <w:rsid w:val="00E70B5F"/>
    <w:rsid w:val="00E71F26"/>
    <w:rsid w:val="00E72D72"/>
    <w:rsid w:val="00E7304D"/>
    <w:rsid w:val="00E73248"/>
    <w:rsid w:val="00E73CF3"/>
    <w:rsid w:val="00E74C12"/>
    <w:rsid w:val="00E75674"/>
    <w:rsid w:val="00E76A6F"/>
    <w:rsid w:val="00E76CF9"/>
    <w:rsid w:val="00E77BC8"/>
    <w:rsid w:val="00E812DC"/>
    <w:rsid w:val="00E82331"/>
    <w:rsid w:val="00E82B83"/>
    <w:rsid w:val="00E82CE7"/>
    <w:rsid w:val="00E82EB5"/>
    <w:rsid w:val="00E83C2D"/>
    <w:rsid w:val="00E83E28"/>
    <w:rsid w:val="00E8403F"/>
    <w:rsid w:val="00E845E9"/>
    <w:rsid w:val="00E85CF3"/>
    <w:rsid w:val="00E867DB"/>
    <w:rsid w:val="00E87C19"/>
    <w:rsid w:val="00E9014E"/>
    <w:rsid w:val="00E90CA2"/>
    <w:rsid w:val="00E91204"/>
    <w:rsid w:val="00E93375"/>
    <w:rsid w:val="00E93846"/>
    <w:rsid w:val="00E95F83"/>
    <w:rsid w:val="00E96CA7"/>
    <w:rsid w:val="00EA1403"/>
    <w:rsid w:val="00EA15FA"/>
    <w:rsid w:val="00EA1A2C"/>
    <w:rsid w:val="00EA44C6"/>
    <w:rsid w:val="00EA50B6"/>
    <w:rsid w:val="00EA6975"/>
    <w:rsid w:val="00EA754E"/>
    <w:rsid w:val="00EA7678"/>
    <w:rsid w:val="00EA792B"/>
    <w:rsid w:val="00EB0129"/>
    <w:rsid w:val="00EB0346"/>
    <w:rsid w:val="00EB21EE"/>
    <w:rsid w:val="00EB244F"/>
    <w:rsid w:val="00EB2787"/>
    <w:rsid w:val="00EB29A5"/>
    <w:rsid w:val="00EB5F19"/>
    <w:rsid w:val="00EB6123"/>
    <w:rsid w:val="00EC00B7"/>
    <w:rsid w:val="00EC026B"/>
    <w:rsid w:val="00EC03A4"/>
    <w:rsid w:val="00EC1553"/>
    <w:rsid w:val="00EC2BF8"/>
    <w:rsid w:val="00EC2C95"/>
    <w:rsid w:val="00EC537E"/>
    <w:rsid w:val="00EC5693"/>
    <w:rsid w:val="00EC630D"/>
    <w:rsid w:val="00EC6D92"/>
    <w:rsid w:val="00EC707B"/>
    <w:rsid w:val="00ED000C"/>
    <w:rsid w:val="00ED068F"/>
    <w:rsid w:val="00ED24AC"/>
    <w:rsid w:val="00ED418D"/>
    <w:rsid w:val="00ED44F2"/>
    <w:rsid w:val="00ED46AD"/>
    <w:rsid w:val="00ED5256"/>
    <w:rsid w:val="00ED5ACD"/>
    <w:rsid w:val="00ED7B56"/>
    <w:rsid w:val="00EE046C"/>
    <w:rsid w:val="00EE0498"/>
    <w:rsid w:val="00EE0564"/>
    <w:rsid w:val="00EE162F"/>
    <w:rsid w:val="00EE21FE"/>
    <w:rsid w:val="00EE2C63"/>
    <w:rsid w:val="00EE2DC9"/>
    <w:rsid w:val="00EE559A"/>
    <w:rsid w:val="00EE571F"/>
    <w:rsid w:val="00EE6034"/>
    <w:rsid w:val="00EE7C9C"/>
    <w:rsid w:val="00EF0FEE"/>
    <w:rsid w:val="00EF11B6"/>
    <w:rsid w:val="00EF1B82"/>
    <w:rsid w:val="00EF2AC5"/>
    <w:rsid w:val="00EF54BD"/>
    <w:rsid w:val="00EF601C"/>
    <w:rsid w:val="00EF74A1"/>
    <w:rsid w:val="00EF7BAF"/>
    <w:rsid w:val="00F00322"/>
    <w:rsid w:val="00F01B80"/>
    <w:rsid w:val="00F044D7"/>
    <w:rsid w:val="00F0512E"/>
    <w:rsid w:val="00F057B8"/>
    <w:rsid w:val="00F06072"/>
    <w:rsid w:val="00F07040"/>
    <w:rsid w:val="00F075BE"/>
    <w:rsid w:val="00F07894"/>
    <w:rsid w:val="00F07D91"/>
    <w:rsid w:val="00F07DA1"/>
    <w:rsid w:val="00F12CB7"/>
    <w:rsid w:val="00F13224"/>
    <w:rsid w:val="00F136AF"/>
    <w:rsid w:val="00F13D11"/>
    <w:rsid w:val="00F14585"/>
    <w:rsid w:val="00F15E5D"/>
    <w:rsid w:val="00F16814"/>
    <w:rsid w:val="00F17B62"/>
    <w:rsid w:val="00F206C5"/>
    <w:rsid w:val="00F220D2"/>
    <w:rsid w:val="00F2249D"/>
    <w:rsid w:val="00F22FDA"/>
    <w:rsid w:val="00F23473"/>
    <w:rsid w:val="00F2368B"/>
    <w:rsid w:val="00F24014"/>
    <w:rsid w:val="00F24B11"/>
    <w:rsid w:val="00F2541D"/>
    <w:rsid w:val="00F255A5"/>
    <w:rsid w:val="00F2568F"/>
    <w:rsid w:val="00F2680E"/>
    <w:rsid w:val="00F27572"/>
    <w:rsid w:val="00F27F8E"/>
    <w:rsid w:val="00F3018E"/>
    <w:rsid w:val="00F301FD"/>
    <w:rsid w:val="00F32357"/>
    <w:rsid w:val="00F32C39"/>
    <w:rsid w:val="00F337C6"/>
    <w:rsid w:val="00F345E1"/>
    <w:rsid w:val="00F35F79"/>
    <w:rsid w:val="00F36704"/>
    <w:rsid w:val="00F368E8"/>
    <w:rsid w:val="00F369A1"/>
    <w:rsid w:val="00F369F8"/>
    <w:rsid w:val="00F36F59"/>
    <w:rsid w:val="00F3727C"/>
    <w:rsid w:val="00F374C1"/>
    <w:rsid w:val="00F3784F"/>
    <w:rsid w:val="00F37B06"/>
    <w:rsid w:val="00F4147C"/>
    <w:rsid w:val="00F4165A"/>
    <w:rsid w:val="00F41E3D"/>
    <w:rsid w:val="00F42D84"/>
    <w:rsid w:val="00F42F5A"/>
    <w:rsid w:val="00F43DB4"/>
    <w:rsid w:val="00F43E5A"/>
    <w:rsid w:val="00F44BA0"/>
    <w:rsid w:val="00F464AA"/>
    <w:rsid w:val="00F46EB1"/>
    <w:rsid w:val="00F4747D"/>
    <w:rsid w:val="00F502EE"/>
    <w:rsid w:val="00F519A9"/>
    <w:rsid w:val="00F522FD"/>
    <w:rsid w:val="00F530E9"/>
    <w:rsid w:val="00F5537C"/>
    <w:rsid w:val="00F55570"/>
    <w:rsid w:val="00F55D8E"/>
    <w:rsid w:val="00F57769"/>
    <w:rsid w:val="00F6087D"/>
    <w:rsid w:val="00F61D90"/>
    <w:rsid w:val="00F64786"/>
    <w:rsid w:val="00F64B5E"/>
    <w:rsid w:val="00F65324"/>
    <w:rsid w:val="00F65D36"/>
    <w:rsid w:val="00F65EBA"/>
    <w:rsid w:val="00F671FF"/>
    <w:rsid w:val="00F6785B"/>
    <w:rsid w:val="00F71C72"/>
    <w:rsid w:val="00F73DE9"/>
    <w:rsid w:val="00F7549A"/>
    <w:rsid w:val="00F75AD1"/>
    <w:rsid w:val="00F75D29"/>
    <w:rsid w:val="00F76918"/>
    <w:rsid w:val="00F76E5C"/>
    <w:rsid w:val="00F770DD"/>
    <w:rsid w:val="00F773C6"/>
    <w:rsid w:val="00F80B40"/>
    <w:rsid w:val="00F81C2D"/>
    <w:rsid w:val="00F82116"/>
    <w:rsid w:val="00F82282"/>
    <w:rsid w:val="00F82504"/>
    <w:rsid w:val="00F82786"/>
    <w:rsid w:val="00F82E3D"/>
    <w:rsid w:val="00F82E65"/>
    <w:rsid w:val="00F83132"/>
    <w:rsid w:val="00F90127"/>
    <w:rsid w:val="00F90130"/>
    <w:rsid w:val="00F90D1C"/>
    <w:rsid w:val="00F91238"/>
    <w:rsid w:val="00F9123A"/>
    <w:rsid w:val="00F91F11"/>
    <w:rsid w:val="00F92298"/>
    <w:rsid w:val="00F93056"/>
    <w:rsid w:val="00F9371F"/>
    <w:rsid w:val="00F93A12"/>
    <w:rsid w:val="00F95271"/>
    <w:rsid w:val="00F95E78"/>
    <w:rsid w:val="00F97651"/>
    <w:rsid w:val="00F97CBB"/>
    <w:rsid w:val="00F97E22"/>
    <w:rsid w:val="00FA060E"/>
    <w:rsid w:val="00FA1154"/>
    <w:rsid w:val="00FA1499"/>
    <w:rsid w:val="00FA3167"/>
    <w:rsid w:val="00FA3F93"/>
    <w:rsid w:val="00FA50CD"/>
    <w:rsid w:val="00FA57BA"/>
    <w:rsid w:val="00FA60B8"/>
    <w:rsid w:val="00FA67CF"/>
    <w:rsid w:val="00FA7118"/>
    <w:rsid w:val="00FA76F6"/>
    <w:rsid w:val="00FA7BCB"/>
    <w:rsid w:val="00FB27AF"/>
    <w:rsid w:val="00FB2A90"/>
    <w:rsid w:val="00FB2C29"/>
    <w:rsid w:val="00FB2DBA"/>
    <w:rsid w:val="00FB2E95"/>
    <w:rsid w:val="00FB34C6"/>
    <w:rsid w:val="00FB4870"/>
    <w:rsid w:val="00FB5BE1"/>
    <w:rsid w:val="00FB7B27"/>
    <w:rsid w:val="00FC0B4B"/>
    <w:rsid w:val="00FC25B2"/>
    <w:rsid w:val="00FC587C"/>
    <w:rsid w:val="00FC6F89"/>
    <w:rsid w:val="00FC74EB"/>
    <w:rsid w:val="00FD11AC"/>
    <w:rsid w:val="00FD23DB"/>
    <w:rsid w:val="00FD258A"/>
    <w:rsid w:val="00FD3BB7"/>
    <w:rsid w:val="00FD3E4C"/>
    <w:rsid w:val="00FD50CF"/>
    <w:rsid w:val="00FD5168"/>
    <w:rsid w:val="00FD5D79"/>
    <w:rsid w:val="00FE01A5"/>
    <w:rsid w:val="00FE064B"/>
    <w:rsid w:val="00FE0A2A"/>
    <w:rsid w:val="00FE29B0"/>
    <w:rsid w:val="00FE2BDA"/>
    <w:rsid w:val="00FE483F"/>
    <w:rsid w:val="00FE5C09"/>
    <w:rsid w:val="00FE70F4"/>
    <w:rsid w:val="00FE7AAF"/>
    <w:rsid w:val="00FF2404"/>
    <w:rsid w:val="00FF2BB3"/>
    <w:rsid w:val="00FF2FB4"/>
    <w:rsid w:val="00FF484C"/>
    <w:rsid w:val="00FF4F8E"/>
    <w:rsid w:val="00FF68F9"/>
    <w:rsid w:val="00FF6F30"/>
    <w:rsid w:val="00FF7796"/>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02D6442"/>
  <w15:docId w15:val="{3A6DEF70-5B61-444E-B0EC-EDCBBF7C8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AU"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0"/>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uiPriority="0"/>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qFormat="1"/>
    <w:lsdException w:name="List Number" w:uiPriority="2"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 w:qFormat="1"/>
    <w:lsdException w:name="List Bullet 3" w:semiHidden="1" w:uiPriority="1" w:qFormat="1"/>
    <w:lsdException w:name="List Bullet 4" w:semiHidden="1" w:unhideWhenUsed="1"/>
    <w:lsdException w:name="List Bullet 5" w:semiHidden="1" w:unhideWhenUsed="1"/>
    <w:lsdException w:name="List Number 2" w:uiPriority="2" w:qFormat="1"/>
    <w:lsdException w:name="List Number 3" w:semiHidden="1" w:uiPriority="2"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6498"/>
    <w:pPr>
      <w:spacing w:after="142" w:line="250" w:lineRule="atLeast"/>
    </w:pPr>
    <w:rPr>
      <w:rFonts w:asciiTheme="minorHAnsi" w:hAnsiTheme="minorHAnsi"/>
      <w:color w:val="000000" w:themeColor="text1"/>
      <w:sz w:val="19"/>
    </w:rPr>
  </w:style>
  <w:style w:type="paragraph" w:styleId="Heading1">
    <w:name w:val="heading 1"/>
    <w:basedOn w:val="Normal"/>
    <w:next w:val="Normal"/>
    <w:link w:val="Heading1Char"/>
    <w:uiPriority w:val="1"/>
    <w:qFormat/>
    <w:rsid w:val="00A53945"/>
    <w:pPr>
      <w:keepNext/>
      <w:keepLines/>
      <w:spacing w:before="360" w:line="320" w:lineRule="atLeast"/>
      <w:outlineLvl w:val="0"/>
    </w:pPr>
    <w:rPr>
      <w:rFonts w:asciiTheme="majorHAnsi" w:eastAsiaTheme="majorEastAsia" w:hAnsiTheme="majorHAnsi" w:cstheme="majorBidi"/>
      <w:bCs/>
      <w:sz w:val="28"/>
      <w:szCs w:val="28"/>
    </w:rPr>
  </w:style>
  <w:style w:type="paragraph" w:styleId="Heading2">
    <w:name w:val="heading 2"/>
    <w:basedOn w:val="Normal"/>
    <w:next w:val="Normal"/>
    <w:link w:val="Heading2Char"/>
    <w:uiPriority w:val="1"/>
    <w:qFormat/>
    <w:rsid w:val="00242D2F"/>
    <w:pPr>
      <w:keepNext/>
      <w:keepLines/>
      <w:spacing w:before="230" w:after="28" w:line="280" w:lineRule="atLeast"/>
      <w:outlineLvl w:val="1"/>
    </w:pPr>
    <w:rPr>
      <w:rFonts w:asciiTheme="majorHAnsi" w:eastAsiaTheme="majorEastAsia" w:hAnsiTheme="majorHAnsi" w:cstheme="majorBidi"/>
      <w:b/>
      <w:bCs/>
      <w:sz w:val="24"/>
      <w:szCs w:val="26"/>
    </w:rPr>
  </w:style>
  <w:style w:type="paragraph" w:styleId="Heading3">
    <w:name w:val="heading 3"/>
    <w:basedOn w:val="Normal"/>
    <w:next w:val="Normal"/>
    <w:link w:val="Heading3Char"/>
    <w:uiPriority w:val="1"/>
    <w:qFormat/>
    <w:rsid w:val="00EE6034"/>
    <w:pPr>
      <w:keepNext/>
      <w:keepLines/>
      <w:spacing w:before="142" w:after="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AD2263"/>
    <w:pPr>
      <w:keepNext/>
      <w:keepLines/>
      <w:spacing w:after="14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unhideWhenUsed/>
    <w:qFormat/>
    <w:rsid w:val="00AD2263"/>
    <w:pPr>
      <w:keepNext/>
      <w:keepLines/>
      <w:spacing w:before="200" w:after="0"/>
      <w:outlineLvl w:val="4"/>
    </w:pPr>
    <w:rPr>
      <w:rFonts w:asciiTheme="majorHAnsi" w:eastAsiaTheme="majorEastAsia" w:hAnsiTheme="majorHAnsi" w:cstheme="majorBidi"/>
      <w:color w:val="40621F" w:themeColor="accent1" w:themeShade="7F"/>
    </w:rPr>
  </w:style>
  <w:style w:type="paragraph" w:styleId="Heading6">
    <w:name w:val="heading 6"/>
    <w:basedOn w:val="Normal"/>
    <w:next w:val="Normal"/>
    <w:link w:val="Heading6Char"/>
    <w:uiPriority w:val="9"/>
    <w:semiHidden/>
    <w:unhideWhenUsed/>
    <w:qFormat/>
    <w:rsid w:val="00AD2263"/>
    <w:pPr>
      <w:keepNext/>
      <w:keepLines/>
      <w:spacing w:before="200" w:after="0"/>
      <w:outlineLvl w:val="5"/>
    </w:pPr>
    <w:rPr>
      <w:rFonts w:asciiTheme="majorHAnsi" w:eastAsiaTheme="majorEastAsia" w:hAnsiTheme="majorHAnsi" w:cstheme="majorBidi"/>
      <w:i/>
      <w:iCs/>
      <w:color w:val="40621F" w:themeColor="accent1" w:themeShade="7F"/>
    </w:rPr>
  </w:style>
  <w:style w:type="paragraph" w:styleId="Heading7">
    <w:name w:val="heading 7"/>
    <w:basedOn w:val="Normal"/>
    <w:next w:val="Normal"/>
    <w:link w:val="Heading7Char"/>
    <w:uiPriority w:val="9"/>
    <w:semiHidden/>
    <w:unhideWhenUsed/>
    <w:qFormat/>
    <w:rsid w:val="00AD2263"/>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D2263"/>
    <w:pPr>
      <w:keepNext/>
      <w:keepLines/>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AD2263"/>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A53945"/>
    <w:rPr>
      <w:rFonts w:asciiTheme="majorHAnsi" w:eastAsiaTheme="majorEastAsia" w:hAnsiTheme="majorHAnsi" w:cstheme="majorBidi"/>
      <w:bCs/>
      <w:color w:val="000000" w:themeColor="text1"/>
      <w:sz w:val="28"/>
      <w:szCs w:val="28"/>
    </w:rPr>
  </w:style>
  <w:style w:type="character" w:customStyle="1" w:styleId="Heading2Char">
    <w:name w:val="Heading 2 Char"/>
    <w:basedOn w:val="DefaultParagraphFont"/>
    <w:link w:val="Heading2"/>
    <w:uiPriority w:val="1"/>
    <w:rsid w:val="00242D2F"/>
    <w:rPr>
      <w:rFonts w:asciiTheme="majorHAnsi" w:eastAsiaTheme="majorEastAsia" w:hAnsiTheme="majorHAnsi" w:cstheme="majorBidi"/>
      <w:b/>
      <w:bCs/>
      <w:color w:val="000000" w:themeColor="text1"/>
      <w:sz w:val="24"/>
      <w:szCs w:val="26"/>
    </w:rPr>
  </w:style>
  <w:style w:type="character" w:customStyle="1" w:styleId="Heading3Char">
    <w:name w:val="Heading 3 Char"/>
    <w:basedOn w:val="DefaultParagraphFont"/>
    <w:link w:val="Heading3"/>
    <w:uiPriority w:val="1"/>
    <w:rsid w:val="00EE6034"/>
    <w:rPr>
      <w:rFonts w:asciiTheme="majorHAnsi" w:eastAsiaTheme="majorEastAsia" w:hAnsiTheme="majorHAnsi" w:cstheme="majorBidi"/>
      <w:b/>
      <w:bCs/>
      <w:color w:val="000000" w:themeColor="text1"/>
      <w:sz w:val="19"/>
    </w:rPr>
  </w:style>
  <w:style w:type="paragraph" w:styleId="FootnoteText">
    <w:name w:val="footnote text"/>
    <w:aliases w:val="Fußnote"/>
    <w:basedOn w:val="Normal"/>
    <w:link w:val="FootnoteTextChar"/>
    <w:rsid w:val="00D12825"/>
    <w:pPr>
      <w:tabs>
        <w:tab w:val="left" w:pos="113"/>
      </w:tabs>
      <w:spacing w:after="40" w:line="180" w:lineRule="atLeast"/>
      <w:ind w:left="96" w:hanging="96"/>
      <w:contextualSpacing/>
    </w:pPr>
    <w:rPr>
      <w:sz w:val="15"/>
    </w:rPr>
  </w:style>
  <w:style w:type="character" w:customStyle="1" w:styleId="FootnoteTextChar">
    <w:name w:val="Footnote Text Char"/>
    <w:aliases w:val="Fußnote Char"/>
    <w:basedOn w:val="DefaultParagraphFont"/>
    <w:link w:val="FootnoteText"/>
    <w:rsid w:val="00D12825"/>
    <w:rPr>
      <w:rFonts w:asciiTheme="minorHAnsi" w:hAnsiTheme="minorHAnsi"/>
      <w:color w:val="000000" w:themeColor="text1"/>
      <w:sz w:val="15"/>
    </w:rPr>
  </w:style>
  <w:style w:type="character" w:styleId="FootnoteReference">
    <w:name w:val="footnote reference"/>
    <w:basedOn w:val="DefaultParagraphFont"/>
    <w:rsid w:val="00DD459E"/>
    <w:rPr>
      <w:rFonts w:asciiTheme="minorHAnsi" w:hAnsiTheme="minorHAnsi"/>
      <w:sz w:val="14"/>
      <w:vertAlign w:val="superscript"/>
    </w:rPr>
  </w:style>
  <w:style w:type="numbering" w:customStyle="1" w:styleId="Bullets">
    <w:name w:val="Bullets"/>
    <w:uiPriority w:val="99"/>
    <w:rsid w:val="00D12825"/>
    <w:pPr>
      <w:numPr>
        <w:numId w:val="5"/>
      </w:numPr>
    </w:pPr>
  </w:style>
  <w:style w:type="paragraph" w:customStyle="1" w:styleId="Heading1Numbered">
    <w:name w:val="Heading 1 Numbered"/>
    <w:basedOn w:val="Heading1"/>
    <w:next w:val="Normal"/>
    <w:qFormat/>
    <w:rsid w:val="00CC389F"/>
    <w:pPr>
      <w:numPr>
        <w:ilvl w:val="1"/>
        <w:numId w:val="13"/>
      </w:numPr>
    </w:pPr>
  </w:style>
  <w:style w:type="paragraph" w:styleId="ListBullet">
    <w:name w:val="List Bullet"/>
    <w:basedOn w:val="Normal"/>
    <w:qFormat/>
    <w:rsid w:val="00D12825"/>
    <w:pPr>
      <w:numPr>
        <w:numId w:val="11"/>
      </w:numPr>
      <w:contextualSpacing/>
    </w:pPr>
  </w:style>
  <w:style w:type="paragraph" w:styleId="ListBullet2">
    <w:name w:val="List Bullet 2"/>
    <w:basedOn w:val="Normal"/>
    <w:uiPriority w:val="1"/>
    <w:qFormat/>
    <w:rsid w:val="00D12825"/>
    <w:pPr>
      <w:numPr>
        <w:ilvl w:val="1"/>
        <w:numId w:val="11"/>
      </w:numPr>
      <w:contextualSpacing/>
    </w:pPr>
  </w:style>
  <w:style w:type="paragraph" w:customStyle="1" w:styleId="Heading2Numbered">
    <w:name w:val="Heading 2 Numbered"/>
    <w:basedOn w:val="Heading2"/>
    <w:next w:val="Normal"/>
    <w:qFormat/>
    <w:rsid w:val="00CC389F"/>
    <w:pPr>
      <w:numPr>
        <w:ilvl w:val="2"/>
        <w:numId w:val="13"/>
      </w:numPr>
    </w:pPr>
  </w:style>
  <w:style w:type="paragraph" w:customStyle="1" w:styleId="Heading3Numbered">
    <w:name w:val="Heading 3 Numbered"/>
    <w:basedOn w:val="Heading3"/>
    <w:next w:val="Normal"/>
    <w:qFormat/>
    <w:rsid w:val="00CC389F"/>
    <w:pPr>
      <w:numPr>
        <w:ilvl w:val="3"/>
        <w:numId w:val="13"/>
      </w:numPr>
    </w:pPr>
  </w:style>
  <w:style w:type="numbering" w:customStyle="1" w:styleId="NumberedHeadings">
    <w:name w:val="Numbered Headings"/>
    <w:uiPriority w:val="99"/>
    <w:rsid w:val="00CC389F"/>
    <w:pPr>
      <w:numPr>
        <w:numId w:val="6"/>
      </w:numPr>
    </w:pPr>
  </w:style>
  <w:style w:type="numbering" w:customStyle="1" w:styleId="ListNumbers">
    <w:name w:val="List Numbers"/>
    <w:uiPriority w:val="99"/>
    <w:rsid w:val="00B11D27"/>
    <w:pPr>
      <w:numPr>
        <w:numId w:val="7"/>
      </w:numPr>
    </w:pPr>
  </w:style>
  <w:style w:type="paragraph" w:styleId="ListNumber">
    <w:name w:val="List Number"/>
    <w:basedOn w:val="Normal"/>
    <w:uiPriority w:val="2"/>
    <w:qFormat/>
    <w:rsid w:val="00242D2F"/>
    <w:pPr>
      <w:numPr>
        <w:numId w:val="10"/>
      </w:numPr>
      <w:contextualSpacing/>
    </w:pPr>
  </w:style>
  <w:style w:type="paragraph" w:styleId="ListNumber2">
    <w:name w:val="List Number 2"/>
    <w:basedOn w:val="Normal"/>
    <w:uiPriority w:val="2"/>
    <w:qFormat/>
    <w:rsid w:val="0099784A"/>
    <w:pPr>
      <w:numPr>
        <w:ilvl w:val="1"/>
        <w:numId w:val="10"/>
      </w:numPr>
      <w:contextualSpacing/>
    </w:pPr>
  </w:style>
  <w:style w:type="paragraph" w:styleId="Header">
    <w:name w:val="header"/>
    <w:basedOn w:val="Normal"/>
    <w:link w:val="HeaderChar"/>
    <w:uiPriority w:val="99"/>
    <w:semiHidden/>
    <w:rsid w:val="00AD2263"/>
    <w:pPr>
      <w:spacing w:after="0" w:line="240" w:lineRule="auto"/>
    </w:pPr>
    <w:rPr>
      <w:sz w:val="14"/>
    </w:rPr>
  </w:style>
  <w:style w:type="character" w:customStyle="1" w:styleId="HeaderChar">
    <w:name w:val="Header Char"/>
    <w:basedOn w:val="DefaultParagraphFont"/>
    <w:link w:val="Header"/>
    <w:uiPriority w:val="99"/>
    <w:semiHidden/>
    <w:rsid w:val="0099784A"/>
    <w:rPr>
      <w:rFonts w:asciiTheme="minorHAnsi" w:hAnsiTheme="minorHAnsi"/>
      <w:color w:val="000000" w:themeColor="text1"/>
      <w:sz w:val="14"/>
    </w:rPr>
  </w:style>
  <w:style w:type="paragraph" w:styleId="Footer">
    <w:name w:val="footer"/>
    <w:basedOn w:val="Normal"/>
    <w:link w:val="FooterChar"/>
    <w:uiPriority w:val="99"/>
    <w:rsid w:val="00807D31"/>
    <w:pPr>
      <w:spacing w:after="0" w:line="240" w:lineRule="auto"/>
    </w:pPr>
    <w:rPr>
      <w:sz w:val="14"/>
    </w:rPr>
  </w:style>
  <w:style w:type="character" w:customStyle="1" w:styleId="FooterChar">
    <w:name w:val="Footer Char"/>
    <w:basedOn w:val="DefaultParagraphFont"/>
    <w:link w:val="Footer"/>
    <w:uiPriority w:val="99"/>
    <w:rsid w:val="00807D31"/>
    <w:rPr>
      <w:rFonts w:asciiTheme="minorHAnsi" w:hAnsiTheme="minorHAnsi"/>
      <w:color w:val="000000" w:themeColor="text1"/>
      <w:sz w:val="14"/>
    </w:rPr>
  </w:style>
  <w:style w:type="paragraph" w:styleId="BalloonText">
    <w:name w:val="Balloon Text"/>
    <w:basedOn w:val="Normal"/>
    <w:link w:val="BalloonTextChar"/>
    <w:uiPriority w:val="99"/>
    <w:semiHidden/>
    <w:unhideWhenUsed/>
    <w:rsid w:val="00AD2263"/>
    <w:rPr>
      <w:rFonts w:ascii="Tahoma" w:hAnsi="Tahoma" w:cs="Tahoma"/>
      <w:sz w:val="16"/>
      <w:szCs w:val="16"/>
    </w:rPr>
  </w:style>
  <w:style w:type="character" w:customStyle="1" w:styleId="BalloonTextChar">
    <w:name w:val="Balloon Text Char"/>
    <w:basedOn w:val="DefaultParagraphFont"/>
    <w:link w:val="BalloonText"/>
    <w:uiPriority w:val="99"/>
    <w:semiHidden/>
    <w:rsid w:val="00AD2263"/>
    <w:rPr>
      <w:rFonts w:ascii="Tahoma" w:hAnsi="Tahoma" w:cs="Tahoma"/>
      <w:color w:val="FFFFFF" w:themeColor="background2"/>
      <w:sz w:val="16"/>
      <w:szCs w:val="16"/>
    </w:rPr>
  </w:style>
  <w:style w:type="table" w:styleId="TableGrid">
    <w:name w:val="Table Grid"/>
    <w:basedOn w:val="TableNormal"/>
    <w:uiPriority w:val="59"/>
    <w:rsid w:val="00AD2263"/>
    <w:rPr>
      <w:rFonts w:ascii="Arial" w:hAnsi="Arial"/>
      <w:sz w:val="18"/>
    </w:rPr>
    <w:tblPr>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Pr>
  </w:style>
  <w:style w:type="character" w:customStyle="1" w:styleId="Heading4Char">
    <w:name w:val="Heading 4 Char"/>
    <w:basedOn w:val="DefaultParagraphFont"/>
    <w:link w:val="Heading4"/>
    <w:uiPriority w:val="9"/>
    <w:semiHidden/>
    <w:rsid w:val="0099784A"/>
    <w:rPr>
      <w:rFonts w:asciiTheme="majorHAnsi" w:eastAsiaTheme="majorEastAsia" w:hAnsiTheme="majorHAnsi" w:cstheme="majorBidi"/>
      <w:b/>
      <w:bCs/>
      <w:iCs/>
      <w:color w:val="000000" w:themeColor="text1"/>
      <w:sz w:val="18"/>
    </w:rPr>
  </w:style>
  <w:style w:type="paragraph" w:customStyle="1" w:styleId="Heading4Numbered">
    <w:name w:val="Heading 4 Numbered"/>
    <w:basedOn w:val="Heading4"/>
    <w:next w:val="Normal"/>
    <w:semiHidden/>
    <w:qFormat/>
    <w:rsid w:val="00F07894"/>
  </w:style>
  <w:style w:type="paragraph" w:styleId="TOC1">
    <w:name w:val="toc 1"/>
    <w:basedOn w:val="Normal"/>
    <w:next w:val="Normal"/>
    <w:uiPriority w:val="39"/>
    <w:unhideWhenUsed/>
    <w:rsid w:val="00841B40"/>
    <w:pPr>
      <w:pBdr>
        <w:top w:val="single" w:sz="8" w:space="5" w:color="82C341" w:themeColor="background1"/>
      </w:pBdr>
      <w:tabs>
        <w:tab w:val="left" w:pos="567"/>
        <w:tab w:val="right" w:pos="7825"/>
      </w:tabs>
      <w:spacing w:before="150" w:after="57"/>
      <w:ind w:hanging="567"/>
    </w:pPr>
    <w:rPr>
      <w:rFonts w:asciiTheme="majorHAnsi" w:hAnsiTheme="majorHAnsi"/>
      <w:b/>
    </w:rPr>
  </w:style>
  <w:style w:type="paragraph" w:styleId="TOC2">
    <w:name w:val="toc 2"/>
    <w:basedOn w:val="Normal"/>
    <w:next w:val="Normal"/>
    <w:uiPriority w:val="39"/>
    <w:unhideWhenUsed/>
    <w:rsid w:val="00841B40"/>
    <w:pPr>
      <w:tabs>
        <w:tab w:val="left" w:pos="567"/>
        <w:tab w:val="right" w:pos="7825"/>
      </w:tabs>
      <w:spacing w:after="28"/>
      <w:ind w:hanging="567"/>
    </w:pPr>
    <w:rPr>
      <w:rFonts w:asciiTheme="majorHAnsi" w:hAnsiTheme="majorHAnsi"/>
      <w:color w:val="231F20"/>
    </w:rPr>
  </w:style>
  <w:style w:type="paragraph" w:customStyle="1" w:styleId="TableHeading">
    <w:name w:val="Table Heading"/>
    <w:basedOn w:val="Normal"/>
    <w:qFormat/>
    <w:rsid w:val="002C1573"/>
    <w:pPr>
      <w:spacing w:before="80" w:after="80" w:line="220" w:lineRule="atLeast"/>
    </w:pPr>
    <w:rPr>
      <w:rFonts w:asciiTheme="majorHAnsi" w:hAnsiTheme="majorHAnsi"/>
      <w:bCs/>
      <w:color w:val="FFFFFF"/>
      <w:sz w:val="17"/>
    </w:rPr>
  </w:style>
  <w:style w:type="paragraph" w:customStyle="1" w:styleId="TableText">
    <w:name w:val="Table Text"/>
    <w:basedOn w:val="TableHeading"/>
    <w:qFormat/>
    <w:rsid w:val="002C1573"/>
    <w:pPr>
      <w:spacing w:before="70" w:after="70"/>
    </w:pPr>
    <w:rPr>
      <w:rFonts w:asciiTheme="minorHAnsi" w:hAnsiTheme="minorHAnsi"/>
      <w:color w:val="000000" w:themeColor="text1"/>
    </w:rPr>
  </w:style>
  <w:style w:type="table" w:styleId="LightList">
    <w:name w:val="Light List"/>
    <w:basedOn w:val="TableNormal"/>
    <w:uiPriority w:val="61"/>
    <w:rsid w:val="00AD2263"/>
    <w:rPr>
      <w:rFonts w:ascii="Arial" w:hAnsi="Arial"/>
      <w:sz w:val="18"/>
    </w:rPr>
    <w:tblPr>
      <w:tblStyleRowBandSize w:val="1"/>
      <w:tblStyleColBandSize w:val="1"/>
      <w:tblInd w:w="85"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85" w:type="dxa"/>
        <w:left w:w="85" w:type="dxa"/>
        <w:bottom w:w="85" w:type="dxa"/>
        <w:right w:w="85" w:type="dxa"/>
      </w:tblCellMar>
    </w:tblPr>
    <w:tblStylePr w:type="firstRow">
      <w:pPr>
        <w:spacing w:before="0" w:after="0" w:line="240" w:lineRule="auto"/>
      </w:pPr>
      <w:rPr>
        <w:b/>
        <w:bCs/>
        <w:color w:val="82C341"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AD2263"/>
    <w:rPr>
      <w:rFonts w:ascii="Arial" w:hAnsi="Arial"/>
      <w:sz w:val="18"/>
    </w:rPr>
    <w:tblPr>
      <w:tblStyleRowBandSize w:val="1"/>
      <w:tblStyleColBandSize w:val="1"/>
      <w:tblInd w:w="85" w:type="dxa"/>
      <w:tblBorders>
        <w:top w:val="single" w:sz="8" w:space="0" w:color="82C341" w:themeColor="accent1"/>
        <w:left w:val="single" w:sz="8" w:space="0" w:color="82C341" w:themeColor="accent1"/>
        <w:bottom w:val="single" w:sz="8" w:space="0" w:color="82C341" w:themeColor="accent1"/>
        <w:right w:val="single" w:sz="8" w:space="0" w:color="82C341" w:themeColor="accent1"/>
      </w:tblBorders>
      <w:tblCellMar>
        <w:top w:w="85" w:type="dxa"/>
        <w:left w:w="85" w:type="dxa"/>
        <w:bottom w:w="85" w:type="dxa"/>
        <w:right w:w="85" w:type="dxa"/>
      </w:tblCellMar>
    </w:tblPr>
    <w:tblStylePr w:type="firstRow">
      <w:pPr>
        <w:spacing w:before="0" w:after="0" w:line="240" w:lineRule="auto"/>
      </w:pPr>
      <w:rPr>
        <w:b/>
        <w:bCs/>
        <w:color w:val="000000" w:themeColor="text1"/>
      </w:rPr>
      <w:tblPr/>
      <w:tcPr>
        <w:shd w:val="clear" w:color="auto" w:fill="82C341" w:themeFill="accent1"/>
      </w:tcPr>
    </w:tblStylePr>
    <w:tblStylePr w:type="lastRow">
      <w:pPr>
        <w:spacing w:before="0" w:after="0" w:line="240" w:lineRule="auto"/>
      </w:pPr>
      <w:rPr>
        <w:b/>
        <w:bCs/>
      </w:rPr>
      <w:tblPr/>
      <w:tcPr>
        <w:tcBorders>
          <w:top w:val="double" w:sz="6" w:space="0" w:color="82C341" w:themeColor="accent1"/>
          <w:left w:val="single" w:sz="8" w:space="0" w:color="82C341" w:themeColor="accent1"/>
          <w:bottom w:val="single" w:sz="8" w:space="0" w:color="82C341" w:themeColor="accent1"/>
          <w:right w:val="single" w:sz="8" w:space="0" w:color="82C341" w:themeColor="accent1"/>
        </w:tcBorders>
      </w:tcPr>
    </w:tblStylePr>
    <w:tblStylePr w:type="firstCol">
      <w:rPr>
        <w:b/>
        <w:bCs/>
      </w:rPr>
    </w:tblStylePr>
    <w:tblStylePr w:type="lastCol">
      <w:rPr>
        <w:b/>
        <w:bCs/>
      </w:rPr>
    </w:tblStylePr>
    <w:tblStylePr w:type="band1Vert">
      <w:tblPr/>
      <w:tcPr>
        <w:tcBorders>
          <w:top w:val="single" w:sz="8" w:space="0" w:color="82C341" w:themeColor="accent1"/>
          <w:left w:val="single" w:sz="8" w:space="0" w:color="82C341" w:themeColor="accent1"/>
          <w:bottom w:val="single" w:sz="8" w:space="0" w:color="82C341" w:themeColor="accent1"/>
          <w:right w:val="single" w:sz="8" w:space="0" w:color="82C341" w:themeColor="accent1"/>
        </w:tcBorders>
      </w:tcPr>
    </w:tblStylePr>
    <w:tblStylePr w:type="band1Horz">
      <w:tblPr/>
      <w:tcPr>
        <w:tcBorders>
          <w:top w:val="single" w:sz="8" w:space="0" w:color="82C341" w:themeColor="accent1"/>
          <w:left w:val="single" w:sz="8" w:space="0" w:color="82C341" w:themeColor="accent1"/>
          <w:bottom w:val="single" w:sz="8" w:space="0" w:color="82C341" w:themeColor="accent1"/>
          <w:right w:val="single" w:sz="8" w:space="0" w:color="82C341" w:themeColor="accent1"/>
        </w:tcBorders>
      </w:tcPr>
    </w:tblStylePr>
  </w:style>
  <w:style w:type="table" w:styleId="LightList-Accent2">
    <w:name w:val="Light List Accent 2"/>
    <w:basedOn w:val="TableNormal"/>
    <w:uiPriority w:val="61"/>
    <w:rsid w:val="00AD2263"/>
    <w:rPr>
      <w:rFonts w:ascii="Arial" w:hAnsi="Arial"/>
      <w:sz w:val="18"/>
    </w:rPr>
    <w:tblPr>
      <w:tblStyleRowBandSize w:val="1"/>
      <w:tblStyleColBandSize w:val="1"/>
      <w:tblInd w:w="85" w:type="dxa"/>
      <w:tblBorders>
        <w:top w:val="single" w:sz="8" w:space="0" w:color="FFFFFF" w:themeColor="background2" w:themeTint="BF"/>
        <w:left w:val="single" w:sz="8" w:space="0" w:color="FFFFFF" w:themeColor="background2" w:themeTint="BF"/>
        <w:bottom w:val="single" w:sz="8" w:space="0" w:color="FFFFFF" w:themeColor="background2" w:themeTint="BF"/>
        <w:right w:val="single" w:sz="8" w:space="0" w:color="FFFFFF" w:themeColor="background2" w:themeTint="BF"/>
        <w:insideH w:val="single" w:sz="8" w:space="0" w:color="FFFFFF" w:themeColor="background2" w:themeTint="BF"/>
      </w:tblBorders>
      <w:tblCellMar>
        <w:top w:w="85" w:type="dxa"/>
        <w:left w:w="85" w:type="dxa"/>
        <w:bottom w:w="85" w:type="dxa"/>
        <w:right w:w="85" w:type="dxa"/>
      </w:tblCellMar>
    </w:tblPr>
    <w:tblStylePr w:type="firstRow">
      <w:pPr>
        <w:spacing w:before="0" w:after="0" w:line="240" w:lineRule="auto"/>
      </w:pPr>
      <w:rPr>
        <w:b/>
        <w:bCs/>
        <w:color w:val="82C341" w:themeColor="background1"/>
      </w:rPr>
      <w:tblPr/>
      <w:tcPr>
        <w:shd w:val="clear" w:color="auto" w:fill="FFFFFF" w:themeFill="background2" w:themeFillTint="BF"/>
      </w:tcPr>
    </w:tblStylePr>
    <w:tblStylePr w:type="lastRow">
      <w:pPr>
        <w:spacing w:before="0" w:after="0" w:line="240" w:lineRule="auto"/>
      </w:pPr>
      <w:rPr>
        <w:b/>
        <w:bCs/>
      </w:rPr>
      <w:tblPr/>
      <w:tcPr>
        <w:tcBorders>
          <w:top w:val="double" w:sz="6" w:space="0" w:color="000000" w:themeColor="accent2"/>
          <w:left w:val="single" w:sz="8" w:space="0" w:color="000000" w:themeColor="accent2"/>
          <w:bottom w:val="single" w:sz="8" w:space="0" w:color="000000" w:themeColor="accent2"/>
          <w:right w:val="single" w:sz="8" w:space="0" w:color="000000" w:themeColor="accent2"/>
        </w:tcBorders>
      </w:tcPr>
    </w:tblStylePr>
    <w:tblStylePr w:type="firstCol">
      <w:rPr>
        <w:b/>
        <w:bCs/>
      </w:rPr>
    </w:tblStylePr>
    <w:tblStylePr w:type="lastCol">
      <w:rPr>
        <w:b/>
        <w:bCs/>
      </w:rPr>
    </w:tblStylePr>
    <w:tblStylePr w:type="band1Vert">
      <w:tblPr/>
      <w:tcPr>
        <w:tcBorders>
          <w:top w:val="single" w:sz="8" w:space="0" w:color="000000" w:themeColor="accent2"/>
          <w:left w:val="single" w:sz="8" w:space="0" w:color="000000" w:themeColor="accent2"/>
          <w:bottom w:val="single" w:sz="8" w:space="0" w:color="000000" w:themeColor="accent2"/>
          <w:right w:val="single" w:sz="8" w:space="0" w:color="000000" w:themeColor="accent2"/>
        </w:tcBorders>
      </w:tcPr>
    </w:tblStylePr>
    <w:tblStylePr w:type="band1Horz">
      <w:tblPr/>
      <w:tcPr>
        <w:tcBorders>
          <w:top w:val="single" w:sz="8" w:space="0" w:color="FFFFFF" w:themeColor="background2" w:themeTint="BF"/>
          <w:left w:val="single" w:sz="8" w:space="0" w:color="FFFFFF" w:themeColor="background2" w:themeTint="BF"/>
          <w:bottom w:val="single" w:sz="8" w:space="0" w:color="FFFFFF" w:themeColor="background2" w:themeTint="BF"/>
          <w:right w:val="single" w:sz="8" w:space="0" w:color="FFFFFF" w:themeColor="background2" w:themeTint="BF"/>
          <w:insideH w:val="nil"/>
          <w:insideV w:val="nil"/>
          <w:tl2br w:val="nil"/>
          <w:tr2bl w:val="nil"/>
        </w:tcBorders>
      </w:tcPr>
    </w:tblStylePr>
  </w:style>
  <w:style w:type="table" w:styleId="LightList-Accent3">
    <w:name w:val="Light List Accent 3"/>
    <w:basedOn w:val="TableNormal"/>
    <w:uiPriority w:val="61"/>
    <w:rsid w:val="00AD2263"/>
    <w:rPr>
      <w:rFonts w:ascii="Arial" w:hAnsi="Arial"/>
      <w:sz w:val="18"/>
    </w:rPr>
    <w:tblPr>
      <w:tblStyleRowBandSize w:val="1"/>
      <w:tblStyleColBandSize w:val="1"/>
      <w:tblInd w:w="85" w:type="dxa"/>
      <w:tblBorders>
        <w:top w:val="single" w:sz="8" w:space="0" w:color="BCBEC0" w:themeColor="accent3"/>
        <w:left w:val="single" w:sz="8" w:space="0" w:color="BCBEC0" w:themeColor="accent3"/>
        <w:bottom w:val="single" w:sz="8" w:space="0" w:color="BCBEC0" w:themeColor="accent3"/>
        <w:right w:val="single" w:sz="8" w:space="0" w:color="BCBEC0" w:themeColor="accent3"/>
      </w:tblBorders>
      <w:tblCellMar>
        <w:top w:w="85" w:type="dxa"/>
        <w:left w:w="85" w:type="dxa"/>
        <w:bottom w:w="85" w:type="dxa"/>
        <w:right w:w="85" w:type="dxa"/>
      </w:tblCellMar>
    </w:tblPr>
    <w:tblStylePr w:type="firstRow">
      <w:pPr>
        <w:spacing w:before="0" w:after="0" w:line="240" w:lineRule="auto"/>
      </w:pPr>
      <w:rPr>
        <w:b/>
        <w:bCs/>
        <w:color w:val="82C341" w:themeColor="background1"/>
      </w:rPr>
      <w:tblPr/>
      <w:tcPr>
        <w:shd w:val="clear" w:color="auto" w:fill="BCBEC0" w:themeFill="accent3"/>
      </w:tcPr>
    </w:tblStylePr>
    <w:tblStylePr w:type="lastRow">
      <w:pPr>
        <w:spacing w:before="0" w:after="0" w:line="240" w:lineRule="auto"/>
      </w:pPr>
      <w:rPr>
        <w:b/>
        <w:bCs/>
      </w:rPr>
      <w:tblPr/>
      <w:tcPr>
        <w:tcBorders>
          <w:top w:val="double" w:sz="6" w:space="0" w:color="BCBEC0" w:themeColor="accent3"/>
          <w:left w:val="single" w:sz="8" w:space="0" w:color="BCBEC0" w:themeColor="accent3"/>
          <w:bottom w:val="single" w:sz="8" w:space="0" w:color="BCBEC0" w:themeColor="accent3"/>
          <w:right w:val="single" w:sz="8" w:space="0" w:color="BCBEC0" w:themeColor="accent3"/>
        </w:tcBorders>
      </w:tcPr>
    </w:tblStylePr>
    <w:tblStylePr w:type="firstCol">
      <w:rPr>
        <w:b/>
        <w:bCs/>
      </w:rPr>
    </w:tblStylePr>
    <w:tblStylePr w:type="lastCol">
      <w:rPr>
        <w:b/>
        <w:bCs/>
      </w:rPr>
    </w:tblStylePr>
    <w:tblStylePr w:type="band1Vert">
      <w:tblPr/>
      <w:tcPr>
        <w:tcBorders>
          <w:top w:val="single" w:sz="8" w:space="0" w:color="BCBEC0" w:themeColor="accent3"/>
          <w:left w:val="single" w:sz="8" w:space="0" w:color="BCBEC0" w:themeColor="accent3"/>
          <w:bottom w:val="single" w:sz="8" w:space="0" w:color="BCBEC0" w:themeColor="accent3"/>
          <w:right w:val="single" w:sz="8" w:space="0" w:color="BCBEC0" w:themeColor="accent3"/>
        </w:tcBorders>
      </w:tcPr>
    </w:tblStylePr>
    <w:tblStylePr w:type="band1Horz">
      <w:tblPr/>
      <w:tcPr>
        <w:tcBorders>
          <w:top w:val="single" w:sz="8" w:space="0" w:color="BCBEC0" w:themeColor="accent3"/>
          <w:left w:val="single" w:sz="8" w:space="0" w:color="BCBEC0" w:themeColor="accent3"/>
          <w:bottom w:val="single" w:sz="8" w:space="0" w:color="BCBEC0" w:themeColor="accent3"/>
          <w:right w:val="single" w:sz="8" w:space="0" w:color="BCBEC0" w:themeColor="accent3"/>
        </w:tcBorders>
      </w:tcPr>
    </w:tblStylePr>
  </w:style>
  <w:style w:type="table" w:styleId="LightList-Accent4">
    <w:name w:val="Light List Accent 4"/>
    <w:basedOn w:val="TableNormal"/>
    <w:uiPriority w:val="61"/>
    <w:rsid w:val="00AD2263"/>
    <w:rPr>
      <w:rFonts w:ascii="Arial" w:hAnsi="Arial"/>
      <w:sz w:val="18"/>
    </w:rPr>
    <w:tblPr>
      <w:tblStyleRowBandSize w:val="1"/>
      <w:tblStyleColBandSize w:val="1"/>
      <w:tblInd w:w="85" w:type="dxa"/>
      <w:tblBorders>
        <w:top w:val="single" w:sz="8" w:space="0" w:color="6AA336" w:themeColor="accent4"/>
        <w:left w:val="single" w:sz="8" w:space="0" w:color="6AA336" w:themeColor="accent4"/>
        <w:bottom w:val="single" w:sz="8" w:space="0" w:color="6AA336" w:themeColor="accent4"/>
        <w:right w:val="single" w:sz="8" w:space="0" w:color="6AA336" w:themeColor="accent4"/>
      </w:tblBorders>
      <w:tblCellMar>
        <w:top w:w="85" w:type="dxa"/>
        <w:left w:w="85" w:type="dxa"/>
        <w:bottom w:w="85" w:type="dxa"/>
        <w:right w:w="85" w:type="dxa"/>
      </w:tblCellMar>
    </w:tblPr>
    <w:tblStylePr w:type="firstRow">
      <w:pPr>
        <w:spacing w:before="0" w:after="0" w:line="240" w:lineRule="auto"/>
      </w:pPr>
      <w:rPr>
        <w:b/>
        <w:bCs/>
        <w:color w:val="82C341" w:themeColor="background1"/>
      </w:rPr>
      <w:tblPr/>
      <w:tcPr>
        <w:shd w:val="clear" w:color="auto" w:fill="6AA336" w:themeFill="accent4"/>
      </w:tcPr>
    </w:tblStylePr>
    <w:tblStylePr w:type="lastRow">
      <w:pPr>
        <w:spacing w:before="0" w:after="0" w:line="240" w:lineRule="auto"/>
      </w:pPr>
      <w:rPr>
        <w:b/>
        <w:bCs/>
      </w:rPr>
      <w:tblPr/>
      <w:tcPr>
        <w:tcBorders>
          <w:top w:val="double" w:sz="6" w:space="0" w:color="6AA336" w:themeColor="accent4"/>
          <w:left w:val="single" w:sz="8" w:space="0" w:color="6AA336" w:themeColor="accent4"/>
          <w:bottom w:val="single" w:sz="8" w:space="0" w:color="6AA336" w:themeColor="accent4"/>
          <w:right w:val="single" w:sz="8" w:space="0" w:color="6AA336" w:themeColor="accent4"/>
        </w:tcBorders>
      </w:tcPr>
    </w:tblStylePr>
    <w:tblStylePr w:type="firstCol">
      <w:rPr>
        <w:b/>
        <w:bCs/>
      </w:rPr>
    </w:tblStylePr>
    <w:tblStylePr w:type="lastCol">
      <w:rPr>
        <w:b/>
        <w:bCs/>
      </w:rPr>
    </w:tblStylePr>
    <w:tblStylePr w:type="band1Vert">
      <w:tblPr/>
      <w:tcPr>
        <w:tcBorders>
          <w:top w:val="single" w:sz="8" w:space="0" w:color="6AA336" w:themeColor="accent4"/>
          <w:left w:val="single" w:sz="8" w:space="0" w:color="6AA336" w:themeColor="accent4"/>
          <w:bottom w:val="single" w:sz="8" w:space="0" w:color="6AA336" w:themeColor="accent4"/>
          <w:right w:val="single" w:sz="8" w:space="0" w:color="6AA336" w:themeColor="accent4"/>
        </w:tcBorders>
      </w:tcPr>
    </w:tblStylePr>
    <w:tblStylePr w:type="band1Horz">
      <w:tblPr/>
      <w:tcPr>
        <w:tcBorders>
          <w:top w:val="single" w:sz="8" w:space="0" w:color="6AA336" w:themeColor="accent4"/>
          <w:left w:val="single" w:sz="8" w:space="0" w:color="6AA336" w:themeColor="accent4"/>
          <w:bottom w:val="single" w:sz="8" w:space="0" w:color="6AA336" w:themeColor="accent4"/>
          <w:right w:val="single" w:sz="8" w:space="0" w:color="6AA336" w:themeColor="accent4"/>
        </w:tcBorders>
      </w:tcPr>
    </w:tblStylePr>
  </w:style>
  <w:style w:type="table" w:styleId="LightList-Accent5">
    <w:name w:val="Light List Accent 5"/>
    <w:basedOn w:val="TableNormal"/>
    <w:uiPriority w:val="61"/>
    <w:rsid w:val="00AD2263"/>
    <w:rPr>
      <w:rFonts w:ascii="Arial" w:hAnsi="Arial"/>
      <w:sz w:val="18"/>
    </w:rPr>
    <w:tblPr>
      <w:tblStyleRowBandSize w:val="1"/>
      <w:tblStyleColBandSize w:val="1"/>
      <w:tblInd w:w="85" w:type="dxa"/>
      <w:tblBorders>
        <w:top w:val="single" w:sz="8" w:space="0" w:color="A7D278" w:themeColor="accent5"/>
        <w:left w:val="single" w:sz="8" w:space="0" w:color="A7D278" w:themeColor="accent5"/>
        <w:bottom w:val="single" w:sz="8" w:space="0" w:color="A7D278" w:themeColor="accent5"/>
        <w:right w:val="single" w:sz="8" w:space="0" w:color="A7D278" w:themeColor="accent5"/>
      </w:tblBorders>
      <w:tblCellMar>
        <w:top w:w="85" w:type="dxa"/>
        <w:left w:w="85" w:type="dxa"/>
        <w:bottom w:w="85" w:type="dxa"/>
        <w:right w:w="85" w:type="dxa"/>
      </w:tblCellMar>
    </w:tblPr>
    <w:tblStylePr w:type="firstRow">
      <w:pPr>
        <w:spacing w:before="0" w:after="0" w:line="240" w:lineRule="auto"/>
      </w:pPr>
      <w:rPr>
        <w:b/>
        <w:bCs/>
        <w:color w:val="82C341" w:themeColor="background1"/>
      </w:rPr>
      <w:tblPr/>
      <w:tcPr>
        <w:shd w:val="clear" w:color="auto" w:fill="A7D278" w:themeFill="accent5"/>
      </w:tcPr>
    </w:tblStylePr>
    <w:tblStylePr w:type="lastRow">
      <w:pPr>
        <w:spacing w:before="0" w:after="0" w:line="240" w:lineRule="auto"/>
      </w:pPr>
      <w:rPr>
        <w:b/>
        <w:bCs/>
      </w:rPr>
      <w:tblPr/>
      <w:tcPr>
        <w:tcBorders>
          <w:top w:val="double" w:sz="6" w:space="0" w:color="A7D278" w:themeColor="accent5"/>
          <w:left w:val="single" w:sz="8" w:space="0" w:color="A7D278" w:themeColor="accent5"/>
          <w:bottom w:val="single" w:sz="8" w:space="0" w:color="A7D278" w:themeColor="accent5"/>
          <w:right w:val="single" w:sz="8" w:space="0" w:color="A7D278" w:themeColor="accent5"/>
        </w:tcBorders>
      </w:tcPr>
    </w:tblStylePr>
    <w:tblStylePr w:type="firstCol">
      <w:rPr>
        <w:b/>
        <w:bCs/>
      </w:rPr>
    </w:tblStylePr>
    <w:tblStylePr w:type="lastCol">
      <w:rPr>
        <w:b/>
        <w:bCs/>
      </w:rPr>
    </w:tblStylePr>
    <w:tblStylePr w:type="band1Vert">
      <w:tblPr/>
      <w:tcPr>
        <w:tcBorders>
          <w:top w:val="single" w:sz="8" w:space="0" w:color="A7D278" w:themeColor="accent5"/>
          <w:left w:val="single" w:sz="8" w:space="0" w:color="A7D278" w:themeColor="accent5"/>
          <w:bottom w:val="single" w:sz="8" w:space="0" w:color="A7D278" w:themeColor="accent5"/>
          <w:right w:val="single" w:sz="8" w:space="0" w:color="A7D278" w:themeColor="accent5"/>
        </w:tcBorders>
      </w:tcPr>
    </w:tblStylePr>
    <w:tblStylePr w:type="band1Horz">
      <w:tblPr/>
      <w:tcPr>
        <w:tcBorders>
          <w:top w:val="single" w:sz="8" w:space="0" w:color="A7D278" w:themeColor="accent5"/>
          <w:left w:val="single" w:sz="8" w:space="0" w:color="A7D278" w:themeColor="accent5"/>
          <w:bottom w:val="single" w:sz="8" w:space="0" w:color="A7D278" w:themeColor="accent5"/>
          <w:right w:val="single" w:sz="8" w:space="0" w:color="A7D278" w:themeColor="accent5"/>
        </w:tcBorders>
      </w:tcPr>
    </w:tblStylePr>
  </w:style>
  <w:style w:type="table" w:styleId="MediumShading1-Accent1">
    <w:name w:val="Medium Shading 1 Accent 1"/>
    <w:basedOn w:val="TableNormal"/>
    <w:uiPriority w:val="63"/>
    <w:rsid w:val="00AD2263"/>
    <w:rPr>
      <w:rFonts w:ascii="Arial" w:hAnsi="Arial"/>
      <w:sz w:val="18"/>
    </w:rPr>
    <w:tblPr>
      <w:tblStyleRowBandSize w:val="1"/>
      <w:tblStyleColBandSize w:val="1"/>
      <w:tblInd w:w="85" w:type="dxa"/>
      <w:tblCellMar>
        <w:top w:w="85" w:type="dxa"/>
        <w:left w:w="85" w:type="dxa"/>
        <w:bottom w:w="85" w:type="dxa"/>
        <w:right w:w="85" w:type="dxa"/>
      </w:tblCellMar>
    </w:tblPr>
    <w:tblStylePr w:type="firstRow">
      <w:pPr>
        <w:spacing w:before="0" w:after="0" w:line="240" w:lineRule="auto"/>
      </w:pPr>
      <w:rPr>
        <w:b/>
        <w:bCs/>
        <w:color w:val="000000" w:themeColor="text1"/>
      </w:rPr>
      <w:tblPr/>
      <w:tcPr>
        <w:tcBorders>
          <w:top w:val="nil"/>
          <w:left w:val="nil"/>
          <w:bottom w:val="nil"/>
          <w:right w:val="nil"/>
          <w:insideH w:val="nil"/>
          <w:insideV w:val="nil"/>
        </w:tcBorders>
        <w:shd w:val="clear" w:color="auto" w:fill="82C341" w:themeFill="accent1"/>
      </w:tcPr>
    </w:tblStylePr>
    <w:tblStylePr w:type="lastRow">
      <w:pPr>
        <w:spacing w:before="0" w:after="0" w:line="240" w:lineRule="auto"/>
      </w:pPr>
      <w:rPr>
        <w:b/>
        <w:bCs/>
      </w:rPr>
      <w:tblPr/>
      <w:tcPr>
        <w:tcBorders>
          <w:top w:val="double" w:sz="6" w:space="0" w:color="A1D270" w:themeColor="accent1" w:themeTint="BF"/>
          <w:left w:val="single" w:sz="8" w:space="0" w:color="A1D270" w:themeColor="accent1" w:themeTint="BF"/>
          <w:bottom w:val="single" w:sz="8" w:space="0" w:color="A1D270" w:themeColor="accent1" w:themeTint="BF"/>
          <w:right w:val="single" w:sz="8" w:space="0" w:color="A1D270"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F0CF" w:themeFill="accent1" w:themeFillTint="3F"/>
      </w:tcPr>
    </w:tblStylePr>
    <w:tblStylePr w:type="band1Horz">
      <w:tblPr/>
      <w:tcPr>
        <w:tcBorders>
          <w:insideH w:val="nil"/>
          <w:insideV w:val="nil"/>
        </w:tcBorders>
        <w:shd w:val="clear" w:color="auto" w:fill="DFF0CF" w:themeFill="accent1" w:themeFillTint="3F"/>
      </w:tcPr>
    </w:tblStylePr>
    <w:tblStylePr w:type="band2Horz">
      <w:tblPr/>
      <w:tcPr>
        <w:tcBorders>
          <w:insideH w:val="nil"/>
          <w:insideV w:val="nil"/>
        </w:tcBorders>
      </w:tcPr>
    </w:tblStylePr>
  </w:style>
  <w:style w:type="table" w:styleId="LightList-Accent6">
    <w:name w:val="Light List Accent 6"/>
    <w:basedOn w:val="TableNormal"/>
    <w:uiPriority w:val="61"/>
    <w:rsid w:val="00AD2263"/>
    <w:rPr>
      <w:rFonts w:ascii="Arial" w:hAnsi="Arial"/>
      <w:sz w:val="18"/>
    </w:rPr>
    <w:tblPr>
      <w:tblStyleRowBandSize w:val="1"/>
      <w:tblStyleColBandSize w:val="1"/>
      <w:tblInd w:w="85" w:type="dxa"/>
      <w:tblBorders>
        <w:top w:val="single" w:sz="8" w:space="0" w:color="CBE3AE" w:themeColor="accent6"/>
        <w:left w:val="single" w:sz="8" w:space="0" w:color="CBE3AE" w:themeColor="accent6"/>
        <w:bottom w:val="single" w:sz="8" w:space="0" w:color="CBE3AE" w:themeColor="accent6"/>
        <w:right w:val="single" w:sz="8" w:space="0" w:color="CBE3AE" w:themeColor="accent6"/>
      </w:tblBorders>
      <w:tblCellMar>
        <w:top w:w="85" w:type="dxa"/>
        <w:left w:w="85" w:type="dxa"/>
        <w:bottom w:w="85" w:type="dxa"/>
        <w:right w:w="85" w:type="dxa"/>
      </w:tblCellMar>
    </w:tblPr>
    <w:tblStylePr w:type="firstRow">
      <w:pPr>
        <w:spacing w:before="0" w:after="0" w:line="240" w:lineRule="auto"/>
      </w:pPr>
      <w:rPr>
        <w:b/>
        <w:bCs/>
        <w:color w:val="FFFFFF" w:themeColor="background2"/>
      </w:rPr>
      <w:tblPr/>
      <w:tcPr>
        <w:shd w:val="clear" w:color="auto" w:fill="CBE3AE" w:themeFill="accent6"/>
      </w:tcPr>
    </w:tblStylePr>
    <w:tblStylePr w:type="lastRow">
      <w:pPr>
        <w:spacing w:before="0" w:after="0" w:line="240" w:lineRule="auto"/>
      </w:pPr>
      <w:rPr>
        <w:b/>
        <w:bCs/>
      </w:rPr>
      <w:tblPr/>
      <w:tcPr>
        <w:tcBorders>
          <w:top w:val="double" w:sz="6" w:space="0" w:color="CBE3AE" w:themeColor="accent6"/>
          <w:left w:val="single" w:sz="8" w:space="0" w:color="CBE3AE" w:themeColor="accent6"/>
          <w:bottom w:val="single" w:sz="8" w:space="0" w:color="CBE3AE" w:themeColor="accent6"/>
          <w:right w:val="single" w:sz="8" w:space="0" w:color="CBE3AE" w:themeColor="accent6"/>
        </w:tcBorders>
      </w:tcPr>
    </w:tblStylePr>
    <w:tblStylePr w:type="firstCol">
      <w:rPr>
        <w:b/>
        <w:bCs/>
      </w:rPr>
    </w:tblStylePr>
    <w:tblStylePr w:type="lastCol">
      <w:rPr>
        <w:b/>
        <w:bCs/>
      </w:rPr>
    </w:tblStylePr>
    <w:tblStylePr w:type="band1Vert">
      <w:tblPr/>
      <w:tcPr>
        <w:tcBorders>
          <w:top w:val="single" w:sz="8" w:space="0" w:color="CBE3AE" w:themeColor="accent6"/>
          <w:left w:val="single" w:sz="8" w:space="0" w:color="CBE3AE" w:themeColor="accent6"/>
          <w:bottom w:val="single" w:sz="8" w:space="0" w:color="CBE3AE" w:themeColor="accent6"/>
          <w:right w:val="single" w:sz="8" w:space="0" w:color="CBE3AE" w:themeColor="accent6"/>
        </w:tcBorders>
      </w:tcPr>
    </w:tblStylePr>
    <w:tblStylePr w:type="band1Horz">
      <w:tblPr/>
      <w:tcPr>
        <w:tcBorders>
          <w:top w:val="single" w:sz="8" w:space="0" w:color="CBE3AE" w:themeColor="accent6"/>
          <w:left w:val="single" w:sz="8" w:space="0" w:color="CBE3AE" w:themeColor="accent6"/>
          <w:bottom w:val="single" w:sz="8" w:space="0" w:color="CBE3AE" w:themeColor="accent6"/>
          <w:right w:val="single" w:sz="8" w:space="0" w:color="CBE3AE" w:themeColor="accent6"/>
        </w:tcBorders>
      </w:tcPr>
    </w:tblStylePr>
  </w:style>
  <w:style w:type="table" w:styleId="MediumGrid2-Accent1">
    <w:name w:val="Medium Grid 2 Accent 1"/>
    <w:basedOn w:val="TableNormal"/>
    <w:uiPriority w:val="68"/>
    <w:rsid w:val="00AD2263"/>
    <w:rPr>
      <w:rFonts w:ascii="Arial" w:eastAsiaTheme="majorEastAsia" w:hAnsi="Arial" w:cstheme="majorBidi"/>
      <w:color w:val="000000" w:themeColor="text1"/>
      <w:sz w:val="18"/>
    </w:rPr>
    <w:tblPr>
      <w:tblStyleRowBandSize w:val="1"/>
      <w:tblStyleColBandSize w:val="1"/>
      <w:tblBorders>
        <w:top w:val="single" w:sz="8" w:space="0" w:color="82C341" w:themeColor="accent1"/>
        <w:left w:val="single" w:sz="8" w:space="0" w:color="82C341" w:themeColor="accent1"/>
        <w:bottom w:val="single" w:sz="8" w:space="0" w:color="82C341" w:themeColor="accent1"/>
        <w:right w:val="single" w:sz="8" w:space="0" w:color="82C341" w:themeColor="accent1"/>
        <w:insideH w:val="single" w:sz="8" w:space="0" w:color="82C341" w:themeColor="accent1"/>
        <w:insideV w:val="single" w:sz="8" w:space="0" w:color="82C341" w:themeColor="accent1"/>
      </w:tblBorders>
    </w:tblPr>
    <w:tcPr>
      <w:shd w:val="clear" w:color="auto" w:fill="DFF0CF" w:themeFill="accent1" w:themeFillTint="3F"/>
    </w:tcPr>
    <w:tblStylePr w:type="firstRow">
      <w:rPr>
        <w:b/>
        <w:bCs/>
        <w:color w:val="000000" w:themeColor="text1"/>
      </w:rPr>
      <w:tblPr/>
      <w:tcPr>
        <w:shd w:val="clear" w:color="auto" w:fill="F2F9E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82C341" w:themeFill="background1"/>
      </w:tcPr>
    </w:tblStylePr>
    <w:tblStylePr w:type="firstCol">
      <w:rPr>
        <w:b/>
        <w:bCs/>
        <w:color w:val="000000" w:themeColor="text1"/>
      </w:rPr>
      <w:tblPr/>
      <w:tcPr>
        <w:tcBorders>
          <w:top w:val="nil"/>
          <w:left w:val="nil"/>
          <w:bottom w:val="nil"/>
          <w:right w:val="nil"/>
          <w:insideH w:val="nil"/>
          <w:insideV w:val="nil"/>
        </w:tcBorders>
        <w:shd w:val="clear" w:color="auto" w:fill="82C341"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F3D9" w:themeFill="accent1" w:themeFillTint="33"/>
      </w:tcPr>
    </w:tblStylePr>
    <w:tblStylePr w:type="band1Vert">
      <w:tblPr/>
      <w:tcPr>
        <w:shd w:val="clear" w:color="auto" w:fill="C0E1A0" w:themeFill="accent1" w:themeFillTint="7F"/>
      </w:tcPr>
    </w:tblStylePr>
    <w:tblStylePr w:type="band1Horz">
      <w:tblPr/>
      <w:tcPr>
        <w:shd w:val="clear" w:color="auto" w:fill="A8ABAE" w:themeFill="text2" w:themeFillShade="E6"/>
      </w:tcPr>
    </w:tblStylePr>
    <w:tblStylePr w:type="band2Horz">
      <w:tblPr/>
      <w:tcPr>
        <w:shd w:val="clear" w:color="auto" w:fill="BCBEC0" w:themeFill="text2"/>
      </w:tcPr>
    </w:tblStylePr>
    <w:tblStylePr w:type="nwCell">
      <w:tblPr/>
      <w:tcPr>
        <w:shd w:val="clear" w:color="auto" w:fill="82C341" w:themeFill="background1"/>
      </w:tcPr>
    </w:tblStylePr>
  </w:style>
  <w:style w:type="paragraph" w:styleId="Quote">
    <w:name w:val="Quote"/>
    <w:basedOn w:val="Normal"/>
    <w:next w:val="Normal"/>
    <w:link w:val="QuoteChar"/>
    <w:uiPriority w:val="29"/>
    <w:semiHidden/>
    <w:rsid w:val="00AD226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AD2263"/>
    <w:rPr>
      <w:rFonts w:asciiTheme="minorHAnsi" w:hAnsiTheme="minorHAnsi"/>
      <w:i/>
      <w:iCs/>
      <w:color w:val="404040" w:themeColor="text1" w:themeTint="BF"/>
      <w:sz w:val="18"/>
    </w:rPr>
  </w:style>
  <w:style w:type="table" w:customStyle="1" w:styleId="LayoutGrid">
    <w:name w:val="Layout Grid"/>
    <w:basedOn w:val="TableNormal"/>
    <w:uiPriority w:val="99"/>
    <w:rsid w:val="00586D62"/>
    <w:rPr>
      <w:rFonts w:asciiTheme="minorHAnsi" w:hAnsiTheme="minorHAnsi"/>
      <w:sz w:val="18"/>
    </w:rPr>
    <w:tblPr>
      <w:tblCellMar>
        <w:left w:w="0" w:type="dxa"/>
        <w:right w:w="0" w:type="dxa"/>
      </w:tblCellMar>
    </w:tblPr>
  </w:style>
  <w:style w:type="character" w:styleId="PlaceholderText">
    <w:name w:val="Placeholder Text"/>
    <w:basedOn w:val="DefaultParagraphFont"/>
    <w:uiPriority w:val="99"/>
    <w:semiHidden/>
    <w:rsid w:val="0045125A"/>
    <w:rPr>
      <w:color w:val="808080"/>
    </w:rPr>
  </w:style>
  <w:style w:type="paragraph" w:customStyle="1" w:styleId="TableBullet">
    <w:name w:val="Table Bullet"/>
    <w:basedOn w:val="TableText"/>
    <w:qFormat/>
    <w:rsid w:val="00D12825"/>
    <w:pPr>
      <w:numPr>
        <w:numId w:val="12"/>
      </w:numPr>
    </w:pPr>
  </w:style>
  <w:style w:type="numbering" w:customStyle="1" w:styleId="TableBulletList">
    <w:name w:val="TableBullet List"/>
    <w:uiPriority w:val="99"/>
    <w:rsid w:val="00D12825"/>
    <w:pPr>
      <w:numPr>
        <w:numId w:val="8"/>
      </w:numPr>
    </w:pPr>
  </w:style>
  <w:style w:type="paragraph" w:customStyle="1" w:styleId="FooterDetails">
    <w:name w:val="Footer Details"/>
    <w:basedOn w:val="Normal"/>
    <w:rsid w:val="00807D31"/>
    <w:pPr>
      <w:spacing w:after="0" w:line="240" w:lineRule="auto"/>
    </w:pPr>
    <w:rPr>
      <w:rFonts w:asciiTheme="majorHAnsi" w:hAnsiTheme="majorHAnsi"/>
      <w:sz w:val="15"/>
    </w:rPr>
  </w:style>
  <w:style w:type="paragraph" w:styleId="TOCHeading">
    <w:name w:val="TOC Heading"/>
    <w:basedOn w:val="Heading1"/>
    <w:next w:val="Normal"/>
    <w:uiPriority w:val="39"/>
    <w:qFormat/>
    <w:rsid w:val="00A53945"/>
    <w:pPr>
      <w:spacing w:before="0" w:after="400" w:line="240" w:lineRule="auto"/>
      <w:outlineLvl w:val="9"/>
    </w:pPr>
    <w:rPr>
      <w:b/>
    </w:rPr>
  </w:style>
  <w:style w:type="character" w:customStyle="1" w:styleId="Heading5Char">
    <w:name w:val="Heading 5 Char"/>
    <w:basedOn w:val="DefaultParagraphFont"/>
    <w:link w:val="Heading5"/>
    <w:uiPriority w:val="9"/>
    <w:semiHidden/>
    <w:rsid w:val="00AD2263"/>
    <w:rPr>
      <w:rFonts w:asciiTheme="majorHAnsi" w:eastAsiaTheme="majorEastAsia" w:hAnsiTheme="majorHAnsi" w:cstheme="majorBidi"/>
      <w:color w:val="40621F" w:themeColor="accent1" w:themeShade="7F"/>
      <w:sz w:val="18"/>
    </w:rPr>
  </w:style>
  <w:style w:type="character" w:customStyle="1" w:styleId="Heading6Char">
    <w:name w:val="Heading 6 Char"/>
    <w:basedOn w:val="DefaultParagraphFont"/>
    <w:link w:val="Heading6"/>
    <w:uiPriority w:val="9"/>
    <w:semiHidden/>
    <w:rsid w:val="00AD2263"/>
    <w:rPr>
      <w:rFonts w:asciiTheme="majorHAnsi" w:eastAsiaTheme="majorEastAsia" w:hAnsiTheme="majorHAnsi" w:cstheme="majorBidi"/>
      <w:i/>
      <w:iCs/>
      <w:color w:val="40621F" w:themeColor="accent1" w:themeShade="7F"/>
      <w:sz w:val="18"/>
    </w:rPr>
  </w:style>
  <w:style w:type="character" w:customStyle="1" w:styleId="Heading7Char">
    <w:name w:val="Heading 7 Char"/>
    <w:basedOn w:val="DefaultParagraphFont"/>
    <w:link w:val="Heading7"/>
    <w:uiPriority w:val="9"/>
    <w:semiHidden/>
    <w:rsid w:val="00AD2263"/>
    <w:rPr>
      <w:rFonts w:asciiTheme="majorHAnsi" w:eastAsiaTheme="majorEastAsia" w:hAnsiTheme="majorHAnsi" w:cstheme="majorBidi"/>
      <w:i/>
      <w:iCs/>
      <w:color w:val="404040" w:themeColor="text1" w:themeTint="BF"/>
      <w:sz w:val="18"/>
    </w:rPr>
  </w:style>
  <w:style w:type="character" w:customStyle="1" w:styleId="Heading8Char">
    <w:name w:val="Heading 8 Char"/>
    <w:basedOn w:val="DefaultParagraphFont"/>
    <w:link w:val="Heading8"/>
    <w:uiPriority w:val="9"/>
    <w:semiHidden/>
    <w:rsid w:val="00AD2263"/>
    <w:rPr>
      <w:rFonts w:asciiTheme="majorHAnsi" w:eastAsiaTheme="majorEastAsia" w:hAnsiTheme="majorHAnsi" w:cstheme="majorBidi"/>
      <w:color w:val="404040" w:themeColor="text1" w:themeTint="BF"/>
      <w:sz w:val="18"/>
    </w:rPr>
  </w:style>
  <w:style w:type="character" w:customStyle="1" w:styleId="Heading9Char">
    <w:name w:val="Heading 9 Char"/>
    <w:basedOn w:val="DefaultParagraphFont"/>
    <w:link w:val="Heading9"/>
    <w:uiPriority w:val="9"/>
    <w:semiHidden/>
    <w:rsid w:val="00AD2263"/>
    <w:rPr>
      <w:rFonts w:asciiTheme="majorHAnsi" w:eastAsiaTheme="majorEastAsia" w:hAnsiTheme="majorHAnsi" w:cstheme="majorBidi"/>
      <w:i/>
      <w:iCs/>
      <w:color w:val="404040" w:themeColor="text1" w:themeTint="BF"/>
      <w:sz w:val="18"/>
    </w:rPr>
  </w:style>
  <w:style w:type="paragraph" w:styleId="Index1">
    <w:name w:val="index 1"/>
    <w:basedOn w:val="Normal"/>
    <w:next w:val="Normal"/>
    <w:autoRedefine/>
    <w:uiPriority w:val="99"/>
    <w:semiHidden/>
    <w:unhideWhenUsed/>
    <w:rsid w:val="00AD2263"/>
    <w:pPr>
      <w:spacing w:after="0"/>
      <w:ind w:left="200" w:hanging="200"/>
    </w:pPr>
  </w:style>
  <w:style w:type="paragraph" w:styleId="Index2">
    <w:name w:val="index 2"/>
    <w:basedOn w:val="Normal"/>
    <w:next w:val="Normal"/>
    <w:autoRedefine/>
    <w:uiPriority w:val="99"/>
    <w:semiHidden/>
    <w:unhideWhenUsed/>
    <w:rsid w:val="00AD2263"/>
    <w:pPr>
      <w:spacing w:after="0"/>
      <w:ind w:left="400" w:hanging="200"/>
    </w:pPr>
  </w:style>
  <w:style w:type="paragraph" w:styleId="Index3">
    <w:name w:val="index 3"/>
    <w:basedOn w:val="Normal"/>
    <w:next w:val="Normal"/>
    <w:autoRedefine/>
    <w:uiPriority w:val="99"/>
    <w:semiHidden/>
    <w:unhideWhenUsed/>
    <w:rsid w:val="00AD2263"/>
    <w:pPr>
      <w:spacing w:after="0"/>
      <w:ind w:left="600" w:hanging="200"/>
    </w:pPr>
  </w:style>
  <w:style w:type="paragraph" w:styleId="Index4">
    <w:name w:val="index 4"/>
    <w:basedOn w:val="Normal"/>
    <w:next w:val="Normal"/>
    <w:autoRedefine/>
    <w:uiPriority w:val="99"/>
    <w:semiHidden/>
    <w:unhideWhenUsed/>
    <w:rsid w:val="00AD2263"/>
    <w:pPr>
      <w:spacing w:after="0"/>
      <w:ind w:left="800" w:hanging="200"/>
    </w:pPr>
  </w:style>
  <w:style w:type="paragraph" w:styleId="Index5">
    <w:name w:val="index 5"/>
    <w:basedOn w:val="Normal"/>
    <w:next w:val="Normal"/>
    <w:autoRedefine/>
    <w:uiPriority w:val="99"/>
    <w:semiHidden/>
    <w:unhideWhenUsed/>
    <w:rsid w:val="00AD2263"/>
    <w:pPr>
      <w:spacing w:after="0"/>
      <w:ind w:left="1000" w:hanging="200"/>
    </w:pPr>
  </w:style>
  <w:style w:type="paragraph" w:styleId="Index6">
    <w:name w:val="index 6"/>
    <w:basedOn w:val="Normal"/>
    <w:next w:val="Normal"/>
    <w:autoRedefine/>
    <w:uiPriority w:val="99"/>
    <w:semiHidden/>
    <w:unhideWhenUsed/>
    <w:rsid w:val="00AD2263"/>
    <w:pPr>
      <w:spacing w:after="0"/>
      <w:ind w:left="1200" w:hanging="200"/>
    </w:pPr>
  </w:style>
  <w:style w:type="paragraph" w:styleId="Index7">
    <w:name w:val="index 7"/>
    <w:basedOn w:val="Normal"/>
    <w:next w:val="Normal"/>
    <w:autoRedefine/>
    <w:uiPriority w:val="99"/>
    <w:semiHidden/>
    <w:unhideWhenUsed/>
    <w:rsid w:val="00AD2263"/>
    <w:pPr>
      <w:spacing w:after="0"/>
      <w:ind w:left="1400" w:hanging="200"/>
    </w:pPr>
  </w:style>
  <w:style w:type="paragraph" w:styleId="Index8">
    <w:name w:val="index 8"/>
    <w:basedOn w:val="Normal"/>
    <w:next w:val="Normal"/>
    <w:autoRedefine/>
    <w:uiPriority w:val="99"/>
    <w:semiHidden/>
    <w:unhideWhenUsed/>
    <w:rsid w:val="00AD2263"/>
    <w:pPr>
      <w:spacing w:after="0"/>
      <w:ind w:left="1600" w:hanging="200"/>
    </w:pPr>
  </w:style>
  <w:style w:type="paragraph" w:styleId="Index9">
    <w:name w:val="index 9"/>
    <w:basedOn w:val="Normal"/>
    <w:next w:val="Normal"/>
    <w:autoRedefine/>
    <w:uiPriority w:val="99"/>
    <w:semiHidden/>
    <w:unhideWhenUsed/>
    <w:rsid w:val="00AD2263"/>
    <w:pPr>
      <w:spacing w:after="0"/>
      <w:ind w:left="1800" w:hanging="200"/>
    </w:pPr>
  </w:style>
  <w:style w:type="paragraph" w:styleId="TOC4">
    <w:name w:val="toc 4"/>
    <w:basedOn w:val="Normal"/>
    <w:next w:val="Normal"/>
    <w:autoRedefine/>
    <w:uiPriority w:val="39"/>
    <w:semiHidden/>
    <w:unhideWhenUsed/>
    <w:rsid w:val="00AD2263"/>
    <w:pPr>
      <w:spacing w:after="100"/>
      <w:ind w:left="540"/>
    </w:pPr>
  </w:style>
  <w:style w:type="paragraph" w:styleId="TOC5">
    <w:name w:val="toc 5"/>
    <w:basedOn w:val="Normal"/>
    <w:next w:val="Normal"/>
    <w:autoRedefine/>
    <w:uiPriority w:val="39"/>
    <w:semiHidden/>
    <w:unhideWhenUsed/>
    <w:rsid w:val="00AD2263"/>
    <w:pPr>
      <w:spacing w:after="100"/>
      <w:ind w:left="720"/>
    </w:pPr>
  </w:style>
  <w:style w:type="paragraph" w:styleId="TOC6">
    <w:name w:val="toc 6"/>
    <w:basedOn w:val="Normal"/>
    <w:next w:val="Normal"/>
    <w:autoRedefine/>
    <w:uiPriority w:val="39"/>
    <w:semiHidden/>
    <w:unhideWhenUsed/>
    <w:rsid w:val="00AD2263"/>
    <w:pPr>
      <w:spacing w:after="100"/>
      <w:ind w:left="900"/>
    </w:pPr>
  </w:style>
  <w:style w:type="paragraph" w:styleId="TOC7">
    <w:name w:val="toc 7"/>
    <w:basedOn w:val="Normal"/>
    <w:next w:val="Normal"/>
    <w:autoRedefine/>
    <w:uiPriority w:val="39"/>
    <w:semiHidden/>
    <w:unhideWhenUsed/>
    <w:rsid w:val="00AD2263"/>
    <w:pPr>
      <w:spacing w:after="100"/>
      <w:ind w:left="1080"/>
    </w:pPr>
  </w:style>
  <w:style w:type="paragraph" w:styleId="TOC8">
    <w:name w:val="toc 8"/>
    <w:basedOn w:val="Normal"/>
    <w:next w:val="Normal"/>
    <w:autoRedefine/>
    <w:uiPriority w:val="39"/>
    <w:semiHidden/>
    <w:unhideWhenUsed/>
    <w:rsid w:val="00AD2263"/>
    <w:pPr>
      <w:spacing w:after="100"/>
      <w:ind w:left="1260"/>
    </w:pPr>
  </w:style>
  <w:style w:type="paragraph" w:styleId="TOC9">
    <w:name w:val="toc 9"/>
    <w:basedOn w:val="Normal"/>
    <w:next w:val="Normal"/>
    <w:autoRedefine/>
    <w:uiPriority w:val="39"/>
    <w:semiHidden/>
    <w:unhideWhenUsed/>
    <w:rsid w:val="00AD2263"/>
    <w:pPr>
      <w:spacing w:after="100"/>
      <w:ind w:left="1440"/>
    </w:pPr>
  </w:style>
  <w:style w:type="paragraph" w:styleId="NormalIndent">
    <w:name w:val="Normal Indent"/>
    <w:basedOn w:val="Normal"/>
    <w:uiPriority w:val="99"/>
    <w:semiHidden/>
    <w:unhideWhenUsed/>
    <w:rsid w:val="00AD2263"/>
    <w:pPr>
      <w:ind w:left="720"/>
    </w:pPr>
  </w:style>
  <w:style w:type="paragraph" w:styleId="IndexHeading">
    <w:name w:val="index heading"/>
    <w:basedOn w:val="Normal"/>
    <w:next w:val="Index1"/>
    <w:uiPriority w:val="99"/>
    <w:semiHidden/>
    <w:unhideWhenUsed/>
    <w:rsid w:val="00AD2263"/>
    <w:rPr>
      <w:rFonts w:asciiTheme="majorHAnsi" w:eastAsiaTheme="majorEastAsia" w:hAnsiTheme="majorHAnsi" w:cstheme="majorBidi"/>
      <w:b/>
      <w:bCs/>
    </w:rPr>
  </w:style>
  <w:style w:type="paragraph" w:styleId="TableofFigures">
    <w:name w:val="table of figures"/>
    <w:basedOn w:val="Normal"/>
    <w:next w:val="Normal"/>
    <w:uiPriority w:val="99"/>
    <w:unhideWhenUsed/>
    <w:rsid w:val="00AD2263"/>
    <w:pPr>
      <w:spacing w:after="0"/>
    </w:pPr>
  </w:style>
  <w:style w:type="paragraph" w:styleId="EnvelopeAddress">
    <w:name w:val="envelope address"/>
    <w:basedOn w:val="Normal"/>
    <w:uiPriority w:val="99"/>
    <w:semiHidden/>
    <w:unhideWhenUsed/>
    <w:rsid w:val="00AD2263"/>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AD2263"/>
    <w:pPr>
      <w:spacing w:after="0"/>
    </w:pPr>
    <w:rPr>
      <w:rFonts w:asciiTheme="majorHAnsi" w:eastAsiaTheme="majorEastAsia" w:hAnsiTheme="majorHAnsi" w:cstheme="majorBidi"/>
    </w:rPr>
  </w:style>
  <w:style w:type="character" w:styleId="EndnoteReference">
    <w:name w:val="endnote reference"/>
    <w:basedOn w:val="DefaultParagraphFont"/>
    <w:uiPriority w:val="99"/>
    <w:semiHidden/>
    <w:unhideWhenUsed/>
    <w:rsid w:val="00AD2263"/>
    <w:rPr>
      <w:vertAlign w:val="superscript"/>
    </w:rPr>
  </w:style>
  <w:style w:type="paragraph" w:styleId="EndnoteText">
    <w:name w:val="endnote text"/>
    <w:basedOn w:val="Normal"/>
    <w:link w:val="EndnoteTextChar"/>
    <w:uiPriority w:val="99"/>
    <w:semiHidden/>
    <w:unhideWhenUsed/>
    <w:rsid w:val="00AD2263"/>
    <w:pPr>
      <w:spacing w:after="0"/>
    </w:pPr>
  </w:style>
  <w:style w:type="character" w:customStyle="1" w:styleId="EndnoteTextChar">
    <w:name w:val="Endnote Text Char"/>
    <w:basedOn w:val="DefaultParagraphFont"/>
    <w:link w:val="EndnoteText"/>
    <w:uiPriority w:val="99"/>
    <w:semiHidden/>
    <w:rsid w:val="00AD2263"/>
    <w:rPr>
      <w:rFonts w:asciiTheme="minorHAnsi" w:hAnsiTheme="minorHAnsi"/>
      <w:color w:val="FFFFFF" w:themeColor="background2"/>
      <w:sz w:val="18"/>
    </w:rPr>
  </w:style>
  <w:style w:type="paragraph" w:styleId="TableofAuthorities">
    <w:name w:val="table of authorities"/>
    <w:basedOn w:val="Normal"/>
    <w:next w:val="Normal"/>
    <w:uiPriority w:val="99"/>
    <w:semiHidden/>
    <w:unhideWhenUsed/>
    <w:rsid w:val="00AD2263"/>
    <w:pPr>
      <w:spacing w:after="0"/>
      <w:ind w:left="200" w:hanging="200"/>
    </w:pPr>
  </w:style>
  <w:style w:type="paragraph" w:styleId="MacroText">
    <w:name w:val="macro"/>
    <w:link w:val="MacroTextChar"/>
    <w:uiPriority w:val="99"/>
    <w:semiHidden/>
    <w:unhideWhenUsed/>
    <w:rsid w:val="00AD2263"/>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18"/>
      <w:szCs w:val="18"/>
    </w:rPr>
  </w:style>
  <w:style w:type="character" w:customStyle="1" w:styleId="MacroTextChar">
    <w:name w:val="Macro Text Char"/>
    <w:basedOn w:val="DefaultParagraphFont"/>
    <w:link w:val="MacroText"/>
    <w:uiPriority w:val="99"/>
    <w:semiHidden/>
    <w:rsid w:val="00AD2263"/>
    <w:rPr>
      <w:rFonts w:ascii="Consolas" w:hAnsi="Consolas" w:cs="Consolas"/>
      <w:sz w:val="18"/>
      <w:szCs w:val="18"/>
    </w:rPr>
  </w:style>
  <w:style w:type="paragraph" w:styleId="TOAHeading">
    <w:name w:val="toa heading"/>
    <w:basedOn w:val="Normal"/>
    <w:next w:val="Normal"/>
    <w:uiPriority w:val="99"/>
    <w:semiHidden/>
    <w:unhideWhenUsed/>
    <w:rsid w:val="00AD2263"/>
    <w:pPr>
      <w:spacing w:before="120"/>
    </w:pPr>
    <w:rPr>
      <w:rFonts w:asciiTheme="majorHAnsi" w:eastAsiaTheme="majorEastAsia" w:hAnsiTheme="majorHAnsi" w:cstheme="majorBidi"/>
      <w:b/>
      <w:bCs/>
      <w:sz w:val="24"/>
      <w:szCs w:val="24"/>
    </w:rPr>
  </w:style>
  <w:style w:type="paragraph" w:styleId="List">
    <w:name w:val="List"/>
    <w:basedOn w:val="Normal"/>
    <w:uiPriority w:val="99"/>
    <w:semiHidden/>
    <w:rsid w:val="00B86744"/>
    <w:pPr>
      <w:numPr>
        <w:numId w:val="9"/>
      </w:numPr>
      <w:contextualSpacing/>
    </w:pPr>
  </w:style>
  <w:style w:type="paragraph" w:styleId="List3">
    <w:name w:val="List 3"/>
    <w:basedOn w:val="Normal"/>
    <w:uiPriority w:val="99"/>
    <w:semiHidden/>
    <w:unhideWhenUsed/>
    <w:rsid w:val="00AD2263"/>
    <w:pPr>
      <w:ind w:left="849" w:hanging="283"/>
      <w:contextualSpacing/>
    </w:pPr>
  </w:style>
  <w:style w:type="paragraph" w:styleId="List4">
    <w:name w:val="List 4"/>
    <w:basedOn w:val="Normal"/>
    <w:uiPriority w:val="99"/>
    <w:semiHidden/>
    <w:unhideWhenUsed/>
    <w:rsid w:val="00AD2263"/>
    <w:pPr>
      <w:ind w:left="1132" w:hanging="283"/>
      <w:contextualSpacing/>
    </w:pPr>
  </w:style>
  <w:style w:type="paragraph" w:styleId="List5">
    <w:name w:val="List 5"/>
    <w:basedOn w:val="Normal"/>
    <w:uiPriority w:val="99"/>
    <w:semiHidden/>
    <w:unhideWhenUsed/>
    <w:rsid w:val="00AD2263"/>
    <w:pPr>
      <w:ind w:left="1415" w:hanging="283"/>
      <w:contextualSpacing/>
    </w:pPr>
  </w:style>
  <w:style w:type="paragraph" w:styleId="ListBullet4">
    <w:name w:val="List Bullet 4"/>
    <w:basedOn w:val="Normal"/>
    <w:uiPriority w:val="99"/>
    <w:semiHidden/>
    <w:unhideWhenUsed/>
    <w:rsid w:val="00AD2263"/>
    <w:pPr>
      <w:numPr>
        <w:numId w:val="1"/>
      </w:numPr>
      <w:contextualSpacing/>
    </w:pPr>
  </w:style>
  <w:style w:type="paragraph" w:styleId="ListBullet5">
    <w:name w:val="List Bullet 5"/>
    <w:basedOn w:val="Normal"/>
    <w:uiPriority w:val="99"/>
    <w:semiHidden/>
    <w:unhideWhenUsed/>
    <w:rsid w:val="00AD2263"/>
    <w:pPr>
      <w:numPr>
        <w:numId w:val="2"/>
      </w:numPr>
      <w:contextualSpacing/>
    </w:pPr>
  </w:style>
  <w:style w:type="paragraph" w:styleId="ListNumber4">
    <w:name w:val="List Number 4"/>
    <w:basedOn w:val="Normal"/>
    <w:uiPriority w:val="99"/>
    <w:semiHidden/>
    <w:unhideWhenUsed/>
    <w:rsid w:val="00AD2263"/>
    <w:pPr>
      <w:numPr>
        <w:numId w:val="3"/>
      </w:numPr>
      <w:contextualSpacing/>
    </w:pPr>
  </w:style>
  <w:style w:type="paragraph" w:styleId="ListNumber5">
    <w:name w:val="List Number 5"/>
    <w:basedOn w:val="Normal"/>
    <w:uiPriority w:val="99"/>
    <w:semiHidden/>
    <w:unhideWhenUsed/>
    <w:rsid w:val="00AD2263"/>
    <w:pPr>
      <w:numPr>
        <w:numId w:val="4"/>
      </w:numPr>
      <w:contextualSpacing/>
    </w:pPr>
  </w:style>
  <w:style w:type="paragraph" w:styleId="Title">
    <w:name w:val="Title"/>
    <w:basedOn w:val="Normal"/>
    <w:next w:val="Normal"/>
    <w:link w:val="TitleChar"/>
    <w:uiPriority w:val="10"/>
    <w:semiHidden/>
    <w:unhideWhenUsed/>
    <w:qFormat/>
    <w:rsid w:val="00AD2263"/>
    <w:pPr>
      <w:pBdr>
        <w:bottom w:val="single" w:sz="8" w:space="4" w:color="82C341" w:themeColor="accent1"/>
      </w:pBdr>
      <w:spacing w:after="300"/>
      <w:contextualSpacing/>
    </w:pPr>
    <w:rPr>
      <w:rFonts w:asciiTheme="majorHAnsi" w:eastAsiaTheme="majorEastAsia" w:hAnsiTheme="majorHAnsi" w:cstheme="majorBidi"/>
      <w:color w:val="8A8E91" w:themeColor="text2" w:themeShade="BF"/>
      <w:spacing w:val="5"/>
      <w:kern w:val="28"/>
      <w:sz w:val="52"/>
      <w:szCs w:val="52"/>
    </w:rPr>
  </w:style>
  <w:style w:type="character" w:customStyle="1" w:styleId="TitleChar">
    <w:name w:val="Title Char"/>
    <w:basedOn w:val="DefaultParagraphFont"/>
    <w:link w:val="Title"/>
    <w:uiPriority w:val="10"/>
    <w:semiHidden/>
    <w:rsid w:val="00AD2263"/>
    <w:rPr>
      <w:rFonts w:asciiTheme="majorHAnsi" w:eastAsiaTheme="majorEastAsia" w:hAnsiTheme="majorHAnsi" w:cstheme="majorBidi"/>
      <w:color w:val="8A8E91" w:themeColor="text2" w:themeShade="BF"/>
      <w:spacing w:val="5"/>
      <w:kern w:val="28"/>
      <w:sz w:val="52"/>
      <w:szCs w:val="52"/>
    </w:rPr>
  </w:style>
  <w:style w:type="paragraph" w:styleId="Closing">
    <w:name w:val="Closing"/>
    <w:basedOn w:val="Normal"/>
    <w:link w:val="ClosingChar"/>
    <w:uiPriority w:val="99"/>
    <w:semiHidden/>
    <w:unhideWhenUsed/>
    <w:rsid w:val="00AD2263"/>
    <w:pPr>
      <w:spacing w:after="0"/>
      <w:ind w:left="4252"/>
    </w:pPr>
  </w:style>
  <w:style w:type="character" w:customStyle="1" w:styleId="ClosingChar">
    <w:name w:val="Closing Char"/>
    <w:basedOn w:val="DefaultParagraphFont"/>
    <w:link w:val="Closing"/>
    <w:uiPriority w:val="99"/>
    <w:semiHidden/>
    <w:rsid w:val="00AD2263"/>
    <w:rPr>
      <w:rFonts w:asciiTheme="minorHAnsi" w:hAnsiTheme="minorHAnsi"/>
      <w:color w:val="FFFFFF" w:themeColor="background2"/>
      <w:sz w:val="18"/>
    </w:rPr>
  </w:style>
  <w:style w:type="paragraph" w:styleId="Signature">
    <w:name w:val="Signature"/>
    <w:basedOn w:val="Normal"/>
    <w:link w:val="SignatureChar"/>
    <w:uiPriority w:val="99"/>
    <w:semiHidden/>
    <w:unhideWhenUsed/>
    <w:rsid w:val="00AD2263"/>
    <w:pPr>
      <w:spacing w:after="0"/>
      <w:ind w:left="4252"/>
    </w:pPr>
  </w:style>
  <w:style w:type="character" w:customStyle="1" w:styleId="SignatureChar">
    <w:name w:val="Signature Char"/>
    <w:basedOn w:val="DefaultParagraphFont"/>
    <w:link w:val="Signature"/>
    <w:uiPriority w:val="99"/>
    <w:semiHidden/>
    <w:rsid w:val="00AD2263"/>
    <w:rPr>
      <w:rFonts w:asciiTheme="minorHAnsi" w:hAnsiTheme="minorHAnsi"/>
      <w:color w:val="FFFFFF" w:themeColor="background2"/>
      <w:sz w:val="18"/>
    </w:rPr>
  </w:style>
  <w:style w:type="paragraph" w:styleId="BodyTextIndent">
    <w:name w:val="Body Text Indent"/>
    <w:basedOn w:val="Normal"/>
    <w:link w:val="BodyTextIndentChar"/>
    <w:uiPriority w:val="99"/>
    <w:semiHidden/>
    <w:unhideWhenUsed/>
    <w:rsid w:val="00AD2263"/>
    <w:pPr>
      <w:ind w:left="283"/>
    </w:pPr>
  </w:style>
  <w:style w:type="character" w:customStyle="1" w:styleId="BodyTextIndentChar">
    <w:name w:val="Body Text Indent Char"/>
    <w:basedOn w:val="DefaultParagraphFont"/>
    <w:link w:val="BodyTextIndent"/>
    <w:uiPriority w:val="99"/>
    <w:semiHidden/>
    <w:rsid w:val="00AD2263"/>
    <w:rPr>
      <w:rFonts w:asciiTheme="minorHAnsi" w:hAnsiTheme="minorHAnsi"/>
      <w:color w:val="FFFFFF" w:themeColor="background2"/>
      <w:sz w:val="18"/>
    </w:rPr>
  </w:style>
  <w:style w:type="paragraph" w:styleId="ListContinue">
    <w:name w:val="List Continue"/>
    <w:basedOn w:val="Normal"/>
    <w:uiPriority w:val="99"/>
    <w:semiHidden/>
    <w:unhideWhenUsed/>
    <w:rsid w:val="00AD2263"/>
    <w:pPr>
      <w:ind w:left="283"/>
      <w:contextualSpacing/>
    </w:pPr>
  </w:style>
  <w:style w:type="paragraph" w:styleId="ListContinue2">
    <w:name w:val="List Continue 2"/>
    <w:basedOn w:val="Normal"/>
    <w:uiPriority w:val="99"/>
    <w:semiHidden/>
    <w:unhideWhenUsed/>
    <w:rsid w:val="00AD2263"/>
    <w:pPr>
      <w:ind w:left="566"/>
      <w:contextualSpacing/>
    </w:pPr>
  </w:style>
  <w:style w:type="paragraph" w:styleId="ListContinue3">
    <w:name w:val="List Continue 3"/>
    <w:basedOn w:val="Normal"/>
    <w:uiPriority w:val="99"/>
    <w:semiHidden/>
    <w:unhideWhenUsed/>
    <w:rsid w:val="00AD2263"/>
    <w:pPr>
      <w:ind w:left="849"/>
      <w:contextualSpacing/>
    </w:pPr>
  </w:style>
  <w:style w:type="paragraph" w:styleId="ListContinue4">
    <w:name w:val="List Continue 4"/>
    <w:basedOn w:val="Normal"/>
    <w:uiPriority w:val="99"/>
    <w:semiHidden/>
    <w:unhideWhenUsed/>
    <w:rsid w:val="00AD2263"/>
    <w:pPr>
      <w:ind w:left="1132"/>
      <w:contextualSpacing/>
    </w:pPr>
  </w:style>
  <w:style w:type="paragraph" w:styleId="ListContinue5">
    <w:name w:val="List Continue 5"/>
    <w:basedOn w:val="Normal"/>
    <w:uiPriority w:val="99"/>
    <w:semiHidden/>
    <w:unhideWhenUsed/>
    <w:rsid w:val="00AD2263"/>
    <w:pPr>
      <w:ind w:left="1415"/>
      <w:contextualSpacing/>
    </w:pPr>
  </w:style>
  <w:style w:type="paragraph" w:styleId="MessageHeader">
    <w:name w:val="Message Header"/>
    <w:basedOn w:val="Normal"/>
    <w:link w:val="MessageHeaderChar"/>
    <w:uiPriority w:val="99"/>
    <w:semiHidden/>
    <w:unhideWhenUsed/>
    <w:rsid w:val="00AD2263"/>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D2263"/>
    <w:rPr>
      <w:rFonts w:asciiTheme="majorHAnsi" w:eastAsiaTheme="majorEastAsia" w:hAnsiTheme="majorHAnsi" w:cstheme="majorBidi"/>
      <w:color w:val="FFFFFF" w:themeColor="background2"/>
      <w:sz w:val="24"/>
      <w:szCs w:val="24"/>
      <w:shd w:val="pct20" w:color="auto" w:fill="auto"/>
    </w:rPr>
  </w:style>
  <w:style w:type="paragraph" w:styleId="Subtitle">
    <w:name w:val="Subtitle"/>
    <w:basedOn w:val="Normal"/>
    <w:next w:val="Normal"/>
    <w:link w:val="SubtitleChar"/>
    <w:uiPriority w:val="11"/>
    <w:semiHidden/>
    <w:unhideWhenUsed/>
    <w:qFormat/>
    <w:rsid w:val="00AD2263"/>
    <w:pPr>
      <w:numPr>
        <w:ilvl w:val="1"/>
      </w:numPr>
    </w:pPr>
    <w:rPr>
      <w:rFonts w:asciiTheme="majorHAnsi" w:eastAsiaTheme="majorEastAsia" w:hAnsiTheme="majorHAnsi" w:cstheme="majorBidi"/>
      <w:i/>
      <w:iCs/>
      <w:color w:val="82C341" w:themeColor="accent1"/>
      <w:spacing w:val="15"/>
      <w:sz w:val="24"/>
      <w:szCs w:val="24"/>
    </w:rPr>
  </w:style>
  <w:style w:type="character" w:customStyle="1" w:styleId="SubtitleChar">
    <w:name w:val="Subtitle Char"/>
    <w:basedOn w:val="DefaultParagraphFont"/>
    <w:link w:val="Subtitle"/>
    <w:uiPriority w:val="11"/>
    <w:semiHidden/>
    <w:rsid w:val="00AD2263"/>
    <w:rPr>
      <w:rFonts w:asciiTheme="majorHAnsi" w:eastAsiaTheme="majorEastAsia" w:hAnsiTheme="majorHAnsi" w:cstheme="majorBidi"/>
      <w:i/>
      <w:iCs/>
      <w:color w:val="82C341" w:themeColor="accent1"/>
      <w:spacing w:val="15"/>
      <w:sz w:val="24"/>
      <w:szCs w:val="24"/>
    </w:rPr>
  </w:style>
  <w:style w:type="paragraph" w:styleId="Salutation">
    <w:name w:val="Salutation"/>
    <w:basedOn w:val="Normal"/>
    <w:next w:val="Normal"/>
    <w:link w:val="SalutationChar"/>
    <w:uiPriority w:val="99"/>
    <w:semiHidden/>
    <w:unhideWhenUsed/>
    <w:rsid w:val="00AD2263"/>
  </w:style>
  <w:style w:type="character" w:customStyle="1" w:styleId="SalutationChar">
    <w:name w:val="Salutation Char"/>
    <w:basedOn w:val="DefaultParagraphFont"/>
    <w:link w:val="Salutation"/>
    <w:uiPriority w:val="99"/>
    <w:semiHidden/>
    <w:rsid w:val="00AD2263"/>
    <w:rPr>
      <w:rFonts w:asciiTheme="minorHAnsi" w:hAnsiTheme="minorHAnsi"/>
      <w:color w:val="FFFFFF" w:themeColor="background2"/>
      <w:sz w:val="18"/>
    </w:rPr>
  </w:style>
  <w:style w:type="paragraph" w:styleId="Date">
    <w:name w:val="Date"/>
    <w:basedOn w:val="Normal"/>
    <w:next w:val="Normal"/>
    <w:link w:val="DateChar"/>
    <w:uiPriority w:val="99"/>
    <w:semiHidden/>
    <w:unhideWhenUsed/>
    <w:rsid w:val="00AD2263"/>
  </w:style>
  <w:style w:type="character" w:customStyle="1" w:styleId="DateChar">
    <w:name w:val="Date Char"/>
    <w:basedOn w:val="DefaultParagraphFont"/>
    <w:link w:val="Date"/>
    <w:uiPriority w:val="99"/>
    <w:semiHidden/>
    <w:rsid w:val="00AD2263"/>
    <w:rPr>
      <w:rFonts w:asciiTheme="minorHAnsi" w:hAnsiTheme="minorHAnsi"/>
      <w:color w:val="FFFFFF" w:themeColor="background2"/>
      <w:sz w:val="18"/>
    </w:rPr>
  </w:style>
  <w:style w:type="paragraph" w:styleId="BodyTextFirstIndent">
    <w:name w:val="Body Text First Indent"/>
    <w:basedOn w:val="Normal"/>
    <w:link w:val="BodyTextFirstIndentChar"/>
    <w:uiPriority w:val="99"/>
    <w:semiHidden/>
    <w:unhideWhenUsed/>
    <w:rsid w:val="008A02E3"/>
    <w:pPr>
      <w:ind w:firstLine="360"/>
    </w:pPr>
  </w:style>
  <w:style w:type="character" w:customStyle="1" w:styleId="BodyTextFirstIndentChar">
    <w:name w:val="Body Text First Indent Char"/>
    <w:basedOn w:val="DefaultParagraphFont"/>
    <w:link w:val="BodyTextFirstIndent"/>
    <w:uiPriority w:val="99"/>
    <w:semiHidden/>
    <w:rsid w:val="008A02E3"/>
    <w:rPr>
      <w:rFonts w:asciiTheme="minorHAnsi" w:hAnsiTheme="minorHAnsi"/>
      <w:color w:val="FFFFFF" w:themeColor="background2"/>
      <w:sz w:val="18"/>
    </w:rPr>
  </w:style>
  <w:style w:type="paragraph" w:styleId="BodyTextFirstIndent2">
    <w:name w:val="Body Text First Indent 2"/>
    <w:basedOn w:val="BodyTextIndent"/>
    <w:link w:val="BodyTextFirstIndent2Char"/>
    <w:uiPriority w:val="99"/>
    <w:semiHidden/>
    <w:unhideWhenUsed/>
    <w:rsid w:val="00AD2263"/>
    <w:pPr>
      <w:ind w:left="360" w:firstLine="360"/>
    </w:pPr>
  </w:style>
  <w:style w:type="character" w:customStyle="1" w:styleId="BodyTextFirstIndent2Char">
    <w:name w:val="Body Text First Indent 2 Char"/>
    <w:basedOn w:val="BodyTextIndentChar"/>
    <w:link w:val="BodyTextFirstIndent2"/>
    <w:uiPriority w:val="99"/>
    <w:semiHidden/>
    <w:rsid w:val="00AD2263"/>
    <w:rPr>
      <w:rFonts w:asciiTheme="minorHAnsi" w:hAnsiTheme="minorHAnsi"/>
      <w:color w:val="FFFFFF" w:themeColor="background2"/>
      <w:sz w:val="18"/>
    </w:rPr>
  </w:style>
  <w:style w:type="paragraph" w:styleId="BodyText2">
    <w:name w:val="Body Text 2"/>
    <w:basedOn w:val="Normal"/>
    <w:link w:val="BodyText2Char"/>
    <w:uiPriority w:val="99"/>
    <w:semiHidden/>
    <w:unhideWhenUsed/>
    <w:rsid w:val="00AD2263"/>
    <w:pPr>
      <w:spacing w:line="480" w:lineRule="auto"/>
    </w:pPr>
  </w:style>
  <w:style w:type="character" w:customStyle="1" w:styleId="BodyText2Char">
    <w:name w:val="Body Text 2 Char"/>
    <w:basedOn w:val="DefaultParagraphFont"/>
    <w:link w:val="BodyText2"/>
    <w:uiPriority w:val="99"/>
    <w:semiHidden/>
    <w:rsid w:val="00AD2263"/>
    <w:rPr>
      <w:rFonts w:asciiTheme="minorHAnsi" w:hAnsiTheme="minorHAnsi"/>
      <w:color w:val="FFFFFF" w:themeColor="background2"/>
      <w:sz w:val="18"/>
    </w:rPr>
  </w:style>
  <w:style w:type="paragraph" w:styleId="BodyText3">
    <w:name w:val="Body Text 3"/>
    <w:basedOn w:val="Normal"/>
    <w:link w:val="BodyText3Char"/>
    <w:uiPriority w:val="99"/>
    <w:semiHidden/>
    <w:unhideWhenUsed/>
    <w:rsid w:val="00AD2263"/>
    <w:rPr>
      <w:sz w:val="16"/>
      <w:szCs w:val="16"/>
    </w:rPr>
  </w:style>
  <w:style w:type="character" w:customStyle="1" w:styleId="BodyText3Char">
    <w:name w:val="Body Text 3 Char"/>
    <w:basedOn w:val="DefaultParagraphFont"/>
    <w:link w:val="BodyText3"/>
    <w:uiPriority w:val="99"/>
    <w:semiHidden/>
    <w:rsid w:val="00AD2263"/>
    <w:rPr>
      <w:rFonts w:asciiTheme="minorHAnsi" w:hAnsiTheme="minorHAnsi"/>
      <w:color w:val="FFFFFF" w:themeColor="background2"/>
      <w:sz w:val="16"/>
      <w:szCs w:val="16"/>
    </w:rPr>
  </w:style>
  <w:style w:type="paragraph" w:styleId="BodyTextIndent2">
    <w:name w:val="Body Text Indent 2"/>
    <w:basedOn w:val="Normal"/>
    <w:link w:val="BodyTextIndent2Char"/>
    <w:uiPriority w:val="99"/>
    <w:semiHidden/>
    <w:unhideWhenUsed/>
    <w:rsid w:val="00AD2263"/>
    <w:pPr>
      <w:spacing w:line="480" w:lineRule="auto"/>
      <w:ind w:left="283"/>
    </w:pPr>
  </w:style>
  <w:style w:type="character" w:customStyle="1" w:styleId="BodyTextIndent2Char">
    <w:name w:val="Body Text Indent 2 Char"/>
    <w:basedOn w:val="DefaultParagraphFont"/>
    <w:link w:val="BodyTextIndent2"/>
    <w:uiPriority w:val="99"/>
    <w:semiHidden/>
    <w:rsid w:val="00AD2263"/>
    <w:rPr>
      <w:rFonts w:asciiTheme="minorHAnsi" w:hAnsiTheme="minorHAnsi"/>
      <w:color w:val="FFFFFF" w:themeColor="background2"/>
      <w:sz w:val="18"/>
    </w:rPr>
  </w:style>
  <w:style w:type="paragraph" w:styleId="BodyTextIndent3">
    <w:name w:val="Body Text Indent 3"/>
    <w:basedOn w:val="Normal"/>
    <w:link w:val="BodyTextIndent3Char"/>
    <w:uiPriority w:val="99"/>
    <w:semiHidden/>
    <w:unhideWhenUsed/>
    <w:rsid w:val="00AD2263"/>
    <w:pPr>
      <w:ind w:left="283"/>
    </w:pPr>
    <w:rPr>
      <w:sz w:val="16"/>
      <w:szCs w:val="16"/>
    </w:rPr>
  </w:style>
  <w:style w:type="character" w:customStyle="1" w:styleId="BodyTextIndent3Char">
    <w:name w:val="Body Text Indent 3 Char"/>
    <w:basedOn w:val="DefaultParagraphFont"/>
    <w:link w:val="BodyTextIndent3"/>
    <w:uiPriority w:val="99"/>
    <w:semiHidden/>
    <w:rsid w:val="00AD2263"/>
    <w:rPr>
      <w:rFonts w:asciiTheme="minorHAnsi" w:hAnsiTheme="minorHAnsi"/>
      <w:color w:val="FFFFFF" w:themeColor="background2"/>
      <w:sz w:val="16"/>
      <w:szCs w:val="16"/>
    </w:rPr>
  </w:style>
  <w:style w:type="paragraph" w:styleId="BlockText">
    <w:name w:val="Block Text"/>
    <w:basedOn w:val="Normal"/>
    <w:uiPriority w:val="99"/>
    <w:semiHidden/>
    <w:unhideWhenUsed/>
    <w:rsid w:val="00AD2263"/>
    <w:pPr>
      <w:pBdr>
        <w:top w:val="single" w:sz="2" w:space="10" w:color="82C341" w:themeColor="accent1" w:shadow="1" w:frame="1"/>
        <w:left w:val="single" w:sz="2" w:space="10" w:color="82C341" w:themeColor="accent1" w:shadow="1" w:frame="1"/>
        <w:bottom w:val="single" w:sz="2" w:space="10" w:color="82C341" w:themeColor="accent1" w:shadow="1" w:frame="1"/>
        <w:right w:val="single" w:sz="2" w:space="10" w:color="82C341" w:themeColor="accent1" w:shadow="1" w:frame="1"/>
      </w:pBdr>
      <w:ind w:left="1152" w:right="1152"/>
    </w:pPr>
    <w:rPr>
      <w:rFonts w:eastAsiaTheme="minorEastAsia" w:cstheme="minorBidi"/>
      <w:i/>
      <w:iCs/>
      <w:color w:val="82C341" w:themeColor="accent1"/>
    </w:rPr>
  </w:style>
  <w:style w:type="paragraph" w:styleId="DocumentMap">
    <w:name w:val="Document Map"/>
    <w:basedOn w:val="Normal"/>
    <w:link w:val="DocumentMapChar"/>
    <w:semiHidden/>
    <w:rsid w:val="00AD2263"/>
    <w:pPr>
      <w:shd w:val="clear" w:color="auto" w:fill="000080"/>
      <w:spacing w:after="0"/>
    </w:pPr>
    <w:rPr>
      <w:rFonts w:ascii="Tahoma" w:eastAsia="Times New Roman" w:hAnsi="Tahoma" w:cs="Tahoma"/>
      <w:sz w:val="24"/>
      <w:szCs w:val="24"/>
      <w:lang w:eastAsia="en-AU"/>
    </w:rPr>
  </w:style>
  <w:style w:type="character" w:customStyle="1" w:styleId="DocumentMapChar">
    <w:name w:val="Document Map Char"/>
    <w:basedOn w:val="DefaultParagraphFont"/>
    <w:link w:val="DocumentMap"/>
    <w:semiHidden/>
    <w:rsid w:val="00AD2263"/>
    <w:rPr>
      <w:rFonts w:ascii="Tahoma" w:eastAsia="Times New Roman" w:hAnsi="Tahoma" w:cs="Tahoma"/>
      <w:color w:val="FFFFFF" w:themeColor="background2"/>
      <w:sz w:val="24"/>
      <w:szCs w:val="24"/>
      <w:shd w:val="clear" w:color="auto" w:fill="000080"/>
      <w:lang w:eastAsia="en-AU"/>
    </w:rPr>
  </w:style>
  <w:style w:type="paragraph" w:styleId="E-mailSignature">
    <w:name w:val="E-mail Signature"/>
    <w:basedOn w:val="Normal"/>
    <w:link w:val="E-mailSignatureChar"/>
    <w:uiPriority w:val="99"/>
    <w:semiHidden/>
    <w:unhideWhenUsed/>
    <w:rsid w:val="00AD2263"/>
    <w:pPr>
      <w:spacing w:after="0"/>
    </w:pPr>
  </w:style>
  <w:style w:type="character" w:customStyle="1" w:styleId="E-mailSignatureChar">
    <w:name w:val="E-mail Signature Char"/>
    <w:basedOn w:val="DefaultParagraphFont"/>
    <w:link w:val="E-mailSignature"/>
    <w:uiPriority w:val="99"/>
    <w:semiHidden/>
    <w:rsid w:val="00AD2263"/>
    <w:rPr>
      <w:rFonts w:asciiTheme="minorHAnsi" w:hAnsiTheme="minorHAnsi"/>
      <w:color w:val="FFFFFF" w:themeColor="background2"/>
      <w:sz w:val="18"/>
    </w:rPr>
  </w:style>
  <w:style w:type="paragraph" w:styleId="HTMLAddress">
    <w:name w:val="HTML Address"/>
    <w:basedOn w:val="Normal"/>
    <w:link w:val="HTMLAddressChar"/>
    <w:uiPriority w:val="99"/>
    <w:semiHidden/>
    <w:unhideWhenUsed/>
    <w:rsid w:val="00AD2263"/>
    <w:pPr>
      <w:spacing w:after="0"/>
    </w:pPr>
    <w:rPr>
      <w:i/>
      <w:iCs/>
    </w:rPr>
  </w:style>
  <w:style w:type="character" w:customStyle="1" w:styleId="HTMLAddressChar">
    <w:name w:val="HTML Address Char"/>
    <w:basedOn w:val="DefaultParagraphFont"/>
    <w:link w:val="HTMLAddress"/>
    <w:uiPriority w:val="99"/>
    <w:semiHidden/>
    <w:rsid w:val="00AD2263"/>
    <w:rPr>
      <w:rFonts w:asciiTheme="minorHAnsi" w:hAnsiTheme="minorHAnsi"/>
      <w:i/>
      <w:iCs/>
      <w:color w:val="FFFFFF" w:themeColor="background2"/>
      <w:sz w:val="18"/>
    </w:rPr>
  </w:style>
  <w:style w:type="paragraph" w:styleId="HTMLPreformatted">
    <w:name w:val="HTML Preformatted"/>
    <w:basedOn w:val="Normal"/>
    <w:link w:val="HTMLPreformattedChar"/>
    <w:uiPriority w:val="99"/>
    <w:semiHidden/>
    <w:unhideWhenUsed/>
    <w:rsid w:val="00AD2263"/>
    <w:pPr>
      <w:spacing w:after="0"/>
    </w:pPr>
    <w:rPr>
      <w:rFonts w:ascii="Consolas" w:hAnsi="Consolas" w:cs="Consolas"/>
    </w:rPr>
  </w:style>
  <w:style w:type="character" w:customStyle="1" w:styleId="HTMLPreformattedChar">
    <w:name w:val="HTML Preformatted Char"/>
    <w:basedOn w:val="DefaultParagraphFont"/>
    <w:link w:val="HTMLPreformatted"/>
    <w:uiPriority w:val="99"/>
    <w:semiHidden/>
    <w:rsid w:val="00AD2263"/>
    <w:rPr>
      <w:rFonts w:ascii="Consolas" w:hAnsi="Consolas" w:cs="Consolas"/>
      <w:color w:val="FFFFFF" w:themeColor="background2"/>
      <w:sz w:val="18"/>
    </w:rPr>
  </w:style>
  <w:style w:type="paragraph" w:styleId="CommentSubject">
    <w:name w:val="annotation subject"/>
    <w:basedOn w:val="Normal"/>
    <w:next w:val="Normal"/>
    <w:link w:val="CommentSubjectChar"/>
    <w:uiPriority w:val="99"/>
    <w:semiHidden/>
    <w:unhideWhenUsed/>
    <w:rsid w:val="00171BB3"/>
    <w:pPr>
      <w:spacing w:after="120"/>
    </w:pPr>
    <w:rPr>
      <w:rFonts w:ascii="Arial" w:eastAsia="Times New Roman" w:hAnsi="Arial"/>
      <w:b/>
      <w:bCs/>
      <w:lang w:eastAsia="en-AU"/>
    </w:rPr>
  </w:style>
  <w:style w:type="character" w:customStyle="1" w:styleId="CommentSubjectChar">
    <w:name w:val="Comment Subject Char"/>
    <w:basedOn w:val="DefaultParagraphFont"/>
    <w:link w:val="CommentSubject"/>
    <w:uiPriority w:val="99"/>
    <w:semiHidden/>
    <w:rsid w:val="00171BB3"/>
    <w:rPr>
      <w:rFonts w:ascii="Arial" w:eastAsia="Times New Roman" w:hAnsi="Arial"/>
      <w:b/>
      <w:bCs/>
      <w:color w:val="FFFFFF" w:themeColor="background2"/>
      <w:sz w:val="18"/>
      <w:lang w:eastAsia="en-AU"/>
    </w:rPr>
  </w:style>
  <w:style w:type="paragraph" w:styleId="IntenseQuote">
    <w:name w:val="Intense Quote"/>
    <w:basedOn w:val="Normal"/>
    <w:next w:val="Normal"/>
    <w:link w:val="IntenseQuoteChar"/>
    <w:uiPriority w:val="30"/>
    <w:semiHidden/>
    <w:unhideWhenUsed/>
    <w:rsid w:val="00AD2263"/>
    <w:pPr>
      <w:pBdr>
        <w:bottom w:val="single" w:sz="4" w:space="4" w:color="82C341" w:themeColor="accent1"/>
      </w:pBdr>
      <w:spacing w:before="200" w:after="280"/>
      <w:ind w:left="936" w:right="936"/>
    </w:pPr>
    <w:rPr>
      <w:b/>
      <w:bCs/>
      <w:i/>
      <w:iCs/>
      <w:color w:val="82C341" w:themeColor="accent1"/>
    </w:rPr>
  </w:style>
  <w:style w:type="character" w:customStyle="1" w:styleId="IntenseQuoteChar">
    <w:name w:val="Intense Quote Char"/>
    <w:basedOn w:val="DefaultParagraphFont"/>
    <w:link w:val="IntenseQuote"/>
    <w:uiPriority w:val="30"/>
    <w:semiHidden/>
    <w:rsid w:val="00AD2263"/>
    <w:rPr>
      <w:rFonts w:asciiTheme="minorHAnsi" w:hAnsiTheme="minorHAnsi"/>
      <w:b/>
      <w:bCs/>
      <w:i/>
      <w:iCs/>
      <w:color w:val="82C341" w:themeColor="accent1"/>
      <w:sz w:val="18"/>
    </w:rPr>
  </w:style>
  <w:style w:type="paragraph" w:styleId="Bibliography">
    <w:name w:val="Bibliography"/>
    <w:basedOn w:val="Normal"/>
    <w:next w:val="Normal"/>
    <w:uiPriority w:val="37"/>
    <w:semiHidden/>
    <w:unhideWhenUsed/>
    <w:rsid w:val="00AD2263"/>
  </w:style>
  <w:style w:type="paragraph" w:customStyle="1" w:styleId="SectionDividerTitle">
    <w:name w:val="Section Divider Title"/>
    <w:basedOn w:val="Normal"/>
    <w:next w:val="Normal"/>
    <w:qFormat/>
    <w:rsid w:val="00CC389F"/>
    <w:pPr>
      <w:framePr w:w="9639" w:h="2835" w:hRule="exact" w:wrap="around" w:vAnchor="page" w:hAnchor="page" w:x="1135" w:y="1135" w:anchorLock="1"/>
      <w:numPr>
        <w:numId w:val="13"/>
      </w:numPr>
      <w:spacing w:after="2960" w:line="480" w:lineRule="atLeast"/>
      <w:contextualSpacing/>
    </w:pPr>
    <w:rPr>
      <w:rFonts w:asciiTheme="majorHAnsi" w:hAnsiTheme="majorHAnsi"/>
      <w:sz w:val="42"/>
    </w:rPr>
  </w:style>
  <w:style w:type="paragraph" w:customStyle="1" w:styleId="FootnoteSpacer">
    <w:name w:val="Footnote Spacer"/>
    <w:basedOn w:val="Footer"/>
    <w:semiHidden/>
    <w:qFormat/>
    <w:rsid w:val="00301960"/>
    <w:pPr>
      <w:pBdr>
        <w:bottom w:val="single" w:sz="6" w:space="1" w:color="000000" w:themeColor="text1"/>
      </w:pBdr>
      <w:spacing w:after="80"/>
    </w:pPr>
  </w:style>
  <w:style w:type="paragraph" w:customStyle="1" w:styleId="TableText-Numbers">
    <w:name w:val="Table Text - Numbers"/>
    <w:basedOn w:val="TableText"/>
    <w:semiHidden/>
    <w:qFormat/>
    <w:rsid w:val="008528E0"/>
    <w:pPr>
      <w:ind w:right="17"/>
      <w:jc w:val="right"/>
    </w:pPr>
  </w:style>
  <w:style w:type="paragraph" w:customStyle="1" w:styleId="TableText-NumbersNeg">
    <w:name w:val="Table Text - Numbers Neg"/>
    <w:basedOn w:val="TableText"/>
    <w:semiHidden/>
    <w:qFormat/>
    <w:rsid w:val="008528E0"/>
    <w:pPr>
      <w:ind w:right="-40"/>
      <w:jc w:val="right"/>
    </w:pPr>
  </w:style>
  <w:style w:type="paragraph" w:customStyle="1" w:styleId="TableHeading-Numbers">
    <w:name w:val="Table Heading - Numbers"/>
    <w:basedOn w:val="TableHeading"/>
    <w:semiHidden/>
    <w:qFormat/>
    <w:rsid w:val="008528E0"/>
    <w:pPr>
      <w:ind w:right="17"/>
      <w:jc w:val="right"/>
    </w:pPr>
  </w:style>
  <w:style w:type="paragraph" w:styleId="List2">
    <w:name w:val="List 2"/>
    <w:basedOn w:val="Normal"/>
    <w:uiPriority w:val="99"/>
    <w:semiHidden/>
    <w:rsid w:val="00B86744"/>
    <w:pPr>
      <w:numPr>
        <w:ilvl w:val="1"/>
        <w:numId w:val="9"/>
      </w:numPr>
      <w:contextualSpacing/>
    </w:pPr>
  </w:style>
  <w:style w:type="paragraph" w:customStyle="1" w:styleId="TableText-NumbersBold">
    <w:name w:val="Table Text - NumbersBold"/>
    <w:basedOn w:val="TableText-Numbers"/>
    <w:semiHidden/>
    <w:qFormat/>
    <w:rsid w:val="0084771A"/>
    <w:pPr>
      <w:ind w:right="0"/>
    </w:pPr>
    <w:rPr>
      <w:b/>
    </w:rPr>
  </w:style>
  <w:style w:type="paragraph" w:customStyle="1" w:styleId="TableText-NumbersBoldNeg">
    <w:name w:val="Table Text - NumbersBoldNeg"/>
    <w:basedOn w:val="TableText-NumbersBold"/>
    <w:semiHidden/>
    <w:qFormat/>
    <w:rsid w:val="008528E0"/>
    <w:pPr>
      <w:ind w:right="-57"/>
    </w:pPr>
  </w:style>
  <w:style w:type="paragraph" w:customStyle="1" w:styleId="FooterDetailsEven">
    <w:name w:val="Footer Details Even"/>
    <w:basedOn w:val="FooterDetails"/>
    <w:rsid w:val="00807D31"/>
    <w:rPr>
      <w:b/>
    </w:rPr>
  </w:style>
  <w:style w:type="character" w:styleId="PageNumber">
    <w:name w:val="page number"/>
    <w:basedOn w:val="DefaultParagraphFont"/>
    <w:uiPriority w:val="99"/>
    <w:semiHidden/>
    <w:rsid w:val="00807D31"/>
    <w:rPr>
      <w:rFonts w:asciiTheme="majorHAnsi" w:hAnsiTheme="majorHAnsi"/>
      <w:b/>
      <w:color w:val="000000" w:themeColor="text1"/>
    </w:rPr>
  </w:style>
  <w:style w:type="paragraph" w:customStyle="1" w:styleId="IntroCopy">
    <w:name w:val="IntroCopy"/>
    <w:basedOn w:val="Normal"/>
    <w:next w:val="Normal"/>
    <w:qFormat/>
    <w:rsid w:val="00BC52BC"/>
    <w:pPr>
      <w:spacing w:after="170" w:line="300" w:lineRule="atLeast"/>
    </w:pPr>
    <w:rPr>
      <w:rFonts w:asciiTheme="majorHAnsi" w:hAnsiTheme="majorHAnsi"/>
      <w:sz w:val="24"/>
    </w:rPr>
  </w:style>
  <w:style w:type="paragraph" w:styleId="ListBullet3">
    <w:name w:val="List Bullet 3"/>
    <w:basedOn w:val="Normal"/>
    <w:uiPriority w:val="1"/>
    <w:semiHidden/>
    <w:qFormat/>
    <w:rsid w:val="00D12825"/>
    <w:pPr>
      <w:numPr>
        <w:ilvl w:val="2"/>
        <w:numId w:val="11"/>
      </w:numPr>
      <w:contextualSpacing/>
    </w:pPr>
  </w:style>
  <w:style w:type="paragraph" w:styleId="ListNumber3">
    <w:name w:val="List Number 3"/>
    <w:basedOn w:val="Normal"/>
    <w:uiPriority w:val="2"/>
    <w:semiHidden/>
    <w:qFormat/>
    <w:rsid w:val="00B11D27"/>
    <w:pPr>
      <w:numPr>
        <w:ilvl w:val="2"/>
        <w:numId w:val="10"/>
      </w:numPr>
      <w:contextualSpacing/>
    </w:pPr>
  </w:style>
  <w:style w:type="table" w:styleId="TableGridLight">
    <w:name w:val="Grid Table Light"/>
    <w:basedOn w:val="TableNormal"/>
    <w:uiPriority w:val="40"/>
    <w:rsid w:val="002C1573"/>
    <w:tblPr>
      <w:tblBorders>
        <w:top w:val="single" w:sz="4" w:space="0" w:color="61932E" w:themeColor="background1" w:themeShade="BF"/>
        <w:left w:val="single" w:sz="4" w:space="0" w:color="61932E" w:themeColor="background1" w:themeShade="BF"/>
        <w:bottom w:val="single" w:sz="4" w:space="0" w:color="61932E" w:themeColor="background1" w:themeShade="BF"/>
        <w:right w:val="single" w:sz="4" w:space="0" w:color="61932E" w:themeColor="background1" w:themeShade="BF"/>
        <w:insideH w:val="single" w:sz="4" w:space="0" w:color="61932E" w:themeColor="background1" w:themeShade="BF"/>
        <w:insideV w:val="single" w:sz="4" w:space="0" w:color="61932E" w:themeColor="background1" w:themeShade="BF"/>
      </w:tblBorders>
    </w:tblPr>
  </w:style>
  <w:style w:type="paragraph" w:styleId="BodyText">
    <w:name w:val="Body Text"/>
    <w:basedOn w:val="Normal"/>
    <w:link w:val="BodyTextChar"/>
    <w:uiPriority w:val="99"/>
    <w:semiHidden/>
    <w:unhideWhenUsed/>
    <w:rsid w:val="00906AB2"/>
    <w:pPr>
      <w:spacing w:after="120"/>
    </w:pPr>
  </w:style>
  <w:style w:type="character" w:customStyle="1" w:styleId="BodyTextChar">
    <w:name w:val="Body Text Char"/>
    <w:basedOn w:val="DefaultParagraphFont"/>
    <w:link w:val="BodyText"/>
    <w:uiPriority w:val="99"/>
    <w:semiHidden/>
    <w:rsid w:val="00906AB2"/>
    <w:rPr>
      <w:rFonts w:asciiTheme="minorHAnsi" w:hAnsiTheme="minorHAnsi"/>
      <w:color w:val="000000" w:themeColor="text1"/>
      <w:sz w:val="18"/>
    </w:rPr>
  </w:style>
  <w:style w:type="paragraph" w:styleId="CommentText">
    <w:name w:val="annotation text"/>
    <w:basedOn w:val="Normal"/>
    <w:link w:val="CommentTextChar"/>
    <w:unhideWhenUsed/>
    <w:rsid w:val="00906AB2"/>
    <w:pPr>
      <w:spacing w:line="240" w:lineRule="auto"/>
    </w:pPr>
    <w:rPr>
      <w:sz w:val="20"/>
    </w:rPr>
  </w:style>
  <w:style w:type="character" w:customStyle="1" w:styleId="CommentTextChar">
    <w:name w:val="Comment Text Char"/>
    <w:basedOn w:val="DefaultParagraphFont"/>
    <w:link w:val="CommentText"/>
    <w:rsid w:val="00906AB2"/>
    <w:rPr>
      <w:rFonts w:asciiTheme="minorHAnsi" w:hAnsiTheme="minorHAnsi"/>
      <w:color w:val="000000" w:themeColor="text1"/>
    </w:rPr>
  </w:style>
  <w:style w:type="paragraph" w:styleId="ListParagraph">
    <w:name w:val="List Paragraph"/>
    <w:basedOn w:val="Normal"/>
    <w:uiPriority w:val="34"/>
    <w:qFormat/>
    <w:rsid w:val="00906AB2"/>
    <w:pPr>
      <w:ind w:left="720"/>
      <w:contextualSpacing/>
    </w:pPr>
  </w:style>
  <w:style w:type="paragraph" w:styleId="NormalWeb">
    <w:name w:val="Normal (Web)"/>
    <w:basedOn w:val="Normal"/>
    <w:uiPriority w:val="99"/>
    <w:semiHidden/>
    <w:unhideWhenUsed/>
    <w:rsid w:val="00906AB2"/>
    <w:rPr>
      <w:rFonts w:ascii="Times New Roman" w:hAnsi="Times New Roman"/>
      <w:sz w:val="24"/>
      <w:szCs w:val="24"/>
    </w:rPr>
  </w:style>
  <w:style w:type="paragraph" w:styleId="NoteHeading">
    <w:name w:val="Note Heading"/>
    <w:basedOn w:val="Normal"/>
    <w:next w:val="Normal"/>
    <w:link w:val="NoteHeadingChar"/>
    <w:uiPriority w:val="99"/>
    <w:semiHidden/>
    <w:unhideWhenUsed/>
    <w:rsid w:val="00906AB2"/>
    <w:pPr>
      <w:spacing w:after="0" w:line="240" w:lineRule="auto"/>
    </w:pPr>
  </w:style>
  <w:style w:type="character" w:customStyle="1" w:styleId="NoteHeadingChar">
    <w:name w:val="Note Heading Char"/>
    <w:basedOn w:val="DefaultParagraphFont"/>
    <w:link w:val="NoteHeading"/>
    <w:uiPriority w:val="99"/>
    <w:semiHidden/>
    <w:rsid w:val="00906AB2"/>
    <w:rPr>
      <w:rFonts w:asciiTheme="minorHAnsi" w:hAnsiTheme="minorHAnsi"/>
      <w:color w:val="000000" w:themeColor="text1"/>
      <w:sz w:val="18"/>
    </w:rPr>
  </w:style>
  <w:style w:type="paragraph" w:styleId="PlainText">
    <w:name w:val="Plain Text"/>
    <w:basedOn w:val="Normal"/>
    <w:link w:val="PlainTextChar"/>
    <w:uiPriority w:val="99"/>
    <w:semiHidden/>
    <w:unhideWhenUsed/>
    <w:rsid w:val="00906AB2"/>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906AB2"/>
    <w:rPr>
      <w:rFonts w:ascii="Consolas" w:hAnsi="Consolas"/>
      <w:color w:val="000000" w:themeColor="text1"/>
      <w:sz w:val="21"/>
      <w:szCs w:val="21"/>
    </w:rPr>
  </w:style>
  <w:style w:type="paragraph" w:styleId="TOC3">
    <w:name w:val="toc 3"/>
    <w:basedOn w:val="Normal"/>
    <w:next w:val="Normal"/>
    <w:autoRedefine/>
    <w:uiPriority w:val="39"/>
    <w:unhideWhenUsed/>
    <w:rsid w:val="00906AB2"/>
    <w:pPr>
      <w:spacing w:after="100"/>
      <w:ind w:left="360"/>
    </w:pPr>
  </w:style>
  <w:style w:type="table" w:customStyle="1" w:styleId="SVTable">
    <w:name w:val="SV Table"/>
    <w:basedOn w:val="TableNormal"/>
    <w:uiPriority w:val="99"/>
    <w:rsid w:val="00BF5B23"/>
    <w:rPr>
      <w:rFonts w:asciiTheme="minorHAnsi" w:hAnsiTheme="minorHAnsi"/>
    </w:rPr>
    <w:tblPr>
      <w:tblBorders>
        <w:top w:val="single" w:sz="2" w:space="0" w:color="82C341" w:themeColor="background1"/>
        <w:bottom w:val="single" w:sz="2" w:space="0" w:color="82C341" w:themeColor="background1"/>
        <w:insideH w:val="single" w:sz="4" w:space="0" w:color="82C341" w:themeColor="background1"/>
      </w:tblBorders>
    </w:tblPr>
    <w:tblStylePr w:type="firstRow">
      <w:rPr>
        <w:color w:val="FFFFFF"/>
      </w:rPr>
      <w:tblPr/>
      <w:trPr>
        <w:tblHeader/>
      </w:trPr>
      <w:tcPr>
        <w:shd w:val="clear" w:color="auto" w:fill="82C341" w:themeFill="background1"/>
      </w:tcPr>
    </w:tblStylePr>
    <w:tblStylePr w:type="lastRow">
      <w:rPr>
        <w:b/>
      </w:rPr>
      <w:tblPr/>
      <w:tcPr>
        <w:tcBorders>
          <w:top w:val="single" w:sz="2" w:space="0" w:color="82C341" w:themeColor="background1"/>
          <w:left w:val="nil"/>
          <w:bottom w:val="single" w:sz="6" w:space="0" w:color="82C341" w:themeColor="background1"/>
          <w:right w:val="nil"/>
          <w:insideH w:val="nil"/>
          <w:insideV w:val="nil"/>
          <w:tl2br w:val="nil"/>
          <w:tr2bl w:val="nil"/>
        </w:tcBorders>
        <w:shd w:val="clear" w:color="auto" w:fill="F0F5E4"/>
      </w:tcPr>
    </w:tblStylePr>
  </w:style>
  <w:style w:type="paragraph" w:customStyle="1" w:styleId="TableCaption">
    <w:name w:val="Table Caption"/>
    <w:basedOn w:val="Normal"/>
    <w:next w:val="Normal"/>
    <w:qFormat/>
    <w:rsid w:val="00A53945"/>
    <w:pPr>
      <w:pBdr>
        <w:top w:val="single" w:sz="2" w:space="5" w:color="82C341" w:themeColor="background1"/>
      </w:pBdr>
      <w:spacing w:before="200"/>
    </w:pPr>
  </w:style>
  <w:style w:type="paragraph" w:customStyle="1" w:styleId="FigureCaption">
    <w:name w:val="Figure Caption"/>
    <w:basedOn w:val="Normal"/>
    <w:next w:val="Normal"/>
    <w:qFormat/>
    <w:rsid w:val="00A53945"/>
    <w:pPr>
      <w:pBdr>
        <w:top w:val="single" w:sz="2" w:space="5" w:color="82C341" w:themeColor="background1"/>
      </w:pBdr>
      <w:spacing w:before="200"/>
    </w:pPr>
  </w:style>
  <w:style w:type="paragraph" w:customStyle="1" w:styleId="TableCaptionWide">
    <w:name w:val="Table Caption Wide"/>
    <w:basedOn w:val="TableCaption"/>
    <w:next w:val="Normal"/>
    <w:qFormat/>
    <w:rsid w:val="00B357A3"/>
    <w:pPr>
      <w:ind w:left="-1985"/>
    </w:pPr>
  </w:style>
  <w:style w:type="paragraph" w:customStyle="1" w:styleId="CoverHeading">
    <w:name w:val="Cover Heading"/>
    <w:basedOn w:val="Normal"/>
    <w:next w:val="Normal"/>
    <w:qFormat/>
    <w:rsid w:val="00A53945"/>
    <w:pPr>
      <w:spacing w:after="340" w:line="216" w:lineRule="auto"/>
      <w:contextualSpacing/>
    </w:pPr>
    <w:rPr>
      <w:b/>
      <w:sz w:val="52"/>
    </w:rPr>
  </w:style>
  <w:style w:type="paragraph" w:customStyle="1" w:styleId="CoverSubheading">
    <w:name w:val="Cover Subheading"/>
    <w:basedOn w:val="Normal"/>
    <w:next w:val="Normal"/>
    <w:qFormat/>
    <w:rsid w:val="00A53945"/>
    <w:pPr>
      <w:spacing w:line="320" w:lineRule="atLeast"/>
      <w:contextualSpacing/>
    </w:pPr>
    <w:rPr>
      <w:sz w:val="26"/>
    </w:rPr>
  </w:style>
  <w:style w:type="paragraph" w:customStyle="1" w:styleId="CoverDetails">
    <w:name w:val="Cover Details"/>
    <w:basedOn w:val="Normal"/>
    <w:qFormat/>
    <w:rsid w:val="00FC6F89"/>
    <w:pPr>
      <w:spacing w:after="0"/>
    </w:pPr>
  </w:style>
  <w:style w:type="paragraph" w:customStyle="1" w:styleId="BackPageDetails">
    <w:name w:val="BackPage Details"/>
    <w:basedOn w:val="Normal"/>
    <w:qFormat/>
    <w:rsid w:val="00496056"/>
    <w:pPr>
      <w:spacing w:before="85" w:after="20" w:line="210" w:lineRule="atLeast"/>
    </w:pPr>
    <w:rPr>
      <w:sz w:val="17"/>
    </w:rPr>
  </w:style>
  <w:style w:type="character" w:styleId="Hyperlink">
    <w:name w:val="Hyperlink"/>
    <w:basedOn w:val="DefaultParagraphFont"/>
    <w:uiPriority w:val="99"/>
    <w:unhideWhenUsed/>
    <w:rsid w:val="005D161E"/>
    <w:rPr>
      <w:color w:val="000000" w:themeColor="text1"/>
      <w:u w:val="single"/>
    </w:rPr>
  </w:style>
  <w:style w:type="character" w:styleId="UnresolvedMention">
    <w:name w:val="Unresolved Mention"/>
    <w:basedOn w:val="DefaultParagraphFont"/>
    <w:uiPriority w:val="99"/>
    <w:semiHidden/>
    <w:unhideWhenUsed/>
    <w:rsid w:val="005D161E"/>
    <w:rPr>
      <w:color w:val="605E5C"/>
      <w:shd w:val="clear" w:color="auto" w:fill="E1DFDD"/>
    </w:rPr>
  </w:style>
  <w:style w:type="character" w:styleId="CommentReference">
    <w:name w:val="annotation reference"/>
    <w:basedOn w:val="DefaultParagraphFont"/>
    <w:semiHidden/>
    <w:unhideWhenUsed/>
    <w:rsid w:val="00CE4255"/>
    <w:rPr>
      <w:sz w:val="16"/>
      <w:szCs w:val="16"/>
    </w:rPr>
  </w:style>
  <w:style w:type="paragraph" w:styleId="Revision">
    <w:name w:val="Revision"/>
    <w:hidden/>
    <w:uiPriority w:val="99"/>
    <w:semiHidden/>
    <w:rsid w:val="001F3331"/>
    <w:rPr>
      <w:rFonts w:asciiTheme="minorHAnsi" w:hAnsiTheme="minorHAnsi"/>
      <w:color w:val="000000" w:themeColor="text1"/>
      <w:sz w:val="19"/>
    </w:rPr>
  </w:style>
  <w:style w:type="paragraph" w:styleId="Caption">
    <w:name w:val="caption"/>
    <w:basedOn w:val="Normal"/>
    <w:next w:val="Normal"/>
    <w:link w:val="CaptionChar"/>
    <w:qFormat/>
    <w:rsid w:val="00CA6235"/>
    <w:pPr>
      <w:spacing w:after="200" w:line="240" w:lineRule="auto"/>
    </w:pPr>
    <w:rPr>
      <w:i/>
      <w:iCs/>
      <w:color w:val="BCBEC0" w:themeColor="text2"/>
      <w:sz w:val="18"/>
      <w:szCs w:val="18"/>
    </w:rPr>
  </w:style>
  <w:style w:type="character" w:customStyle="1" w:styleId="CaptionChar">
    <w:name w:val="Caption Char"/>
    <w:link w:val="Caption"/>
    <w:rsid w:val="00CA6235"/>
    <w:rPr>
      <w:rFonts w:asciiTheme="minorHAnsi" w:hAnsiTheme="minorHAnsi"/>
      <w:i/>
      <w:iCs/>
      <w:color w:val="BCBEC0" w:themeColor="text2"/>
      <w:sz w:val="18"/>
      <w:szCs w:val="18"/>
    </w:rPr>
  </w:style>
  <w:style w:type="character" w:styleId="FollowedHyperlink">
    <w:name w:val="FollowedHyperlink"/>
    <w:basedOn w:val="DefaultParagraphFont"/>
    <w:uiPriority w:val="99"/>
    <w:semiHidden/>
    <w:unhideWhenUsed/>
    <w:rsid w:val="00EA792B"/>
    <w:rPr>
      <w:color w:val="A5A6A5" w:themeColor="followedHyperlink"/>
      <w:u w:val="single"/>
    </w:rPr>
  </w:style>
  <w:style w:type="character" w:styleId="Emphasis">
    <w:name w:val="Emphasis"/>
    <w:basedOn w:val="DefaultParagraphFont"/>
    <w:uiPriority w:val="20"/>
    <w:qFormat/>
    <w:rsid w:val="00EA792B"/>
    <w:rPr>
      <w:i/>
      <w:iCs/>
    </w:rPr>
  </w:style>
  <w:style w:type="paragraph" w:customStyle="1" w:styleId="Footer1">
    <w:name w:val="Footer1"/>
    <w:basedOn w:val="Footer"/>
    <w:link w:val="footerChar0"/>
    <w:qFormat/>
    <w:rsid w:val="00F24B11"/>
    <w:pPr>
      <w:tabs>
        <w:tab w:val="center" w:pos="4513"/>
        <w:tab w:val="right" w:pos="9026"/>
      </w:tabs>
    </w:pPr>
    <w:rPr>
      <w:rFonts w:ascii="Arial" w:eastAsiaTheme="minorHAnsi" w:hAnsi="Arial" w:cstheme="minorBidi"/>
      <w:sz w:val="18"/>
      <w:szCs w:val="18"/>
    </w:rPr>
  </w:style>
  <w:style w:type="character" w:customStyle="1" w:styleId="footerChar0">
    <w:name w:val="footer Char"/>
    <w:basedOn w:val="FooterChar"/>
    <w:link w:val="Footer1"/>
    <w:rsid w:val="00F24B11"/>
    <w:rPr>
      <w:rFonts w:ascii="Arial" w:eastAsiaTheme="minorHAnsi" w:hAnsi="Arial" w:cstheme="minorBidi"/>
      <w:color w:val="000000" w:themeColor="text1"/>
      <w:sz w:val="18"/>
      <w:szCs w:val="18"/>
    </w:rPr>
  </w:style>
  <w:style w:type="character" w:styleId="Strong">
    <w:name w:val="Strong"/>
    <w:basedOn w:val="DefaultParagraphFont"/>
    <w:uiPriority w:val="22"/>
    <w:qFormat/>
    <w:rsid w:val="00EA1A2C"/>
    <w:rPr>
      <w:b/>
      <w:bCs/>
    </w:rPr>
  </w:style>
  <w:style w:type="paragraph" w:customStyle="1" w:styleId="casestudybox">
    <w:name w:val="case study box"/>
    <w:basedOn w:val="Normal"/>
    <w:link w:val="casestudyboxChar"/>
    <w:qFormat/>
    <w:rsid w:val="00A73696"/>
    <w:pPr>
      <w:pBdr>
        <w:top w:val="single" w:sz="4" w:space="6" w:color="FFFFFF"/>
        <w:left w:val="single" w:sz="4" w:space="6" w:color="FFFFFF"/>
        <w:bottom w:val="single" w:sz="4" w:space="7" w:color="FFFFFF"/>
        <w:right w:val="single" w:sz="4" w:space="6" w:color="FFFFFF"/>
      </w:pBdr>
      <w:shd w:val="clear" w:color="auto" w:fill="D4DFA0"/>
      <w:spacing w:after="120" w:line="259" w:lineRule="auto"/>
    </w:pPr>
    <w:rPr>
      <w:rFonts w:ascii="Arial" w:eastAsia="SimHei" w:hAnsi="Arial" w:cs="Calibri"/>
      <w:color w:val="auto"/>
      <w:sz w:val="20"/>
      <w:szCs w:val="22"/>
      <w:lang w:eastAsia="en-AU"/>
    </w:rPr>
  </w:style>
  <w:style w:type="paragraph" w:customStyle="1" w:styleId="bulletpoint">
    <w:name w:val="bullet point"/>
    <w:basedOn w:val="casestudybox"/>
    <w:link w:val="bulletpointChar"/>
    <w:rsid w:val="00A73696"/>
  </w:style>
  <w:style w:type="character" w:customStyle="1" w:styleId="casestudyboxChar">
    <w:name w:val="case study box Char"/>
    <w:basedOn w:val="DefaultParagraphFont"/>
    <w:link w:val="casestudybox"/>
    <w:rsid w:val="00A73696"/>
    <w:rPr>
      <w:rFonts w:ascii="Arial" w:eastAsia="SimHei" w:hAnsi="Arial" w:cs="Calibri"/>
      <w:szCs w:val="22"/>
      <w:shd w:val="clear" w:color="auto" w:fill="D4DFA0"/>
      <w:lang w:eastAsia="en-AU"/>
    </w:rPr>
  </w:style>
  <w:style w:type="character" w:customStyle="1" w:styleId="bulletpointChar">
    <w:name w:val="bullet point Char"/>
    <w:basedOn w:val="casestudyboxChar"/>
    <w:link w:val="bulletpoint"/>
    <w:rsid w:val="00A73696"/>
    <w:rPr>
      <w:rFonts w:ascii="Arial" w:eastAsia="SimHei" w:hAnsi="Arial" w:cs="Calibri"/>
      <w:szCs w:val="22"/>
      <w:shd w:val="clear" w:color="auto" w:fill="D4DFA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098993">
      <w:bodyDiv w:val="1"/>
      <w:marLeft w:val="0"/>
      <w:marRight w:val="0"/>
      <w:marTop w:val="0"/>
      <w:marBottom w:val="0"/>
      <w:divBdr>
        <w:top w:val="none" w:sz="0" w:space="0" w:color="auto"/>
        <w:left w:val="none" w:sz="0" w:space="0" w:color="auto"/>
        <w:bottom w:val="none" w:sz="0" w:space="0" w:color="auto"/>
        <w:right w:val="none" w:sz="0" w:space="0" w:color="auto"/>
      </w:divBdr>
    </w:div>
    <w:div w:id="848787355">
      <w:bodyDiv w:val="1"/>
      <w:marLeft w:val="0"/>
      <w:marRight w:val="0"/>
      <w:marTop w:val="0"/>
      <w:marBottom w:val="0"/>
      <w:divBdr>
        <w:top w:val="none" w:sz="0" w:space="0" w:color="auto"/>
        <w:left w:val="none" w:sz="0" w:space="0" w:color="auto"/>
        <w:bottom w:val="none" w:sz="0" w:space="0" w:color="auto"/>
        <w:right w:val="none" w:sz="0" w:space="0" w:color="auto"/>
      </w:divBdr>
    </w:div>
    <w:div w:id="1473908544">
      <w:bodyDiv w:val="1"/>
      <w:marLeft w:val="0"/>
      <w:marRight w:val="0"/>
      <w:marTop w:val="0"/>
      <w:marBottom w:val="0"/>
      <w:divBdr>
        <w:top w:val="none" w:sz="0" w:space="0" w:color="auto"/>
        <w:left w:val="none" w:sz="0" w:space="0" w:color="auto"/>
        <w:bottom w:val="none" w:sz="0" w:space="0" w:color="auto"/>
        <w:right w:val="none" w:sz="0" w:space="0" w:color="auto"/>
      </w:divBdr>
    </w:div>
    <w:div w:id="1568371844">
      <w:bodyDiv w:val="1"/>
      <w:marLeft w:val="0"/>
      <w:marRight w:val="0"/>
      <w:marTop w:val="0"/>
      <w:marBottom w:val="0"/>
      <w:divBdr>
        <w:top w:val="none" w:sz="0" w:space="0" w:color="auto"/>
        <w:left w:val="none" w:sz="0" w:space="0" w:color="auto"/>
        <w:bottom w:val="none" w:sz="0" w:space="0" w:color="auto"/>
        <w:right w:val="none" w:sz="0" w:space="0" w:color="auto"/>
      </w:divBdr>
    </w:div>
    <w:div w:id="1642883228">
      <w:bodyDiv w:val="1"/>
      <w:marLeft w:val="0"/>
      <w:marRight w:val="0"/>
      <w:marTop w:val="0"/>
      <w:marBottom w:val="0"/>
      <w:divBdr>
        <w:top w:val="none" w:sz="0" w:space="0" w:color="auto"/>
        <w:left w:val="none" w:sz="0" w:space="0" w:color="auto"/>
        <w:bottom w:val="none" w:sz="0" w:space="0" w:color="auto"/>
        <w:right w:val="none" w:sz="0" w:space="0" w:color="auto"/>
      </w:divBdr>
    </w:div>
    <w:div w:id="1781030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ustainability.vic.gov.au/" TargetMode="External"/><Relationship Id="rId18" Type="http://schemas.openxmlformats.org/officeDocument/2006/relationships/footer" Target="footer2.xml"/><Relationship Id="rId26" Type="http://schemas.openxmlformats.org/officeDocument/2006/relationships/hyperlink" Target="http://www.sustainability.vic.gov.au/" TargetMode="External"/><Relationship Id="rId39" Type="http://schemas.openxmlformats.org/officeDocument/2006/relationships/image" Target="media/image20.jpeg"/><Relationship Id="rId21" Type="http://schemas.openxmlformats.org/officeDocument/2006/relationships/footer" Target="footer4.xml"/><Relationship Id="rId34" Type="http://schemas.openxmlformats.org/officeDocument/2006/relationships/image" Target="media/image15.jpeg"/><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image" Target="media/image35.jpeg"/><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image" Target="media/image10.jpeg"/><Relationship Id="rId41" Type="http://schemas.openxmlformats.org/officeDocument/2006/relationships/image" Target="media/image22.jpeg"/><Relationship Id="rId54" Type="http://schemas.openxmlformats.org/officeDocument/2006/relationships/image" Target="media/image34.jpeg"/><Relationship Id="rId62"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jpeg"/><Relationship Id="rId53" Type="http://schemas.openxmlformats.org/officeDocument/2006/relationships/hyperlink" Target="https://www.sustainability.vic.gov.au/research-data-and-insights/waste-data/recovered-resources-market-bulletin" TargetMode="External"/><Relationship Id="rId58" Type="http://schemas.openxmlformats.org/officeDocument/2006/relationships/image" Target="media/image37.jpeg"/><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8.png"/><Relationship Id="rId28" Type="http://schemas.openxmlformats.org/officeDocument/2006/relationships/hyperlink" Target="https://www.sustainability.vic.gov.au/research-data-and-insights/waste-data/recovered-resources-market-bulletin" TargetMode="External"/><Relationship Id="rId36" Type="http://schemas.openxmlformats.org/officeDocument/2006/relationships/image" Target="media/image17.jpeg"/><Relationship Id="rId49" Type="http://schemas.openxmlformats.org/officeDocument/2006/relationships/image" Target="media/image30.jpeg"/><Relationship Id="rId57" Type="http://schemas.openxmlformats.org/officeDocument/2006/relationships/image" Target="media/image36.jpeg"/><Relationship Id="rId61"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image" Target="media/image12.jpeg"/><Relationship Id="rId44" Type="http://schemas.openxmlformats.org/officeDocument/2006/relationships/image" Target="media/image25.jpeg"/><Relationship Id="rId52" Type="http://schemas.openxmlformats.org/officeDocument/2006/relationships/image" Target="media/image33.jpeg"/><Relationship Id="rId60" Type="http://schemas.openxmlformats.org/officeDocument/2006/relationships/hyperlink" Target="http://www.sustainability.vic.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creativecommons.org/licenses/by/4.0/" TargetMode="External"/><Relationship Id="rId22" Type="http://schemas.openxmlformats.org/officeDocument/2006/relationships/image" Target="media/image7.png"/><Relationship Id="rId27" Type="http://schemas.openxmlformats.org/officeDocument/2006/relationships/hyperlink" Target="https://www.vic.gov.au/sites/default/files/2020-02/Recycling%20Victoria%20A%20new%20economy.pdf" TargetMode="External"/><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hyperlink" Target="https://www.sustainability.vic.gov.au/research-data-and-insights/waste-data/waste-annual-reports-and-data"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2.jpe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hyperlink" Target="http://www.sustainability.vic.gov.au/" TargetMode="External"/><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image" Target="media/image27.jpeg"/><Relationship Id="rId59" Type="http://schemas.openxmlformats.org/officeDocument/2006/relationships/image" Target="media/image38.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footer3.xml.rels><?xml version="1.0" encoding="UTF-8" standalone="yes"?>
<Relationships xmlns="http://schemas.openxmlformats.org/package/2006/relationships"><Relationship Id="rId1" Type="http://schemas.openxmlformats.org/officeDocument/2006/relationships/image" Target="media/image6.jpg"/></Relationships>
</file>

<file path=word/_rels/footer5.xml.rels><?xml version="1.0" encoding="UTF-8" standalone="yes"?>
<Relationships xmlns="http://schemas.openxmlformats.org/package/2006/relationships"><Relationship Id="rId1" Type="http://schemas.openxmlformats.org/officeDocument/2006/relationships/image" Target="media/image5.jpg"/></Relationships>
</file>

<file path=word/_rels/footnotes.xml.rels><?xml version="1.0" encoding="UTF-8" standalone="yes"?>
<Relationships xmlns="http://schemas.openxmlformats.org/package/2006/relationships"><Relationship Id="rId1" Type="http://schemas.openxmlformats.org/officeDocument/2006/relationships/hyperlink" Target="http://www.bom.gov.au/climate/drough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cfadden\Desktop\TEMPLATES\FINALS\Report_FINAL.dotm" TargetMode="External"/></Relationships>
</file>

<file path=word/theme/theme1.xml><?xml version="1.0" encoding="utf-8"?>
<a:theme xmlns:a="http://schemas.openxmlformats.org/drawingml/2006/main" name="Office Theme">
  <a:themeElements>
    <a:clrScheme name="000">
      <a:dk1>
        <a:sysClr val="windowText" lastClr="000000"/>
      </a:dk1>
      <a:lt1>
        <a:srgbClr val="82C341"/>
      </a:lt1>
      <a:dk2>
        <a:srgbClr val="BCBEC0"/>
      </a:dk2>
      <a:lt2>
        <a:srgbClr val="FFFFFF"/>
      </a:lt2>
      <a:accent1>
        <a:srgbClr val="82C341"/>
      </a:accent1>
      <a:accent2>
        <a:srgbClr val="000000"/>
      </a:accent2>
      <a:accent3>
        <a:srgbClr val="BCBEC0"/>
      </a:accent3>
      <a:accent4>
        <a:srgbClr val="6AA336"/>
      </a:accent4>
      <a:accent5>
        <a:srgbClr val="A7D278"/>
      </a:accent5>
      <a:accent6>
        <a:srgbClr val="CBE3AE"/>
      </a:accent6>
      <a:hlink>
        <a:srgbClr val="82C341"/>
      </a:hlink>
      <a:folHlink>
        <a:srgbClr val="A5A6A5"/>
      </a:folHlink>
    </a:clrScheme>
    <a:fontScheme name="AAT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A58C20F-DB49-3943-B94A-D7539E3E0A9E}">
  <we:reference id="wa104380773" version="1.0.0.2" store="en-GB" storeType="OMEX"/>
  <we:alternateReferences>
    <we:reference id="WA104380773" version="1.0.0.2" store="" storeType="OMEX"/>
  </we:alternateReferences>
  <we:properties/>
  <we:bindings/>
  <we:snapshot xmlns:r="http://schemas.openxmlformats.org/officeDocument/2006/relationships"/>
</we:webextension>
</file>

<file path=customUI/customUI.xml><?xml version="1.0" encoding="utf-8"?>
<customUI xmlns="http://schemas.microsoft.com/office/2006/01/customui">
  <ribbon>
    <tabs>
      <tab id="customTab" label="Sustainability Victoria" insertBeforeMso="TabHome" keytip="Ch">
        <group id="customGroup" label="Styles">
          <button idMso="StylesPane" label="View Styles" size="large" imageMso="ChangeStylesMenu"/>
          <separator id="styleSep"/>
          <button idMso="StyleNormal" visible="true" size="large" label="Normal" imageMso="AlignLeft"/>
          <separator id="sep1"/>
          <button id="Style_Section_Divider_Title" visible="true" label="Section Divider Title" onAction="RibbonXOnAction" imageMso="S" tag="ApplyStyle_Section_Divider_Title"/>
          <menu id="MenuOther" label="Heading Styles" size="normal" imageMso="H" itemSize="normal">
            <button idMso="Heading1Apply" label="Heading 1" imageMso="_1"/>
            <button id="Style_Heading_2" visible="true" label="Heading 2" onAction="RibbonXOnAction" imageMso="_2" tag="ApplyStyle_Heading_2"/>
            <button id="Style_Heading_3" visible="true" label="Heading 3" onAction="RibbonXOnAction" imageMso="_3" tag="ApplyStyle_Heading_3"/>
            <menuSeparator id="MenuwSep1" title="Not Numbered Headings"/>
            <button id="Style_Heading_1_Numbered" label="Heading 1 Numbered" onAction="RibbonXOnAction" imageMso="_1" tag="ApplyStyle_Heading_1_Numbered"/>
            <button id="Style_Heading_2_Numbered" label="Heading 2 Numbered" onAction="RibbonXOnAction" imageMso="_2" tag="ApplyStyle_Heading_2_Numbered"/>
            <button id="Style_Heading_3_Numbered" label="Heading 3 Numbered" onAction="RibbonXOnAction" imageMso="_3" tag="ApplyStyle_Heading_3_Numbered"/>
          </menu>
          <menu id="MyMenu" label="Cover Styles" itemSize="normal" imageMso="CoverPageInsertGallery">
            <button id="Style_Cover_Heading" label="Heading" imageMso="CoverPageInsertGallery" onAction="RibbonXOnAction" tag="ApplyStyle_Cover_Heading"/>
            <button id="Style_Cover_Subheading" label="Subheading" imageMso="CoverPageInsertGallery" onAction="RibbonXOnAction" tag="ApplyStyle_Cover_Subheading"/>
            <button id="Style_Cover_Details" label="Details" imageMso="CoverPageInsertGallery" onAction="RibbonXOnAction" tag="ApplyStyle_Cover_Details"/>
          </menu>
          <separator id="separato1"/>
          <button id="Style_IntroCopy" visible="true" label="IntroCopy" onAction="RibbonXOnAction" imageMso="ChangeStylesMenu" tag="ApplyStyle_IntroCopy"/>
          <splitButton id="SplitBullets">
            <button idMso="ListBulletApply" label="Bullets" imageMso="Bullets"/>
            <menu id="SplitMenuBullet" label="Bullets" itemSize="large" imageMso="Bullets">
              <button id="Style_List_Bullet_1" label="Bullets Level 1" onAction="RibbonXOnAction" tag="ApplyStyle_List_Bullet" imageMso="Bullets"/>
              <button id="Style_List_Bullet_2" label="Bullets Level 2" onAction="RibbonXOnAction" tag="ApplyStyle_List_Bullet_2" imageMso="Bullets"/>
            </menu>
          </splitButton>
          <menu id="SplitMenuNumber" label="Numbering" itemSize="large" imageMso="Numbering">
            <button id="Style_List_Number" label="Numbering Level 1" imageMso="Numbering" onAction="RibbonXOnAction" tag="ApplyStyle_List_Number"/>
            <button id="Style_List_Number_2" label="Numbering Level 2" imageMso="Numbering" onAction="RibbonXOnAction" tag="ApplyStyle_List_Number_2"/>
          </menu>
        </group>
        <group id="customGr" label="Table Tools">
          <menu id="Tables" label="Insert Tables" size="large" imageMso="CreateTable" itemSize="normal">
            <button id="InsertTable" visible="true" label="Insert Table" onAction="InsertTable" imageMso="CreateTable" supertip="Inserts a table or reformats selected table"/>
            <button id="InsertTable2" visible="true" label="Insert Wide Table" onAction="InsertTable2" imageMso="ViewGridlinesWord" supertip="Inserts a table or reformats selected table"/>
          </menu>
          <separator id="separator5"/>
          <menu id="TableCaption" label="Table Caption" size="normal" imageMso="CreateTable" itemSize="normal">
            <button id="InsertTableCaptions" label="Insert TableCaption" imageMso="CreateTable" visible="true" onAction="InsertTableCaptions"/>
            <button id="InsertTableCaptions_Wide" label="Insert TableCaption Wide" imageMso="CreateTable" visible="true" onAction="InsertTableCaptions"/>
          </menu>
          <toggleButton idMso="TableStyleTotalRowWord"/>
          <menu id="Tablestyles" label="Table Styles" size="normal" imageMso="ChangeStylesMenu" itemSize="normal">
            <button id="Style_Table_Heading" label="Table Heading" visible="true" onAction="RibbonXOnAction" tag="ApplyStyle_Table_Heading"/>
            <button id="Style_Table_Text" label="Table Text" visible="true" onAction="RibbonXOnAction" tag="ApplyStyle_Table_Text"/>
            <button id="Style_Table_Bullet" label="Table Bullet" onAction="RibbonXOnAction" tag="ApplyStyle_Table_Bullet"/>
            <menuSeparator id="MenuwSesp1" title="Table Caption"/>
            <button id="Style_Table_Caption" label="Table Caption" onAction="RibbonXOnAction" tag="ApplyStyle_Table_Caption"/>
            <button id="Style_Table_Caption_Wide" label="Table Caption Wide" onAction="RibbonXOnAction" tag="ApplyStyle_Table_Caption_Wide"/>
          </menu>
        </group>
        <group id="customGroup2" label="Other Tools">
          <button id="ApplyInsertLandscapeSection" visible="true" size="large" label="Landscape Page" onAction="ApplyInsertLandscapeSection" imageMso="MasterNotesPageOrientation"/>
          <button id="ApplyInsertPortraitSection" visible="true" size="large" label="Portrait Page" onAction="ApplyInsertPortraitSection" imageMso="LabelsDialog"/>
          <separator id="df"/>
          <button id="DividerPage" visible="true" size="large" label="Insert Section Divider" onAction="DividerPage" imageMso="CreateReport"/>
          <separator id="sed1"/>
          <button id="BackPage" visible="true" size="large" label="Insert Back Page" onAction="BackPage" imageMso="PivotTableLayoutShowInTabularForm"/>
          <separator id="ss"/>
          <button id="InsertPicture" visible="true" size="normal" label="Insert Picture" onAction="InsertPicture" imageMso="PictureEffectsShadowGallery"/>
          <button id="InsertFigureCaptions" visible="true" size="normal" label="Figure Caption" onAction="InsertFigureCaptions" imageMso="CaptionInsert"/>
          <button idMso="FootnoteInsert" visible="true" size="normal" label="Insert Footnote" imageMso="FootnoteInsert"/>
          <separator id="sep333"/>
          <button id="ApplyUpdateDetails" label="Update Details" visible="true" size="large" onAction="ApplyUpdateDetails" imageMso="RecurrenceEdit"/>
          <separator id="sep3"/>
          <button idMso="TableOfContentsUpdate" visible="true" size="large" label="Update TOC" imageMso="AccessRefreshAllLists"/>
          <separator id="ff"/>
          <button id="PasteUnformatted" visible="true" size="large" label="Paste Unformatted" onAction="PasteUnformatted" imageMso="Paste"/>
          <separator id="separator1"/>
          <toggleButton idMso="TableShowGridlines" visible="true" size="large" label="Show Gridlines"/>
          <toggleButton idMso="ParagraphMarks" visible="true" size="large" label="Show Paragraph Marks"/>
          <separator id="about"/>
          <button id="CallAbout" visible="true" size="large" label="About" onAction="CallAbout" imageMso="Info"/>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arked_x0020_for_x0020_Deletion xmlns="0478b3d0-02d8-4d17-b53a-8e4130380b85">false</Marked_x0020_for_x0020_Deletion>
    <LivelinkID xmlns="b66fd856-7ca4-4208-bfbd-324f6f3e91d3" xsi:nil="true"/>
    <l19c03aba7cf4268b442a699abdd95c1 xmlns="b66fd856-7ca4-4208-bfbd-324f6f3e91d3">
      <Terms xmlns="http://schemas.microsoft.com/office/infopath/2007/PartnerControls">
        <TermInfo xmlns="http://schemas.microsoft.com/office/infopath/2007/PartnerControls">
          <TermName xmlns="http://schemas.microsoft.com/office/infopath/2007/PartnerControls">Ministers Office</TermName>
          <TermId xmlns="http://schemas.microsoft.com/office/infopath/2007/PartnerControls">9d39567f-5657-48f2-9f8e-d0924e3688d2</TermId>
        </TermInfo>
      </Terms>
    </l19c03aba7cf4268b442a699abdd95c1>
    <oa9ff634f432497fbe7a448b9e66b205 xmlns="b66fd856-7ca4-4208-bfbd-324f6f3e91d3">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a6f64896-ae48-4d38-9394-0168a9e18a35</TermId>
        </TermInfo>
      </Terms>
    </oa9ff634f432497fbe7a448b9e66b205>
    <TaxCatchAll xmlns="b66fd856-7ca4-4208-bfbd-324f6f3e91d3">
      <Value>16</Value>
      <Value>99</Value>
      <Value>31</Value>
      <Value>8</Value>
      <Value>176</Value>
      <Value>107</Value>
      <Value>35</Value>
    </TaxCatchAll>
    <Reference_x0020_Number xmlns="b66fd856-7ca4-4208-bfbd-324f6f3e91d3">MBR045767</Reference_x0020_Number>
  </documentManagement>
</p:properties>
</file>

<file path=customXml/item3.xml><?xml version="1.0" encoding="utf-8"?>
<ct:contentTypeSchema xmlns:ct="http://schemas.microsoft.com/office/2006/metadata/contentType" xmlns:ma="http://schemas.microsoft.com/office/2006/metadata/properties/metaAttributes" ct:_="" ma:_="" ma:contentTypeName="Brief" ma:contentTypeID="0x01010099DDF8EDA320E543B1EC6B982B0C012104005A62E4A31224BD4CBA2FF700248E63D5" ma:contentTypeVersion="5" ma:contentTypeDescription="" ma:contentTypeScope="" ma:versionID="21bb303472ce5d9759b64f92bbf3636d">
  <xsd:schema xmlns:xsd="http://www.w3.org/2001/XMLSchema" xmlns:xs="http://www.w3.org/2001/XMLSchema" xmlns:p="http://schemas.microsoft.com/office/2006/metadata/properties" xmlns:ns2="b66fd856-7ca4-4208-bfbd-324f6f3e91d3" xmlns:ns3="0478b3d0-02d8-4d17-b53a-8e4130380b85" targetNamespace="http://schemas.microsoft.com/office/2006/metadata/properties" ma:root="true" ma:fieldsID="acaadf22f0c5cf7f336a9857293c0cd4" ns2:_="" ns3:_="">
    <xsd:import namespace="b66fd856-7ca4-4208-bfbd-324f6f3e91d3"/>
    <xsd:import namespace="0478b3d0-02d8-4d17-b53a-8e4130380b85"/>
    <xsd:element name="properties">
      <xsd:complexType>
        <xsd:sequence>
          <xsd:element name="documentManagement">
            <xsd:complexType>
              <xsd:all>
                <xsd:element ref="ns2:Reference_x0020_Number"/>
                <xsd:element ref="ns3:Marked_x0020_for_x0020_Deletion" minOccurs="0"/>
                <xsd:element ref="ns2:LivelinkID" minOccurs="0"/>
                <xsd:element ref="ns2:l19c03aba7cf4268b442a699abdd95c1" minOccurs="0"/>
                <xsd:element ref="ns2:TaxCatchAll" minOccurs="0"/>
                <xsd:element ref="ns2:TaxCatchAllLabel" minOccurs="0"/>
                <xsd:element ref="ns2:oa9ff634f432497fbe7a448b9e66b205"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6fd856-7ca4-4208-bfbd-324f6f3e91d3" elementFormDefault="qualified">
    <xsd:import namespace="http://schemas.microsoft.com/office/2006/documentManagement/types"/>
    <xsd:import namespace="http://schemas.microsoft.com/office/infopath/2007/PartnerControls"/>
    <xsd:element name="Reference_x0020_Number" ma:index="2" ma:displayName="Reference Number" ma:internalName="Reference_x0020_Number" ma:readOnly="false">
      <xsd:simpleType>
        <xsd:restriction base="dms:Text">
          <xsd:maxLength value="255"/>
        </xsd:restriction>
      </xsd:simpleType>
    </xsd:element>
    <xsd:element name="LivelinkID" ma:index="5" nillable="true" ma:displayName="LivelinkID" ma:internalName="LivelinkID" ma:readOnly="false">
      <xsd:simpleType>
        <xsd:restriction base="dms:Text">
          <xsd:maxLength value="255"/>
        </xsd:restriction>
      </xsd:simpleType>
    </xsd:element>
    <xsd:element name="l19c03aba7cf4268b442a699abdd95c1" ma:index="8" nillable="true" ma:taxonomy="true" ma:internalName="l19c03aba7cf4268b442a699abdd95c1" ma:taxonomyFieldName="DM_x0020_Key_x0020_Word" ma:displayName="DM Key Word" ma:readOnly="false" ma:default="" ma:fieldId="{519c03ab-a7cf-4268-b442-a699abdd95c1}" ma:sspId="a2a80313-aeb0-43cb-af8b-51726a16eb99" ma:termSetId="5b46aed8-1fb6-4566-8825-d0f9ab16c4f5" ma:anchorId="a20847b2-50fa-4005-9718-a0e9a99659a0" ma:open="false" ma:isKeyword="false">
      <xsd:complexType>
        <xsd:sequence>
          <xsd:element ref="pc:Terms" minOccurs="0" maxOccurs="1"/>
        </xsd:sequence>
      </xsd:complexType>
    </xsd:element>
    <xsd:element name="TaxCatchAll" ma:index="9" nillable="true" ma:displayName="Taxonomy Catch All Column" ma:hidden="true" ma:list="{c546354f-1e19-4227-8c9e-1ddc80ee59ec}" ma:internalName="TaxCatchAll" ma:showField="CatchAllData" ma:web="b66fd856-7ca4-4208-bfbd-324f6f3e91d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c546354f-1e19-4227-8c9e-1ddc80ee59ec}" ma:internalName="TaxCatchAllLabel" ma:readOnly="true" ma:showField="CatchAllDataLabel" ma:web="b66fd856-7ca4-4208-bfbd-324f6f3e91d3">
      <xsd:complexType>
        <xsd:complexContent>
          <xsd:extension base="dms:MultiChoiceLookup">
            <xsd:sequence>
              <xsd:element name="Value" type="dms:Lookup" maxOccurs="unbounded" minOccurs="0" nillable="true"/>
            </xsd:sequence>
          </xsd:extension>
        </xsd:complexContent>
      </xsd:complexType>
    </xsd:element>
    <xsd:element name="oa9ff634f432497fbe7a448b9e66b205" ma:index="14" nillable="true" ma:taxonomy="true" ma:internalName="oa9ff634f432497fbe7a448b9e66b205" ma:taxonomyFieldName="Security_x0020_Classification" ma:displayName="Security Classification" ma:readOnly="false" ma:default="35;#Unclassified|a6f64896-ae48-4d38-9394-0168a9e18a35" ma:fieldId="{8a9ff634-f432-497f-be7a-448b9e66b205}" ma:sspId="a2a80313-aeb0-43cb-af8b-51726a16eb99" ma:termSetId="d16bce95-03fb-4cb9-88d5-15e906f2f9c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478b3d0-02d8-4d17-b53a-8e4130380b85" elementFormDefault="qualified">
    <xsd:import namespace="http://schemas.microsoft.com/office/2006/documentManagement/types"/>
    <xsd:import namespace="http://schemas.microsoft.com/office/infopath/2007/PartnerControls"/>
    <xsd:element name="Marked_x0020_for_x0020_Deletion" ma:index="4" nillable="true" ma:displayName="Marked for Deletion" ma:default="0" ma:internalName="Marked_x0020_for_x0020_Deletion" ma:readOnly="fals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3D0F3D-D9A0-480C-BF4D-840F943D211B}">
  <ds:schemaRefs>
    <ds:schemaRef ds:uri="http://schemas.microsoft.com/sharepoint/v3/contenttype/forms"/>
  </ds:schemaRefs>
</ds:datastoreItem>
</file>

<file path=customXml/itemProps2.xml><?xml version="1.0" encoding="utf-8"?>
<ds:datastoreItem xmlns:ds="http://schemas.openxmlformats.org/officeDocument/2006/customXml" ds:itemID="{62910A5B-B344-4D5E-BD08-500BDF9B0BBC}">
  <ds:schemaRefs>
    <ds:schemaRef ds:uri="http://schemas.microsoft.com/office/2006/metadata/properties"/>
    <ds:schemaRef ds:uri="http://schemas.microsoft.com/office/infopath/2007/PartnerControls"/>
    <ds:schemaRef ds:uri="0478b3d0-02d8-4d17-b53a-8e4130380b85"/>
    <ds:schemaRef ds:uri="b66fd856-7ca4-4208-bfbd-324f6f3e91d3"/>
  </ds:schemaRefs>
</ds:datastoreItem>
</file>

<file path=customXml/itemProps3.xml><?xml version="1.0" encoding="utf-8"?>
<ds:datastoreItem xmlns:ds="http://schemas.openxmlformats.org/officeDocument/2006/customXml" ds:itemID="{8BF7CD35-CBDC-4FA1-9468-BC20EE403A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6fd856-7ca4-4208-bfbd-324f6f3e91d3"/>
    <ds:schemaRef ds:uri="0478b3d0-02d8-4d17-b53a-8e4130380b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AA66FB6-940B-414B-8908-78A1EAEB63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Report_FINAL</Template>
  <TotalTime>1</TotalTime>
  <Pages>44</Pages>
  <Words>11691</Words>
  <Characters>66645</Characters>
  <Application>Microsoft Office Word</Application>
  <DocSecurity>0</DocSecurity>
  <Lines>555</Lines>
  <Paragraphs>156</Paragraphs>
  <ScaleCrop>false</ScaleCrop>
  <HeadingPairs>
    <vt:vector size="2" baseType="variant">
      <vt:variant>
        <vt:lpstr>Title</vt:lpstr>
      </vt:variant>
      <vt:variant>
        <vt:i4>1</vt:i4>
      </vt:variant>
    </vt:vector>
  </HeadingPairs>
  <TitlesOfParts>
    <vt:vector size="1" baseType="lpstr">
      <vt:lpstr>3. Recycling Industry Report_19-20_FINAL</vt:lpstr>
    </vt:vector>
  </TitlesOfParts>
  <Company>Sustainability Victoria</Company>
  <LinksUpToDate>false</LinksUpToDate>
  <CharactersWithSpaces>78180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 Recycling Industry Report_19-20_FINAL</dc:title>
  <dc:creator>Erin McFadden</dc:creator>
  <cp:lastModifiedBy>Jenny Van Der Puil</cp:lastModifiedBy>
  <cp:revision>3</cp:revision>
  <cp:lastPrinted>2021-11-09T01:41:00Z</cp:lastPrinted>
  <dcterms:created xsi:type="dcterms:W3CDTF">2021-11-10T06:12:00Z</dcterms:created>
  <dcterms:modified xsi:type="dcterms:W3CDTF">2021-11-10T06:13:00Z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verTitle">
    <vt:lpwstr>test</vt:lpwstr>
  </property>
  <property fmtid="{D5CDD505-2E9C-101B-9397-08002B2CF9AE}" pid="3" name="CoverDate">
    <vt:lpwstr>October 2018</vt:lpwstr>
  </property>
  <property fmtid="{D5CDD505-2E9C-101B-9397-08002B2CF9AE}" pid="4" name="CoverReportBy">
    <vt:lpwstr>Erin McFadden</vt:lpwstr>
  </property>
  <property fmtid="{D5CDD505-2E9C-101B-9397-08002B2CF9AE}" pid="5" name="CoverSubtitle">
    <vt:lpwstr>test</vt:lpwstr>
  </property>
  <property fmtid="{D5CDD505-2E9C-101B-9397-08002B2CF9AE}" pid="6" name="ContentTypeId">
    <vt:lpwstr>0x01010099DDF8EDA320E543B1EC6B982B0C012104005A62E4A31224BD4CBA2FF700248E63D5</vt:lpwstr>
  </property>
  <property fmtid="{D5CDD505-2E9C-101B-9397-08002B2CF9AE}" pid="7" name="m2a46786ab4242859a6101eb70b9b150">
    <vt:lpwstr>Internal Report|a89eade3-a39a-496c-a215-f730206bee91</vt:lpwstr>
  </property>
  <property fmtid="{D5CDD505-2E9C-101B-9397-08002B2CF9AE}" pid="8" name="DM Key Word">
    <vt:lpwstr>8;#Ministers Office|9d39567f-5657-48f2-9f8e-d0924e3688d2</vt:lpwstr>
  </property>
  <property fmtid="{D5CDD505-2E9C-101B-9397-08002B2CF9AE}" pid="9" name="lbd76de8d1c447e69ed2be2b10a21be3">
    <vt:lpwstr>2018-19|353432dd-dd1d-4b3b-ad02-d30e40a0d87d</vt:lpwstr>
  </property>
  <property fmtid="{D5CDD505-2E9C-101B-9397-08002B2CF9AE}" pid="10" name="ndce0d0d55a349928d36ed823709dfec">
    <vt:lpwstr>Data and Governance|3fcd623d-c4c5-45d6-9bd0-abc774937aee</vt:lpwstr>
  </property>
  <property fmtid="{D5CDD505-2E9C-101B-9397-08002B2CF9AE}" pid="11" name="Security Classification">
    <vt:lpwstr>35;#Unclassified|a6f64896-ae48-4d38-9394-0168a9e18a35</vt:lpwstr>
  </property>
  <property fmtid="{D5CDD505-2E9C-101B-9397-08002B2CF9AE}" pid="12" name="Report Type">
    <vt:lpwstr>23;#Internal Report|a89eade3-a39a-496c-a215-f730206bee91</vt:lpwstr>
  </property>
  <property fmtid="{D5CDD505-2E9C-101B-9397-08002B2CF9AE}" pid="13" name="Team1">
    <vt:lpwstr>99;#Data and Governance|3fcd623d-c4c5-45d6-9bd0-abc774937aee</vt:lpwstr>
  </property>
  <property fmtid="{D5CDD505-2E9C-101B-9397-08002B2CF9AE}" pid="14" name="Financial Year">
    <vt:lpwstr>69;#2018-19|353432dd-dd1d-4b3b-ad02-d30e40a0d87d</vt:lpwstr>
  </property>
  <property fmtid="{D5CDD505-2E9C-101B-9397-08002B2CF9AE}" pid="15" name="RecordPoint_WorkflowType">
    <vt:lpwstr>ActiveSubmitStub</vt:lpwstr>
  </property>
  <property fmtid="{D5CDD505-2E9C-101B-9397-08002B2CF9AE}" pid="16" name="RecordPoint_ActiveItemListId">
    <vt:lpwstr>{6dadc42e-6297-43e7-b8f5-55fb32687c05}</vt:lpwstr>
  </property>
  <property fmtid="{D5CDD505-2E9C-101B-9397-08002B2CF9AE}" pid="17" name="RecordPoint_ActiveItemUniqueId">
    <vt:lpwstr>{b5ef5532-dc17-42fe-b0ae-c3a8d27a20e8}</vt:lpwstr>
  </property>
  <property fmtid="{D5CDD505-2E9C-101B-9397-08002B2CF9AE}" pid="18" name="RecordPoint_ActiveItemWebId">
    <vt:lpwstr>{b71b3184-ebda-4163-8292-4db039109491}</vt:lpwstr>
  </property>
  <property fmtid="{D5CDD505-2E9C-101B-9397-08002B2CF9AE}" pid="19" name="RecordPoint_ActiveItemSiteId">
    <vt:lpwstr>{8c33f243-4191-444f-8e60-aca182bf1fba}</vt:lpwstr>
  </property>
  <property fmtid="{D5CDD505-2E9C-101B-9397-08002B2CF9AE}" pid="20" name="RecordPoint_RecordNumberSubmitted">
    <vt:lpwstr>R0000191108</vt:lpwstr>
  </property>
  <property fmtid="{D5CDD505-2E9C-101B-9397-08002B2CF9AE}" pid="21" name="RecordPoint_SubmissionCompleted">
    <vt:lpwstr>2021-11-09T12:59:00.1965591+11:00</vt:lpwstr>
  </property>
  <property fmtid="{D5CDD505-2E9C-101B-9397-08002B2CF9AE}" pid="22" name="RecordPoint_SubmissionDate">
    <vt:lpwstr/>
  </property>
  <property fmtid="{D5CDD505-2E9C-101B-9397-08002B2CF9AE}" pid="23" name="RecordPoint_RecordFormat">
    <vt:lpwstr/>
  </property>
  <property fmtid="{D5CDD505-2E9C-101B-9397-08002B2CF9AE}" pid="24" name="RecordPoint_ActiveItemMoved">
    <vt:lpwstr/>
  </property>
  <property fmtid="{D5CDD505-2E9C-101B-9397-08002B2CF9AE}" pid="25" name="b73968e9ce784ca4a391306e0a0a5f46">
    <vt:lpwstr>2019|1b608e17-7be6-4165-a7a2-583381837858</vt:lpwstr>
  </property>
  <property fmtid="{D5CDD505-2E9C-101B-9397-08002B2CF9AE}" pid="26" name="i4587b40dee642c5a1d5214f2c9eb308">
    <vt:lpwstr>Minutes|9a90a59b-df34-44af-b72f-b8fa25724038</vt:lpwstr>
  </property>
  <property fmtid="{D5CDD505-2E9C-101B-9397-08002B2CF9AE}" pid="27" name="Audience1">
    <vt:lpwstr>107;#CEO|3aa2098e-96c6-4709-a837-552bd862c52d</vt:lpwstr>
  </property>
  <property fmtid="{D5CDD505-2E9C-101B-9397-08002B2CF9AE}" pid="28" name="Calendar Year">
    <vt:lpwstr>176;#2019|1b608e17-7be6-4165-a7a2-583381837858</vt:lpwstr>
  </property>
  <property fmtid="{D5CDD505-2E9C-101B-9397-08002B2CF9AE}" pid="29" name="Meeting Type">
    <vt:lpwstr>31;#Minutes|9a90a59b-df34-44af-b72f-b8fa25724038</vt:lpwstr>
  </property>
  <property fmtid="{D5CDD505-2E9C-101B-9397-08002B2CF9AE}" pid="30" name="Communication document type">
    <vt:lpwstr>16;#Brief|7a08c022-f9cf-4d47-b74d-3d54d3874e09</vt:lpwstr>
  </property>
  <property fmtid="{D5CDD505-2E9C-101B-9397-08002B2CF9AE}" pid="31" name="Communication Date">
    <vt:filetime>2021-10-06T01:54:28Z</vt:filetime>
  </property>
  <property fmtid="{D5CDD505-2E9C-101B-9397-08002B2CF9AE}" pid="32" name="Internal or External?">
    <vt:lpwstr>Internal</vt:lpwstr>
  </property>
  <property fmtid="{D5CDD505-2E9C-101B-9397-08002B2CF9AE}" pid="33" name="b597d033ab9a4eb5a9384d5125191b65">
    <vt:lpwstr>Brief|7a08c022-f9cf-4d47-b74d-3d54d3874e09</vt:lpwstr>
  </property>
  <property fmtid="{D5CDD505-2E9C-101B-9397-08002B2CF9AE}" pid="34" name="acafe7a9d7a341d6beae3d9897918af1">
    <vt:lpwstr>CEO|3aa2098e-96c6-4709-a837-552bd862c52d</vt:lpwstr>
  </property>
</Properties>
</file>