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CD" w:rsidRDefault="00932CC5" w:rsidP="003C0152">
      <w:pPr>
        <w:spacing w:beforeAutospacing="1" w:after="0" w:afterAutospacing="1" w:line="240" w:lineRule="auto"/>
        <w:rPr>
          <w:rFonts w:ascii="Calibri" w:eastAsia="Times New Roman" w:hAnsi="Calibri" w:cs="Times New Roman"/>
          <w:b/>
          <w:sz w:val="32"/>
          <w:szCs w:val="32"/>
        </w:rPr>
      </w:pPr>
      <w:r>
        <w:rPr>
          <w:rFonts w:ascii="Calibri" w:eastAsia="Times New Roman" w:hAnsi="Calibri" w:cs="Times New Roman"/>
          <w:b/>
          <w:sz w:val="32"/>
          <w:szCs w:val="32"/>
        </w:rPr>
        <w:t>S</w:t>
      </w:r>
      <w:r w:rsidR="00D01CCD">
        <w:rPr>
          <w:rFonts w:ascii="Calibri" w:eastAsia="Times New Roman" w:hAnsi="Calibri" w:cs="Times New Roman"/>
          <w:b/>
          <w:sz w:val="32"/>
          <w:szCs w:val="32"/>
        </w:rPr>
        <w:t>ummary</w:t>
      </w:r>
    </w:p>
    <w:p w:rsidR="003C0152" w:rsidRDefault="00ED3130" w:rsidP="003C0152">
      <w:pPr>
        <w:spacing w:beforeAutospacing="1" w:after="0" w:afterAutospacing="1" w:line="240" w:lineRule="auto"/>
        <w:rPr>
          <w:rFonts w:ascii="Calibri" w:eastAsia="Times New Roman" w:hAnsi="Calibri" w:cs="Times New Roman"/>
          <w:b/>
          <w:sz w:val="32"/>
          <w:szCs w:val="32"/>
        </w:rPr>
      </w:pPr>
      <w:r>
        <w:rPr>
          <w:rFonts w:ascii="Calibri" w:eastAsia="Times New Roman" w:hAnsi="Calibri" w:cs="Times New Roman"/>
          <w:b/>
          <w:sz w:val="32"/>
          <w:szCs w:val="32"/>
        </w:rPr>
        <w:t>Recyclables</w:t>
      </w:r>
      <w:r w:rsidR="003C0152">
        <w:rPr>
          <w:rFonts w:ascii="Calibri" w:eastAsia="Times New Roman" w:hAnsi="Calibri" w:cs="Times New Roman"/>
          <w:b/>
          <w:sz w:val="32"/>
          <w:szCs w:val="32"/>
        </w:rPr>
        <w:t xml:space="preserve"> in the garbage bin</w:t>
      </w:r>
      <w:r w:rsidR="0008591C">
        <w:rPr>
          <w:rFonts w:ascii="Calibri" w:eastAsia="Times New Roman" w:hAnsi="Calibri" w:cs="Times New Roman"/>
          <w:b/>
          <w:sz w:val="32"/>
          <w:szCs w:val="32"/>
        </w:rPr>
        <w:t xml:space="preserve"> 2013</w:t>
      </w:r>
    </w:p>
    <w:p w:rsidR="003C0152" w:rsidRDefault="003C0152" w:rsidP="003C0152">
      <w:pPr>
        <w:spacing w:beforeAutospacing="1" w:after="0" w:afterAutospacing="1" w:line="240" w:lineRule="auto"/>
        <w:rPr>
          <w:rFonts w:ascii="Calibri" w:eastAsia="Times New Roman" w:hAnsi="Calibri" w:cs="Times New Roman"/>
          <w:b/>
          <w:sz w:val="32"/>
          <w:szCs w:val="32"/>
        </w:rPr>
      </w:pPr>
      <w:r>
        <w:rPr>
          <w:rFonts w:ascii="Calibri" w:eastAsia="Times New Roman" w:hAnsi="Calibri" w:cs="Times New Roman"/>
          <w:b/>
          <w:sz w:val="32"/>
          <w:szCs w:val="32"/>
        </w:rPr>
        <w:t>At a glance</w:t>
      </w:r>
    </w:p>
    <w:p w:rsidR="00A57148" w:rsidRDefault="00A57148" w:rsidP="00147714">
      <w:pPr>
        <w:spacing w:beforeAutospacing="1" w:after="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weight of </w:t>
      </w:r>
      <w:r w:rsidR="00413CDC">
        <w:rPr>
          <w:rFonts w:ascii="Calibri" w:eastAsia="Times New Roman" w:hAnsi="Calibri" w:cs="Times New Roman"/>
          <w:sz w:val="24"/>
          <w:szCs w:val="24"/>
        </w:rPr>
        <w:t>material</w:t>
      </w:r>
      <w:r>
        <w:rPr>
          <w:rFonts w:ascii="Calibri" w:eastAsia="Times New Roman" w:hAnsi="Calibri" w:cs="Times New Roman"/>
          <w:sz w:val="24"/>
          <w:szCs w:val="24"/>
        </w:rPr>
        <w:t xml:space="preserve"> in the average </w:t>
      </w:r>
      <w:r w:rsidR="00634A52">
        <w:rPr>
          <w:rFonts w:ascii="Calibri" w:eastAsia="Times New Roman" w:hAnsi="Calibri" w:cs="Times New Roman"/>
          <w:sz w:val="24"/>
          <w:szCs w:val="24"/>
        </w:rPr>
        <w:t xml:space="preserve">weekly </w:t>
      </w:r>
      <w:r>
        <w:rPr>
          <w:rFonts w:ascii="Calibri" w:eastAsia="Times New Roman" w:hAnsi="Calibri" w:cs="Times New Roman"/>
          <w:sz w:val="24"/>
          <w:szCs w:val="24"/>
        </w:rPr>
        <w:t xml:space="preserve">Victorian household garbage bin </w:t>
      </w:r>
      <w:r w:rsidR="003D4C1F">
        <w:rPr>
          <w:rFonts w:ascii="Calibri" w:eastAsia="Times New Roman" w:hAnsi="Calibri" w:cs="Times New Roman"/>
          <w:sz w:val="24"/>
          <w:szCs w:val="24"/>
        </w:rPr>
        <w:t xml:space="preserve">that could have been recycled </w:t>
      </w:r>
      <w:r>
        <w:rPr>
          <w:rFonts w:ascii="Calibri" w:eastAsia="Times New Roman" w:hAnsi="Calibri" w:cs="Times New Roman"/>
          <w:sz w:val="24"/>
          <w:szCs w:val="24"/>
        </w:rPr>
        <w:t xml:space="preserve">was just over 1 kg </w:t>
      </w:r>
      <w:r w:rsidR="00413CDC">
        <w:rPr>
          <w:rFonts w:ascii="Calibri" w:eastAsia="Times New Roman" w:hAnsi="Calibri" w:cs="Times New Roman"/>
          <w:sz w:val="24"/>
          <w:szCs w:val="24"/>
        </w:rPr>
        <w:t xml:space="preserve">– a </w:t>
      </w:r>
      <w:r>
        <w:rPr>
          <w:rFonts w:ascii="Calibri" w:eastAsia="Times New Roman" w:hAnsi="Calibri" w:cs="Times New Roman"/>
          <w:sz w:val="24"/>
          <w:szCs w:val="24"/>
        </w:rPr>
        <w:t xml:space="preserve">tenth of the bin by weight. Most of the </w:t>
      </w:r>
      <w:r w:rsidR="003D4C1F">
        <w:rPr>
          <w:rFonts w:ascii="Calibri" w:eastAsia="Times New Roman" w:hAnsi="Calibri" w:cs="Times New Roman"/>
          <w:sz w:val="24"/>
          <w:szCs w:val="24"/>
        </w:rPr>
        <w:t>material was</w:t>
      </w:r>
      <w:r>
        <w:rPr>
          <w:rFonts w:ascii="Calibri" w:eastAsia="Times New Roman" w:hAnsi="Calibri" w:cs="Times New Roman"/>
          <w:sz w:val="24"/>
          <w:szCs w:val="24"/>
        </w:rPr>
        <w:t xml:space="preserve"> paper and cardboard, plastics and glass. </w:t>
      </w:r>
    </w:p>
    <w:p w:rsidR="00514C09" w:rsidRDefault="00514C09" w:rsidP="00147714">
      <w:pPr>
        <w:spacing w:beforeAutospacing="1" w:after="0" w:afterAutospacing="1" w:line="240" w:lineRule="auto"/>
        <w:rPr>
          <w:rFonts w:ascii="Calibri" w:eastAsia="Times New Roman" w:hAnsi="Calibri" w:cs="Times New Roman"/>
          <w:b/>
          <w:sz w:val="24"/>
          <w:szCs w:val="24"/>
        </w:rPr>
      </w:pPr>
    </w:p>
    <w:p w:rsidR="00147714" w:rsidRPr="00147714" w:rsidRDefault="00147714" w:rsidP="00147714">
      <w:pPr>
        <w:spacing w:beforeAutospacing="1" w:after="0" w:afterAutospacing="1" w:line="240" w:lineRule="auto"/>
        <w:rPr>
          <w:rFonts w:ascii="Calibri" w:eastAsia="Times New Roman" w:hAnsi="Calibri" w:cs="Times New Roman"/>
          <w:b/>
          <w:sz w:val="24"/>
          <w:szCs w:val="24"/>
        </w:rPr>
      </w:pPr>
      <w:r w:rsidRPr="00147714">
        <w:rPr>
          <w:rFonts w:ascii="Calibri" w:eastAsia="Times New Roman" w:hAnsi="Calibri" w:cs="Times New Roman"/>
          <w:b/>
          <w:sz w:val="24"/>
          <w:szCs w:val="24"/>
        </w:rPr>
        <w:t>Background</w:t>
      </w:r>
    </w:p>
    <w:p w:rsidR="005A2FC2" w:rsidRPr="005A2FC2" w:rsidRDefault="005A2FC2" w:rsidP="005A2FC2">
      <w:pPr>
        <w:spacing w:beforeAutospacing="1" w:after="0" w:afterAutospacing="1" w:line="240" w:lineRule="auto"/>
        <w:rPr>
          <w:rFonts w:ascii="Calibri" w:eastAsia="Times New Roman" w:hAnsi="Calibri" w:cs="Times New Roman"/>
          <w:sz w:val="24"/>
          <w:szCs w:val="24"/>
        </w:rPr>
      </w:pPr>
      <w:r w:rsidRPr="005A2FC2">
        <w:rPr>
          <w:rFonts w:ascii="Calibri" w:eastAsia="Times New Roman" w:hAnsi="Calibri" w:cs="Times New Roman"/>
          <w:sz w:val="24"/>
          <w:szCs w:val="24"/>
        </w:rPr>
        <w:t xml:space="preserve">Sustainability Victoria is managing an education program and campaign to divert more recyclable material from household garbage bins to recycling bins and reduce the level of contamination in the recycling bin. Called Get it Right on Bin Night (GIROBN), the program was launched in 2012 initially in Melbourne and expanded </w:t>
      </w:r>
      <w:proofErr w:type="spellStart"/>
      <w:r w:rsidR="00E065FE">
        <w:rPr>
          <w:rFonts w:ascii="Calibri" w:eastAsia="Times New Roman" w:hAnsi="Calibri" w:cs="Times New Roman"/>
          <w:sz w:val="24"/>
          <w:szCs w:val="24"/>
        </w:rPr>
        <w:t>statewide</w:t>
      </w:r>
      <w:proofErr w:type="spellEnd"/>
      <w:r w:rsidRPr="005A2FC2">
        <w:rPr>
          <w:rFonts w:ascii="Calibri" w:eastAsia="Times New Roman" w:hAnsi="Calibri" w:cs="Times New Roman"/>
          <w:sz w:val="24"/>
          <w:szCs w:val="24"/>
        </w:rPr>
        <w:t xml:space="preserve"> in 2013.</w:t>
      </w:r>
    </w:p>
    <w:p w:rsidR="001933B7" w:rsidRDefault="00405A50" w:rsidP="001933B7">
      <w:pPr>
        <w:pStyle w:val="NoSpacing"/>
        <w:rPr>
          <w:sz w:val="24"/>
          <w:szCs w:val="24"/>
        </w:rPr>
      </w:pPr>
      <w:r w:rsidRPr="001933B7">
        <w:rPr>
          <w:sz w:val="24"/>
          <w:szCs w:val="24"/>
        </w:rPr>
        <w:t xml:space="preserve">Audits were conducted in 2012 </w:t>
      </w:r>
      <w:r w:rsidR="007365D4" w:rsidRPr="001933B7">
        <w:rPr>
          <w:sz w:val="24"/>
          <w:szCs w:val="24"/>
        </w:rPr>
        <w:t xml:space="preserve">in six metropolitan </w:t>
      </w:r>
      <w:r w:rsidR="00A727F9" w:rsidRPr="001933B7">
        <w:rPr>
          <w:sz w:val="24"/>
          <w:szCs w:val="24"/>
        </w:rPr>
        <w:t>council</w:t>
      </w:r>
      <w:r w:rsidR="007365D4" w:rsidRPr="001933B7">
        <w:rPr>
          <w:sz w:val="24"/>
          <w:szCs w:val="24"/>
        </w:rPr>
        <w:t xml:space="preserve">s </w:t>
      </w:r>
      <w:r w:rsidRPr="001933B7">
        <w:rPr>
          <w:sz w:val="24"/>
          <w:szCs w:val="24"/>
        </w:rPr>
        <w:t xml:space="preserve">and </w:t>
      </w:r>
      <w:r w:rsidR="00A727F9" w:rsidRPr="001933B7">
        <w:rPr>
          <w:sz w:val="24"/>
          <w:szCs w:val="24"/>
        </w:rPr>
        <w:t xml:space="preserve">in </w:t>
      </w:r>
      <w:r w:rsidRPr="001933B7">
        <w:rPr>
          <w:sz w:val="24"/>
          <w:szCs w:val="24"/>
        </w:rPr>
        <w:t xml:space="preserve">2013 </w:t>
      </w:r>
      <w:r w:rsidR="00A727F9" w:rsidRPr="001933B7">
        <w:rPr>
          <w:sz w:val="24"/>
          <w:szCs w:val="24"/>
        </w:rPr>
        <w:t xml:space="preserve">in four non-metropolitan councils </w:t>
      </w:r>
      <w:r w:rsidRPr="001933B7">
        <w:rPr>
          <w:sz w:val="24"/>
          <w:szCs w:val="24"/>
        </w:rPr>
        <w:t xml:space="preserve">before and after the campaign to help evaluate performance. </w:t>
      </w:r>
      <w:r w:rsidR="000D6E7D" w:rsidRPr="001933B7">
        <w:rPr>
          <w:sz w:val="24"/>
          <w:szCs w:val="24"/>
        </w:rPr>
        <w:t xml:space="preserve">These results </w:t>
      </w:r>
      <w:r w:rsidR="00FD08E6" w:rsidRPr="001933B7">
        <w:rPr>
          <w:sz w:val="24"/>
          <w:szCs w:val="24"/>
        </w:rPr>
        <w:t xml:space="preserve">of the garbage bin audits </w:t>
      </w:r>
      <w:r w:rsidR="000D6E7D" w:rsidRPr="001933B7">
        <w:rPr>
          <w:sz w:val="24"/>
          <w:szCs w:val="24"/>
        </w:rPr>
        <w:t xml:space="preserve">were combined to provide a </w:t>
      </w:r>
      <w:proofErr w:type="spellStart"/>
      <w:r w:rsidR="000D6E7D" w:rsidRPr="001933B7">
        <w:rPr>
          <w:sz w:val="24"/>
          <w:szCs w:val="24"/>
        </w:rPr>
        <w:t>statewide</w:t>
      </w:r>
      <w:proofErr w:type="spellEnd"/>
      <w:r w:rsidR="000D6E7D" w:rsidRPr="001933B7">
        <w:rPr>
          <w:sz w:val="24"/>
          <w:szCs w:val="24"/>
        </w:rPr>
        <w:t xml:space="preserve"> picture.</w:t>
      </w:r>
      <w:r w:rsidR="001933B7" w:rsidRPr="001933B7">
        <w:rPr>
          <w:sz w:val="24"/>
          <w:szCs w:val="24"/>
        </w:rPr>
        <w:t xml:space="preserve"> </w:t>
      </w:r>
    </w:p>
    <w:p w:rsidR="001933B7" w:rsidRDefault="001933B7" w:rsidP="001933B7">
      <w:pPr>
        <w:pStyle w:val="NoSpacing"/>
        <w:rPr>
          <w:sz w:val="24"/>
          <w:szCs w:val="24"/>
        </w:rPr>
      </w:pPr>
    </w:p>
    <w:p w:rsidR="001933B7" w:rsidRPr="001933B7" w:rsidRDefault="001933B7" w:rsidP="001933B7">
      <w:pPr>
        <w:pStyle w:val="NoSpacing"/>
        <w:rPr>
          <w:sz w:val="24"/>
          <w:szCs w:val="24"/>
        </w:rPr>
      </w:pPr>
      <w:r w:rsidRPr="001933B7">
        <w:rPr>
          <w:sz w:val="24"/>
          <w:szCs w:val="24"/>
        </w:rPr>
        <w:t xml:space="preserve">The audits were conducted in accordance with SV’s </w:t>
      </w:r>
      <w:r w:rsidRPr="001933B7">
        <w:rPr>
          <w:i/>
          <w:sz w:val="24"/>
          <w:szCs w:val="24"/>
        </w:rPr>
        <w:t>Guidelines for auditing kerbside waste in Victoria</w:t>
      </w:r>
      <w:r w:rsidRPr="001933B7">
        <w:rPr>
          <w:sz w:val="24"/>
          <w:szCs w:val="24"/>
        </w:rPr>
        <w:t xml:space="preserve"> which provide a methodology for weight-based physical audits according to categories of materials types. </w:t>
      </w:r>
    </w:p>
    <w:p w:rsidR="000D6E7D" w:rsidRPr="001933B7" w:rsidRDefault="000D6E7D" w:rsidP="001933B7">
      <w:pPr>
        <w:pStyle w:val="NoSpacing"/>
        <w:rPr>
          <w:sz w:val="24"/>
          <w:szCs w:val="24"/>
        </w:rPr>
      </w:pPr>
    </w:p>
    <w:p w:rsidR="001E31E1" w:rsidRPr="001E31E1" w:rsidRDefault="001E31E1" w:rsidP="00147714">
      <w:pPr>
        <w:spacing w:beforeAutospacing="1" w:after="0" w:afterAutospacing="1" w:line="240" w:lineRule="auto"/>
        <w:rPr>
          <w:rFonts w:ascii="Calibri" w:eastAsia="Times New Roman" w:hAnsi="Calibri" w:cs="Times New Roman"/>
          <w:b/>
          <w:sz w:val="24"/>
          <w:szCs w:val="24"/>
        </w:rPr>
      </w:pPr>
      <w:r w:rsidRPr="001E31E1">
        <w:rPr>
          <w:rFonts w:ascii="Calibri" w:eastAsia="Times New Roman" w:hAnsi="Calibri" w:cs="Times New Roman"/>
          <w:b/>
          <w:sz w:val="24"/>
          <w:szCs w:val="24"/>
        </w:rPr>
        <w:t>Categories</w:t>
      </w:r>
    </w:p>
    <w:p w:rsidR="0018035C" w:rsidRDefault="0018035C" w:rsidP="000D1FB8">
      <w:pPr>
        <w:spacing w:beforeAutospacing="1" w:after="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There were four main categories used – Recyclable</w:t>
      </w:r>
      <w:r w:rsidR="002A1257">
        <w:rPr>
          <w:rFonts w:ascii="Calibri" w:eastAsia="Times New Roman" w:hAnsi="Calibri" w:cs="Times New Roman"/>
          <w:sz w:val="24"/>
          <w:szCs w:val="24"/>
        </w:rPr>
        <w:t>s</w:t>
      </w:r>
      <w:r>
        <w:rPr>
          <w:rFonts w:ascii="Calibri" w:eastAsia="Times New Roman" w:hAnsi="Calibri" w:cs="Times New Roman"/>
          <w:sz w:val="24"/>
          <w:szCs w:val="24"/>
        </w:rPr>
        <w:t>, Potentially recyclable, Organics and Other. The</w:t>
      </w:r>
      <w:r w:rsidR="001933B7">
        <w:rPr>
          <w:rFonts w:ascii="Calibri" w:eastAsia="Times New Roman" w:hAnsi="Calibri" w:cs="Times New Roman"/>
          <w:sz w:val="24"/>
          <w:szCs w:val="24"/>
        </w:rPr>
        <w:t>re were</w:t>
      </w:r>
      <w:r>
        <w:rPr>
          <w:rFonts w:ascii="Calibri" w:eastAsia="Times New Roman" w:hAnsi="Calibri" w:cs="Times New Roman"/>
          <w:sz w:val="24"/>
          <w:szCs w:val="24"/>
        </w:rPr>
        <w:t xml:space="preserve"> 14 sub categories </w:t>
      </w:r>
      <w:r w:rsidR="001933B7">
        <w:rPr>
          <w:rFonts w:ascii="Calibri" w:eastAsia="Times New Roman" w:hAnsi="Calibri" w:cs="Times New Roman"/>
          <w:sz w:val="24"/>
          <w:szCs w:val="24"/>
        </w:rPr>
        <w:t xml:space="preserve">and these </w:t>
      </w:r>
      <w:r>
        <w:rPr>
          <w:rFonts w:ascii="Calibri" w:eastAsia="Times New Roman" w:hAnsi="Calibri" w:cs="Times New Roman"/>
          <w:sz w:val="24"/>
          <w:szCs w:val="24"/>
        </w:rPr>
        <w:t xml:space="preserve">are </w:t>
      </w:r>
      <w:r w:rsidR="001933B7">
        <w:rPr>
          <w:rFonts w:ascii="Calibri" w:eastAsia="Times New Roman" w:hAnsi="Calibri" w:cs="Times New Roman"/>
          <w:sz w:val="24"/>
          <w:szCs w:val="24"/>
        </w:rPr>
        <w:t>shown</w:t>
      </w:r>
      <w:r>
        <w:rPr>
          <w:rFonts w:ascii="Calibri" w:eastAsia="Times New Roman" w:hAnsi="Calibri" w:cs="Times New Roman"/>
          <w:sz w:val="24"/>
          <w:szCs w:val="24"/>
        </w:rPr>
        <w:t xml:space="preserve"> </w:t>
      </w:r>
      <w:r w:rsidR="0057546C">
        <w:rPr>
          <w:rFonts w:ascii="Calibri" w:eastAsia="Times New Roman" w:hAnsi="Calibri" w:cs="Times New Roman"/>
          <w:sz w:val="24"/>
          <w:szCs w:val="24"/>
        </w:rPr>
        <w:t>at the end.</w:t>
      </w:r>
    </w:p>
    <w:p w:rsidR="00514C09" w:rsidRDefault="00514C09" w:rsidP="003C0152">
      <w:pPr>
        <w:spacing w:before="100" w:beforeAutospacing="1" w:after="100" w:afterAutospacing="1" w:line="240" w:lineRule="auto"/>
        <w:rPr>
          <w:rFonts w:ascii="Calibri" w:eastAsia="Times New Roman" w:hAnsi="Calibri" w:cs="Times New Roman"/>
          <w:b/>
          <w:sz w:val="24"/>
          <w:szCs w:val="24"/>
        </w:rPr>
      </w:pPr>
    </w:p>
    <w:p w:rsidR="003C0152" w:rsidRPr="00DA3C80" w:rsidRDefault="003C0152" w:rsidP="003C0152">
      <w:pPr>
        <w:spacing w:before="100" w:beforeAutospacing="1" w:after="100" w:afterAutospacing="1" w:line="240" w:lineRule="auto"/>
        <w:rPr>
          <w:rFonts w:ascii="Calibri" w:eastAsia="Times New Roman" w:hAnsi="Calibri" w:cs="Times New Roman"/>
          <w:b/>
          <w:sz w:val="24"/>
          <w:szCs w:val="24"/>
        </w:rPr>
      </w:pPr>
      <w:r w:rsidRPr="00DA3C80">
        <w:rPr>
          <w:rFonts w:ascii="Calibri" w:eastAsia="Times New Roman" w:hAnsi="Calibri" w:cs="Times New Roman"/>
          <w:b/>
          <w:sz w:val="24"/>
          <w:szCs w:val="24"/>
        </w:rPr>
        <w:t>Key facts</w:t>
      </w:r>
    </w:p>
    <w:p w:rsidR="003C0152" w:rsidRPr="00DA3C80" w:rsidRDefault="003C0152" w:rsidP="003C0152">
      <w:pPr>
        <w:numPr>
          <w:ilvl w:val="0"/>
          <w:numId w:val="2"/>
        </w:numPr>
        <w:spacing w:before="100" w:beforeAutospacing="1" w:after="100" w:afterAutospacing="1" w:line="240" w:lineRule="auto"/>
        <w:contextualSpacing/>
        <w:rPr>
          <w:rFonts w:ascii="Calibri" w:eastAsia="Times New Roman" w:hAnsi="Calibri" w:cs="Times New Roman"/>
          <w:sz w:val="24"/>
          <w:szCs w:val="24"/>
        </w:rPr>
      </w:pPr>
      <w:r w:rsidRPr="00DA3C80">
        <w:rPr>
          <w:rFonts w:ascii="Calibri" w:eastAsia="Times New Roman" w:hAnsi="Calibri" w:cs="Times New Roman"/>
          <w:sz w:val="24"/>
          <w:szCs w:val="24"/>
        </w:rPr>
        <w:t xml:space="preserve">Across Victoria, </w:t>
      </w:r>
      <w:r w:rsidR="001D356D">
        <w:rPr>
          <w:rFonts w:ascii="Calibri" w:eastAsia="Times New Roman" w:hAnsi="Calibri" w:cs="Times New Roman"/>
          <w:sz w:val="24"/>
          <w:szCs w:val="24"/>
        </w:rPr>
        <w:t xml:space="preserve">the weight of recyclables in the weekly </w:t>
      </w:r>
      <w:r w:rsidRPr="00DA3C80">
        <w:rPr>
          <w:rFonts w:ascii="Calibri" w:eastAsia="Times New Roman" w:hAnsi="Calibri" w:cs="Times New Roman"/>
          <w:sz w:val="24"/>
          <w:szCs w:val="24"/>
        </w:rPr>
        <w:t>household</w:t>
      </w:r>
      <w:r w:rsidR="001D356D">
        <w:rPr>
          <w:rFonts w:ascii="Calibri" w:eastAsia="Times New Roman" w:hAnsi="Calibri" w:cs="Times New Roman"/>
          <w:sz w:val="24"/>
          <w:szCs w:val="24"/>
        </w:rPr>
        <w:t xml:space="preserve"> garbage bin wa</w:t>
      </w:r>
      <w:r w:rsidRPr="00DA3C80">
        <w:rPr>
          <w:rFonts w:ascii="Calibri" w:eastAsia="Times New Roman" w:hAnsi="Calibri" w:cs="Times New Roman"/>
          <w:sz w:val="24"/>
          <w:szCs w:val="24"/>
        </w:rPr>
        <w:t xml:space="preserve">s </w:t>
      </w:r>
      <w:r w:rsidR="001D356D">
        <w:rPr>
          <w:rFonts w:ascii="Calibri" w:eastAsia="Times New Roman" w:hAnsi="Calibri" w:cs="Times New Roman"/>
          <w:sz w:val="24"/>
          <w:szCs w:val="24"/>
        </w:rPr>
        <w:t>1.0</w:t>
      </w:r>
      <w:r w:rsidR="00413CDC">
        <w:rPr>
          <w:rFonts w:ascii="Calibri" w:eastAsia="Times New Roman" w:hAnsi="Calibri" w:cs="Times New Roman"/>
          <w:sz w:val="24"/>
          <w:szCs w:val="24"/>
        </w:rPr>
        <w:t>5</w:t>
      </w:r>
      <w:r w:rsidR="001D356D">
        <w:rPr>
          <w:rFonts w:ascii="Calibri" w:eastAsia="Times New Roman" w:hAnsi="Calibri" w:cs="Times New Roman"/>
          <w:sz w:val="24"/>
          <w:szCs w:val="24"/>
        </w:rPr>
        <w:t xml:space="preserve"> kg</w:t>
      </w:r>
    </w:p>
    <w:p w:rsidR="00413CDC" w:rsidRPr="00DA3C80" w:rsidRDefault="00C45C6F" w:rsidP="00413CDC">
      <w:pPr>
        <w:numPr>
          <w:ilvl w:val="0"/>
          <w:numId w:val="2"/>
        </w:numPr>
        <w:spacing w:before="100" w:beforeAutospacing="1" w:after="100" w:afterAutospacing="1" w:line="240" w:lineRule="auto"/>
        <w:contextualSpacing/>
        <w:rPr>
          <w:rFonts w:ascii="Calibri" w:eastAsia="Times New Roman" w:hAnsi="Calibri" w:cs="Times New Roman"/>
          <w:sz w:val="24"/>
          <w:szCs w:val="24"/>
        </w:rPr>
      </w:pPr>
      <w:r w:rsidRPr="00C45C6F">
        <w:rPr>
          <w:rFonts w:ascii="Calibri" w:eastAsia="Times New Roman" w:hAnsi="Calibri" w:cs="Times New Roman"/>
          <w:sz w:val="24"/>
          <w:szCs w:val="24"/>
        </w:rPr>
        <w:t>Of the material that could have been recycled, the top items were paper and cardboard (40%), plastics (23</w:t>
      </w:r>
      <w:proofErr w:type="gramStart"/>
      <w:r w:rsidRPr="00C45C6F">
        <w:rPr>
          <w:rFonts w:ascii="Calibri" w:eastAsia="Times New Roman" w:hAnsi="Calibri" w:cs="Times New Roman"/>
          <w:sz w:val="24"/>
          <w:szCs w:val="24"/>
        </w:rPr>
        <w:t>% )</w:t>
      </w:r>
      <w:proofErr w:type="gramEnd"/>
      <w:r w:rsidRPr="00C45C6F">
        <w:rPr>
          <w:rFonts w:ascii="Calibri" w:eastAsia="Times New Roman" w:hAnsi="Calibri" w:cs="Times New Roman"/>
          <w:sz w:val="24"/>
          <w:szCs w:val="24"/>
        </w:rPr>
        <w:t xml:space="preserve"> </w:t>
      </w:r>
      <w:r>
        <w:rPr>
          <w:rFonts w:ascii="Calibri" w:eastAsia="Times New Roman" w:hAnsi="Calibri" w:cs="Times New Roman"/>
          <w:sz w:val="24"/>
          <w:szCs w:val="24"/>
        </w:rPr>
        <w:t xml:space="preserve">and </w:t>
      </w:r>
      <w:r w:rsidR="00413CDC">
        <w:rPr>
          <w:rFonts w:ascii="Calibri" w:eastAsia="Times New Roman" w:hAnsi="Calibri" w:cs="Times New Roman"/>
          <w:sz w:val="24"/>
          <w:szCs w:val="24"/>
        </w:rPr>
        <w:t>glass (20%)</w:t>
      </w:r>
      <w:r w:rsidR="00413CDC" w:rsidRPr="00413CDC">
        <w:rPr>
          <w:rFonts w:ascii="Calibri" w:eastAsia="Times New Roman" w:hAnsi="Calibri" w:cs="Times New Roman"/>
          <w:sz w:val="24"/>
          <w:szCs w:val="24"/>
        </w:rPr>
        <w:t xml:space="preserve"> </w:t>
      </w:r>
    </w:p>
    <w:p w:rsidR="00C45C6F" w:rsidRPr="00413CDC" w:rsidRDefault="00413CDC" w:rsidP="00413CDC">
      <w:pPr>
        <w:numPr>
          <w:ilvl w:val="0"/>
          <w:numId w:val="2"/>
        </w:numPr>
        <w:spacing w:before="100" w:beforeAutospacing="1" w:after="100" w:afterAutospacing="1"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There was 4% more recyclable material in the non-metropolitan garbage bins than in the metropolitan bins.</w:t>
      </w:r>
    </w:p>
    <w:p w:rsidR="003C0152" w:rsidRDefault="003C0152" w:rsidP="003C0152">
      <w:pPr>
        <w:spacing w:before="100" w:beforeAutospacing="1" w:after="100" w:afterAutospacing="1" w:line="240" w:lineRule="auto"/>
        <w:ind w:left="360"/>
        <w:rPr>
          <w:rFonts w:ascii="Calibri" w:eastAsia="Times New Roman" w:hAnsi="Calibri" w:cs="Times New Roman"/>
          <w:sz w:val="24"/>
          <w:szCs w:val="24"/>
        </w:rPr>
      </w:pPr>
    </w:p>
    <w:p w:rsidR="00514C09" w:rsidRDefault="00514C09" w:rsidP="003C0152">
      <w:pPr>
        <w:spacing w:before="100" w:beforeAutospacing="1" w:after="100" w:afterAutospacing="1" w:line="240" w:lineRule="auto"/>
        <w:ind w:left="360"/>
        <w:rPr>
          <w:rFonts w:ascii="Calibri" w:eastAsia="Times New Roman" w:hAnsi="Calibri" w:cs="Times New Roman"/>
          <w:sz w:val="24"/>
          <w:szCs w:val="24"/>
        </w:rPr>
      </w:pPr>
      <w:bookmarkStart w:id="0" w:name="_GoBack"/>
      <w:bookmarkEnd w:id="0"/>
    </w:p>
    <w:p w:rsidR="00696176" w:rsidRPr="00DA3C80" w:rsidRDefault="00696176" w:rsidP="00433257">
      <w:pPr>
        <w:spacing w:before="100" w:beforeAutospacing="1" w:after="100" w:afterAutospacing="1" w:line="240" w:lineRule="auto"/>
        <w:rPr>
          <w:rFonts w:ascii="Calibri" w:eastAsia="Times New Roman" w:hAnsi="Calibri" w:cs="Times New Roman"/>
          <w:b/>
          <w:sz w:val="24"/>
          <w:szCs w:val="24"/>
        </w:rPr>
      </w:pPr>
      <w:bookmarkStart w:id="1" w:name="_Toc370117471"/>
      <w:r>
        <w:rPr>
          <w:rFonts w:ascii="Calibri" w:eastAsia="Times New Roman" w:hAnsi="Calibri" w:cs="Times New Roman"/>
          <w:b/>
          <w:sz w:val="24"/>
          <w:szCs w:val="24"/>
        </w:rPr>
        <w:t>How much is being wasted</w:t>
      </w:r>
    </w:p>
    <w:p w:rsidR="00433257" w:rsidRDefault="00696176" w:rsidP="00696176">
      <w:pPr>
        <w:pStyle w:val="NoSpacing"/>
        <w:rPr>
          <w:sz w:val="24"/>
          <w:szCs w:val="24"/>
        </w:rPr>
      </w:pPr>
      <w:r w:rsidRPr="00696176">
        <w:rPr>
          <w:sz w:val="24"/>
          <w:szCs w:val="24"/>
        </w:rPr>
        <w:t xml:space="preserve">Results showed that across Victoria the material thrown out that could have been recycled </w:t>
      </w:r>
      <w:r>
        <w:rPr>
          <w:sz w:val="24"/>
          <w:szCs w:val="24"/>
        </w:rPr>
        <w:t xml:space="preserve">was </w:t>
      </w:r>
      <w:r w:rsidR="001933B7">
        <w:rPr>
          <w:sz w:val="24"/>
          <w:szCs w:val="24"/>
        </w:rPr>
        <w:t>10.8</w:t>
      </w:r>
      <w:proofErr w:type="gramStart"/>
      <w:r w:rsidR="001933B7">
        <w:rPr>
          <w:sz w:val="24"/>
          <w:szCs w:val="24"/>
        </w:rPr>
        <w:t xml:space="preserve">% </w:t>
      </w:r>
      <w:r w:rsidR="00DF651A">
        <w:rPr>
          <w:sz w:val="24"/>
          <w:szCs w:val="24"/>
        </w:rPr>
        <w:t xml:space="preserve"> –</w:t>
      </w:r>
      <w:proofErr w:type="gramEnd"/>
      <w:r w:rsidR="00DF651A">
        <w:rPr>
          <w:sz w:val="24"/>
          <w:szCs w:val="24"/>
        </w:rPr>
        <w:t xml:space="preserve"> that is </w:t>
      </w:r>
      <w:r w:rsidR="00433257">
        <w:rPr>
          <w:sz w:val="24"/>
          <w:szCs w:val="24"/>
        </w:rPr>
        <w:t>1.05 kg o</w:t>
      </w:r>
      <w:r w:rsidR="00DF651A">
        <w:rPr>
          <w:sz w:val="24"/>
          <w:szCs w:val="24"/>
        </w:rPr>
        <w:t>f</w:t>
      </w:r>
      <w:r w:rsidR="00433257">
        <w:rPr>
          <w:sz w:val="24"/>
          <w:szCs w:val="24"/>
        </w:rPr>
        <w:t xml:space="preserve"> </w:t>
      </w:r>
      <w:r w:rsidRPr="00696176">
        <w:rPr>
          <w:sz w:val="24"/>
          <w:szCs w:val="24"/>
        </w:rPr>
        <w:t xml:space="preserve">the total </w:t>
      </w:r>
      <w:r w:rsidR="00DF651A">
        <w:rPr>
          <w:sz w:val="24"/>
          <w:szCs w:val="24"/>
        </w:rPr>
        <w:t xml:space="preserve">weekly </w:t>
      </w:r>
      <w:r w:rsidRPr="00696176">
        <w:rPr>
          <w:sz w:val="24"/>
          <w:szCs w:val="24"/>
        </w:rPr>
        <w:t>average garbage bin weight</w:t>
      </w:r>
      <w:r w:rsidR="00DF651A">
        <w:rPr>
          <w:sz w:val="24"/>
          <w:szCs w:val="24"/>
        </w:rPr>
        <w:t xml:space="preserve"> which</w:t>
      </w:r>
      <w:r w:rsidRPr="00696176">
        <w:rPr>
          <w:sz w:val="24"/>
          <w:szCs w:val="24"/>
        </w:rPr>
        <w:t xml:space="preserve"> is 9.7 kg</w:t>
      </w:r>
      <w:r w:rsidR="00DF651A">
        <w:rPr>
          <w:sz w:val="24"/>
          <w:szCs w:val="24"/>
        </w:rPr>
        <w:t>.</w:t>
      </w:r>
      <w:r w:rsidRPr="00696176">
        <w:rPr>
          <w:sz w:val="24"/>
          <w:szCs w:val="24"/>
        </w:rPr>
        <w:t xml:space="preserve"> </w:t>
      </w:r>
    </w:p>
    <w:p w:rsidR="00433257" w:rsidRDefault="00433257" w:rsidP="00696176">
      <w:pPr>
        <w:pStyle w:val="NoSpacing"/>
        <w:rPr>
          <w:sz w:val="24"/>
          <w:szCs w:val="24"/>
        </w:rPr>
      </w:pPr>
    </w:p>
    <w:p w:rsidR="00433257" w:rsidRDefault="00433257" w:rsidP="00696176">
      <w:pPr>
        <w:pStyle w:val="NoSpacing"/>
        <w:rPr>
          <w:sz w:val="24"/>
          <w:szCs w:val="24"/>
        </w:rPr>
      </w:pPr>
      <w:r>
        <w:rPr>
          <w:sz w:val="24"/>
          <w:szCs w:val="24"/>
        </w:rPr>
        <w:lastRenderedPageBreak/>
        <w:t xml:space="preserve">A further </w:t>
      </w:r>
      <w:r w:rsidR="00932CC5">
        <w:rPr>
          <w:sz w:val="24"/>
          <w:szCs w:val="24"/>
        </w:rPr>
        <w:t xml:space="preserve">2% or </w:t>
      </w:r>
      <w:r>
        <w:rPr>
          <w:sz w:val="24"/>
          <w:szCs w:val="24"/>
        </w:rPr>
        <w:t xml:space="preserve">0.2 kg was </w:t>
      </w:r>
      <w:r w:rsidR="0038222E">
        <w:rPr>
          <w:sz w:val="24"/>
          <w:szCs w:val="24"/>
        </w:rPr>
        <w:t>“</w:t>
      </w:r>
      <w:r>
        <w:rPr>
          <w:sz w:val="24"/>
          <w:szCs w:val="24"/>
        </w:rPr>
        <w:t>potentially recyclable</w:t>
      </w:r>
      <w:r w:rsidR="0038222E">
        <w:rPr>
          <w:sz w:val="24"/>
          <w:szCs w:val="24"/>
        </w:rPr>
        <w:t>”</w:t>
      </w:r>
      <w:r>
        <w:rPr>
          <w:sz w:val="24"/>
          <w:szCs w:val="24"/>
        </w:rPr>
        <w:t xml:space="preserve"> (</w:t>
      </w:r>
      <w:r w:rsidR="001933B7">
        <w:rPr>
          <w:sz w:val="24"/>
          <w:szCs w:val="24"/>
        </w:rPr>
        <w:t>definition</w:t>
      </w:r>
      <w:r w:rsidR="00DF651A">
        <w:rPr>
          <w:sz w:val="24"/>
          <w:szCs w:val="24"/>
        </w:rPr>
        <w:t xml:space="preserve"> is provided in </w:t>
      </w:r>
      <w:r w:rsidR="0038222E">
        <w:rPr>
          <w:sz w:val="24"/>
          <w:szCs w:val="24"/>
        </w:rPr>
        <w:t xml:space="preserve">sorting categories at </w:t>
      </w:r>
      <w:r w:rsidR="00DF651A">
        <w:rPr>
          <w:sz w:val="24"/>
          <w:szCs w:val="24"/>
        </w:rPr>
        <w:t xml:space="preserve">the </w:t>
      </w:r>
      <w:r w:rsidR="0038222E">
        <w:rPr>
          <w:sz w:val="24"/>
          <w:szCs w:val="24"/>
        </w:rPr>
        <w:t xml:space="preserve">end). </w:t>
      </w:r>
    </w:p>
    <w:p w:rsidR="00932CC5" w:rsidRDefault="00932CC5" w:rsidP="00696176">
      <w:pPr>
        <w:pStyle w:val="NoSpacing"/>
        <w:rPr>
          <w:sz w:val="24"/>
          <w:szCs w:val="24"/>
        </w:rPr>
      </w:pPr>
    </w:p>
    <w:p w:rsidR="00932CC5" w:rsidRDefault="00932CC5" w:rsidP="00696176">
      <w:pPr>
        <w:pStyle w:val="NoSpacing"/>
        <w:rPr>
          <w:sz w:val="24"/>
          <w:szCs w:val="24"/>
        </w:rPr>
      </w:pPr>
      <w:r w:rsidRPr="00932CC5">
        <w:rPr>
          <w:sz w:val="24"/>
          <w:szCs w:val="24"/>
        </w:rPr>
        <w:t>In the audits of food, the category of unopened containers and packets showed that when packaging and contents were separated, food was 80% by weight per household per week (0.13 kg) and containers were 20% (0.03 kg). Compliant plastics and glass each made up about 40% of the containers “lost” to recycling.</w:t>
      </w:r>
    </w:p>
    <w:p w:rsidR="00433257" w:rsidRDefault="00433257" w:rsidP="00696176">
      <w:pPr>
        <w:pStyle w:val="NoSpacing"/>
        <w:rPr>
          <w:sz w:val="24"/>
          <w:szCs w:val="24"/>
        </w:rPr>
      </w:pPr>
    </w:p>
    <w:p w:rsidR="00433257" w:rsidRDefault="00433257" w:rsidP="00696176">
      <w:pPr>
        <w:pStyle w:val="NoSpacing"/>
        <w:rPr>
          <w:sz w:val="24"/>
          <w:szCs w:val="24"/>
        </w:rPr>
      </w:pPr>
    </w:p>
    <w:p w:rsidR="00433257" w:rsidRPr="00433257" w:rsidRDefault="00433257" w:rsidP="00696176">
      <w:pPr>
        <w:pStyle w:val="NoSpacing"/>
        <w:rPr>
          <w:b/>
          <w:sz w:val="24"/>
          <w:szCs w:val="24"/>
        </w:rPr>
      </w:pPr>
      <w:r w:rsidRPr="00433257">
        <w:rPr>
          <w:b/>
          <w:sz w:val="24"/>
          <w:szCs w:val="24"/>
        </w:rPr>
        <w:t xml:space="preserve">What is being </w:t>
      </w:r>
      <w:proofErr w:type="gramStart"/>
      <w:r w:rsidRPr="00433257">
        <w:rPr>
          <w:b/>
          <w:sz w:val="24"/>
          <w:szCs w:val="24"/>
        </w:rPr>
        <w:t>wasted</w:t>
      </w:r>
      <w:proofErr w:type="gramEnd"/>
    </w:p>
    <w:bookmarkEnd w:id="1"/>
    <w:p w:rsidR="0038222E" w:rsidRDefault="0038222E" w:rsidP="0038222E">
      <w:pPr>
        <w:spacing w:before="100" w:beforeAutospacing="1" w:after="100" w:afterAutospacing="1" w:line="240" w:lineRule="auto"/>
        <w:rPr>
          <w:rFonts w:eastAsia="Times New Roman" w:cs="Arial"/>
          <w:color w:val="000000"/>
          <w:sz w:val="24"/>
          <w:szCs w:val="24"/>
        </w:rPr>
      </w:pPr>
      <w:r w:rsidRPr="003C0152">
        <w:rPr>
          <w:rFonts w:eastAsia="Times New Roman" w:cs="Arial"/>
          <w:color w:val="000000"/>
          <w:sz w:val="24"/>
          <w:szCs w:val="24"/>
        </w:rPr>
        <w:t xml:space="preserve">Of the </w:t>
      </w:r>
      <w:r>
        <w:rPr>
          <w:rFonts w:eastAsia="Times New Roman" w:cs="Arial"/>
          <w:color w:val="000000"/>
          <w:sz w:val="24"/>
          <w:szCs w:val="24"/>
        </w:rPr>
        <w:t>material that could have been recycled</w:t>
      </w:r>
      <w:r w:rsidRPr="003C0152">
        <w:rPr>
          <w:rFonts w:eastAsia="Times New Roman" w:cs="Arial"/>
          <w:color w:val="000000"/>
          <w:sz w:val="24"/>
          <w:szCs w:val="24"/>
        </w:rPr>
        <w:t xml:space="preserve">, </w:t>
      </w:r>
      <w:r>
        <w:rPr>
          <w:rFonts w:eastAsia="Times New Roman" w:cs="Arial"/>
          <w:color w:val="000000"/>
          <w:sz w:val="24"/>
          <w:szCs w:val="24"/>
        </w:rPr>
        <w:t>four</w:t>
      </w:r>
      <w:r w:rsidRPr="003C0152">
        <w:rPr>
          <w:rFonts w:eastAsia="Times New Roman" w:cs="Arial"/>
          <w:color w:val="000000"/>
          <w:sz w:val="24"/>
          <w:szCs w:val="24"/>
        </w:rPr>
        <w:t xml:space="preserve"> categories accounted for </w:t>
      </w:r>
      <w:r>
        <w:rPr>
          <w:rFonts w:eastAsia="Times New Roman" w:cs="Arial"/>
          <w:color w:val="000000"/>
          <w:sz w:val="24"/>
          <w:szCs w:val="24"/>
        </w:rPr>
        <w:t>0</w:t>
      </w:r>
      <w:r w:rsidRPr="003C0152">
        <w:rPr>
          <w:rFonts w:eastAsia="Times New Roman" w:cs="Arial"/>
          <w:color w:val="000000"/>
          <w:sz w:val="24"/>
          <w:szCs w:val="24"/>
        </w:rPr>
        <w:t>.8</w:t>
      </w:r>
      <w:r>
        <w:rPr>
          <w:rFonts w:eastAsia="Times New Roman" w:cs="Arial"/>
          <w:color w:val="000000"/>
          <w:sz w:val="24"/>
          <w:szCs w:val="24"/>
        </w:rPr>
        <w:t>8</w:t>
      </w:r>
      <w:r w:rsidRPr="003C0152">
        <w:rPr>
          <w:rFonts w:eastAsia="Times New Roman" w:cs="Arial"/>
          <w:color w:val="000000"/>
          <w:sz w:val="24"/>
          <w:szCs w:val="24"/>
        </w:rPr>
        <w:t xml:space="preserve"> kg</w:t>
      </w:r>
      <w:r w:rsidR="00932CC5">
        <w:rPr>
          <w:rFonts w:eastAsia="Times New Roman" w:cs="Arial"/>
          <w:color w:val="000000"/>
          <w:sz w:val="24"/>
          <w:szCs w:val="24"/>
        </w:rPr>
        <w:t xml:space="preserve"> per household per week</w:t>
      </w:r>
      <w:r w:rsidRPr="003C0152">
        <w:rPr>
          <w:rFonts w:eastAsia="Times New Roman" w:cs="Arial"/>
          <w:color w:val="000000"/>
          <w:sz w:val="24"/>
          <w:szCs w:val="24"/>
        </w:rPr>
        <w:t xml:space="preserve">. </w:t>
      </w:r>
      <w:r w:rsidR="0064557A">
        <w:rPr>
          <w:rFonts w:eastAsia="Times New Roman" w:cs="Arial"/>
          <w:color w:val="000000"/>
          <w:sz w:val="24"/>
          <w:szCs w:val="24"/>
        </w:rPr>
        <w:t>The following table presents the categories by percentage of the total garbage bin.</w:t>
      </w:r>
    </w:p>
    <w:p w:rsidR="00514C09" w:rsidRPr="003C0152" w:rsidRDefault="00514C09" w:rsidP="0038222E">
      <w:pPr>
        <w:spacing w:before="100" w:beforeAutospacing="1" w:after="100" w:afterAutospacing="1" w:line="240" w:lineRule="auto"/>
        <w:rPr>
          <w:rFonts w:ascii="Calibri" w:eastAsia="Times New Roman" w:hAnsi="Calibri" w:cs="Times New Roman"/>
          <w:sz w:val="24"/>
          <w:szCs w:val="24"/>
        </w:rPr>
      </w:pPr>
    </w:p>
    <w:tbl>
      <w:tblPr>
        <w:tblStyle w:val="TableGrid"/>
        <w:tblW w:w="0" w:type="auto"/>
        <w:tblLook w:val="04A0" w:firstRow="1" w:lastRow="0" w:firstColumn="1" w:lastColumn="0" w:noHBand="0" w:noVBand="1"/>
      </w:tblPr>
      <w:tblGrid>
        <w:gridCol w:w="4219"/>
        <w:gridCol w:w="2552"/>
        <w:gridCol w:w="2409"/>
      </w:tblGrid>
      <w:tr w:rsidR="0038222E" w:rsidRPr="003C0152" w:rsidTr="0064557A">
        <w:tc>
          <w:tcPr>
            <w:tcW w:w="4219" w:type="dxa"/>
          </w:tcPr>
          <w:p w:rsidR="0038222E" w:rsidRPr="003C0152" w:rsidRDefault="001933B7" w:rsidP="00287901">
            <w:pPr>
              <w:spacing w:before="100" w:beforeAutospacing="1" w:after="100" w:afterAutospacing="1"/>
              <w:rPr>
                <w:rFonts w:ascii="Calibri" w:eastAsia="Times New Roman" w:hAnsi="Calibri" w:cs="Times New Roman"/>
                <w:b/>
                <w:sz w:val="24"/>
                <w:szCs w:val="24"/>
              </w:rPr>
            </w:pPr>
            <w:r>
              <w:rPr>
                <w:rFonts w:ascii="Calibri" w:eastAsia="Times New Roman" w:hAnsi="Calibri" w:cs="Times New Roman"/>
                <w:b/>
                <w:sz w:val="24"/>
                <w:szCs w:val="24"/>
              </w:rPr>
              <w:t>Recyclable material in the garbage bin</w:t>
            </w:r>
          </w:p>
        </w:tc>
        <w:tc>
          <w:tcPr>
            <w:tcW w:w="2552" w:type="dxa"/>
          </w:tcPr>
          <w:p w:rsidR="0038222E" w:rsidRPr="003C0152" w:rsidRDefault="0038222E" w:rsidP="00287901">
            <w:pPr>
              <w:spacing w:before="100" w:beforeAutospacing="1" w:after="100" w:afterAutospacing="1"/>
              <w:rPr>
                <w:rFonts w:ascii="Calibri" w:eastAsia="Times New Roman" w:hAnsi="Calibri" w:cs="Times New Roman"/>
                <w:b/>
                <w:sz w:val="24"/>
                <w:szCs w:val="24"/>
              </w:rPr>
            </w:pPr>
            <w:r w:rsidRPr="003C0152">
              <w:rPr>
                <w:rFonts w:ascii="Calibri" w:eastAsia="Times New Roman" w:hAnsi="Calibri" w:cs="Times New Roman"/>
                <w:b/>
                <w:sz w:val="24"/>
                <w:szCs w:val="24"/>
              </w:rPr>
              <w:t xml:space="preserve">Kg per household </w:t>
            </w:r>
            <w:proofErr w:type="spellStart"/>
            <w:r w:rsidRPr="003C0152">
              <w:rPr>
                <w:rFonts w:ascii="Calibri" w:eastAsia="Times New Roman" w:hAnsi="Calibri" w:cs="Times New Roman"/>
                <w:b/>
                <w:sz w:val="24"/>
                <w:szCs w:val="24"/>
              </w:rPr>
              <w:t>p.w</w:t>
            </w:r>
            <w:proofErr w:type="spellEnd"/>
            <w:r>
              <w:rPr>
                <w:rFonts w:ascii="Calibri" w:eastAsia="Times New Roman" w:hAnsi="Calibri" w:cs="Times New Roman"/>
                <w:b/>
                <w:sz w:val="24"/>
                <w:szCs w:val="24"/>
              </w:rPr>
              <w:t>.</w:t>
            </w:r>
          </w:p>
        </w:tc>
        <w:tc>
          <w:tcPr>
            <w:tcW w:w="2409" w:type="dxa"/>
          </w:tcPr>
          <w:p w:rsidR="0038222E" w:rsidRPr="003C0152" w:rsidRDefault="0038222E" w:rsidP="00287901">
            <w:pPr>
              <w:spacing w:before="100" w:beforeAutospacing="1" w:after="100" w:afterAutospacing="1"/>
              <w:rPr>
                <w:rFonts w:ascii="Calibri" w:eastAsia="Times New Roman" w:hAnsi="Calibri" w:cs="Times New Roman"/>
                <w:b/>
                <w:sz w:val="24"/>
                <w:szCs w:val="24"/>
              </w:rPr>
            </w:pPr>
            <w:r w:rsidRPr="003C0152">
              <w:rPr>
                <w:rFonts w:ascii="Calibri" w:eastAsia="Times New Roman" w:hAnsi="Calibri" w:cs="Times New Roman"/>
                <w:b/>
                <w:sz w:val="24"/>
                <w:szCs w:val="24"/>
              </w:rPr>
              <w:t xml:space="preserve">Percentage </w:t>
            </w:r>
            <w:r w:rsidR="00BC38FE">
              <w:rPr>
                <w:rFonts w:ascii="Calibri" w:eastAsia="Times New Roman" w:hAnsi="Calibri" w:cs="Times New Roman"/>
                <w:b/>
                <w:sz w:val="24"/>
                <w:szCs w:val="24"/>
              </w:rPr>
              <w:t>of total garbage</w:t>
            </w:r>
          </w:p>
        </w:tc>
      </w:tr>
      <w:tr w:rsidR="0038222E" w:rsidRPr="003C0152" w:rsidTr="0064557A">
        <w:tc>
          <w:tcPr>
            <w:tcW w:w="4219" w:type="dxa"/>
            <w:shd w:val="clear" w:color="auto" w:fill="C2D69B" w:themeFill="accent3" w:themeFillTint="99"/>
          </w:tcPr>
          <w:p w:rsidR="0038222E" w:rsidRPr="003C0152" w:rsidRDefault="00DF651A" w:rsidP="00DF651A">
            <w:pPr>
              <w:spacing w:before="100" w:beforeAutospacing="1" w:after="100" w:afterAutospacing="1"/>
              <w:rPr>
                <w:rFonts w:ascii="Calibri" w:eastAsia="Times New Roman" w:hAnsi="Calibri" w:cs="Times New Roman"/>
                <w:sz w:val="24"/>
                <w:szCs w:val="24"/>
              </w:rPr>
            </w:pPr>
            <w:r>
              <w:rPr>
                <w:rFonts w:ascii="Calibri" w:eastAsia="Times New Roman" w:hAnsi="Calibri" w:cs="Times New Roman"/>
                <w:sz w:val="24"/>
                <w:szCs w:val="24"/>
              </w:rPr>
              <w:t>Compliant paper and cardboard</w:t>
            </w:r>
          </w:p>
        </w:tc>
        <w:tc>
          <w:tcPr>
            <w:tcW w:w="2552" w:type="dxa"/>
            <w:shd w:val="clear" w:color="auto" w:fill="C2D69B" w:themeFill="accent3" w:themeFillTint="99"/>
          </w:tcPr>
          <w:p w:rsidR="0038222E" w:rsidRPr="003C0152" w:rsidRDefault="0038222E" w:rsidP="00DF651A">
            <w:pPr>
              <w:spacing w:before="100" w:beforeAutospacing="1" w:after="100" w:afterAutospacing="1"/>
              <w:jc w:val="center"/>
              <w:rPr>
                <w:rFonts w:ascii="Calibri" w:eastAsia="Times New Roman" w:hAnsi="Calibri" w:cs="Times New Roman"/>
                <w:sz w:val="24"/>
                <w:szCs w:val="24"/>
              </w:rPr>
            </w:pPr>
            <w:r w:rsidRPr="003C0152">
              <w:rPr>
                <w:rFonts w:ascii="Calibri" w:eastAsia="Times New Roman" w:hAnsi="Calibri" w:cs="Times New Roman"/>
                <w:sz w:val="24"/>
                <w:szCs w:val="24"/>
              </w:rPr>
              <w:t>0.</w:t>
            </w:r>
            <w:r w:rsidR="00DF651A">
              <w:rPr>
                <w:rFonts w:ascii="Calibri" w:eastAsia="Times New Roman" w:hAnsi="Calibri" w:cs="Times New Roman"/>
                <w:sz w:val="24"/>
                <w:szCs w:val="24"/>
              </w:rPr>
              <w:t>43</w:t>
            </w:r>
          </w:p>
        </w:tc>
        <w:tc>
          <w:tcPr>
            <w:tcW w:w="2409" w:type="dxa"/>
            <w:shd w:val="clear" w:color="auto" w:fill="C2D69B" w:themeFill="accent3" w:themeFillTint="99"/>
            <w:vAlign w:val="center"/>
          </w:tcPr>
          <w:p w:rsidR="0038222E" w:rsidRPr="003C0152" w:rsidRDefault="00DF651A" w:rsidP="00DF651A">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4</w:t>
            </w:r>
            <w:r w:rsidR="0038222E" w:rsidRPr="003C0152">
              <w:rPr>
                <w:rFonts w:ascii="Calibri" w:eastAsia="Times New Roman" w:hAnsi="Calibri" w:cs="Times New Roman"/>
                <w:sz w:val="24"/>
                <w:szCs w:val="24"/>
              </w:rPr>
              <w:t>.</w:t>
            </w:r>
            <w:r>
              <w:rPr>
                <w:rFonts w:ascii="Calibri" w:eastAsia="Times New Roman" w:hAnsi="Calibri" w:cs="Times New Roman"/>
                <w:sz w:val="24"/>
                <w:szCs w:val="24"/>
              </w:rPr>
              <w:t>4</w:t>
            </w:r>
            <w:r w:rsidR="0038222E" w:rsidRPr="003C0152">
              <w:rPr>
                <w:rFonts w:ascii="Calibri" w:eastAsia="Times New Roman" w:hAnsi="Calibri" w:cs="Times New Roman"/>
                <w:sz w:val="24"/>
                <w:szCs w:val="24"/>
              </w:rPr>
              <w:t>%</w:t>
            </w:r>
          </w:p>
        </w:tc>
      </w:tr>
      <w:tr w:rsidR="0038222E" w:rsidRPr="003C0152" w:rsidTr="0064557A">
        <w:tc>
          <w:tcPr>
            <w:tcW w:w="4219" w:type="dxa"/>
            <w:shd w:val="clear" w:color="auto" w:fill="C2D69B" w:themeFill="accent3" w:themeFillTint="99"/>
          </w:tcPr>
          <w:p w:rsidR="0038222E" w:rsidRPr="003C0152" w:rsidRDefault="00DF651A" w:rsidP="00287901">
            <w:pPr>
              <w:spacing w:before="100" w:beforeAutospacing="1" w:after="100" w:afterAutospacing="1"/>
              <w:rPr>
                <w:rFonts w:ascii="Calibri" w:eastAsia="Times New Roman" w:hAnsi="Calibri" w:cs="Times New Roman"/>
                <w:sz w:val="24"/>
                <w:szCs w:val="24"/>
              </w:rPr>
            </w:pPr>
            <w:r>
              <w:rPr>
                <w:rFonts w:ascii="Calibri" w:eastAsia="Times New Roman" w:hAnsi="Calibri" w:cs="Times New Roman"/>
                <w:sz w:val="24"/>
                <w:szCs w:val="24"/>
              </w:rPr>
              <w:t>Compliant plastics</w:t>
            </w:r>
          </w:p>
        </w:tc>
        <w:tc>
          <w:tcPr>
            <w:tcW w:w="2552" w:type="dxa"/>
            <w:shd w:val="clear" w:color="auto" w:fill="C2D69B" w:themeFill="accent3" w:themeFillTint="99"/>
          </w:tcPr>
          <w:p w:rsidR="0038222E" w:rsidRPr="003C0152" w:rsidRDefault="0038222E" w:rsidP="00BC38FE">
            <w:pPr>
              <w:spacing w:before="100" w:beforeAutospacing="1" w:after="100" w:afterAutospacing="1"/>
              <w:jc w:val="center"/>
              <w:rPr>
                <w:rFonts w:ascii="Calibri" w:eastAsia="Times New Roman" w:hAnsi="Calibri" w:cs="Times New Roman"/>
                <w:sz w:val="24"/>
                <w:szCs w:val="24"/>
              </w:rPr>
            </w:pPr>
            <w:r w:rsidRPr="003C0152">
              <w:rPr>
                <w:rFonts w:ascii="Calibri" w:eastAsia="Times New Roman" w:hAnsi="Calibri" w:cs="Times New Roman"/>
                <w:sz w:val="24"/>
                <w:szCs w:val="24"/>
              </w:rPr>
              <w:t>0.</w:t>
            </w:r>
            <w:r w:rsidR="00BC38FE">
              <w:rPr>
                <w:rFonts w:ascii="Calibri" w:eastAsia="Times New Roman" w:hAnsi="Calibri" w:cs="Times New Roman"/>
                <w:sz w:val="24"/>
                <w:szCs w:val="24"/>
              </w:rPr>
              <w:t>2</w:t>
            </w:r>
            <w:r w:rsidRPr="003C0152">
              <w:rPr>
                <w:rFonts w:ascii="Calibri" w:eastAsia="Times New Roman" w:hAnsi="Calibri" w:cs="Times New Roman"/>
                <w:sz w:val="24"/>
                <w:szCs w:val="24"/>
              </w:rPr>
              <w:t>4</w:t>
            </w:r>
          </w:p>
        </w:tc>
        <w:tc>
          <w:tcPr>
            <w:tcW w:w="2409" w:type="dxa"/>
            <w:shd w:val="clear" w:color="auto" w:fill="C2D69B" w:themeFill="accent3" w:themeFillTint="99"/>
            <w:vAlign w:val="center"/>
          </w:tcPr>
          <w:p w:rsidR="0038222E" w:rsidRPr="003C0152" w:rsidRDefault="00BC38FE" w:rsidP="0064557A">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2.5</w:t>
            </w:r>
            <w:r w:rsidR="0038222E" w:rsidRPr="003C0152">
              <w:rPr>
                <w:rFonts w:ascii="Calibri" w:eastAsia="Times New Roman" w:hAnsi="Calibri" w:cs="Times New Roman"/>
                <w:sz w:val="24"/>
                <w:szCs w:val="24"/>
              </w:rPr>
              <w:t>%</w:t>
            </w:r>
          </w:p>
        </w:tc>
      </w:tr>
      <w:tr w:rsidR="0038222E" w:rsidRPr="003C0152" w:rsidTr="0064557A">
        <w:tc>
          <w:tcPr>
            <w:tcW w:w="4219" w:type="dxa"/>
            <w:shd w:val="clear" w:color="auto" w:fill="C2D69B" w:themeFill="accent3" w:themeFillTint="99"/>
          </w:tcPr>
          <w:p w:rsidR="0038222E" w:rsidRPr="003C0152" w:rsidRDefault="00DF651A" w:rsidP="00287901">
            <w:pPr>
              <w:spacing w:before="100" w:beforeAutospacing="1" w:after="100" w:afterAutospacing="1"/>
              <w:rPr>
                <w:rFonts w:ascii="Calibri" w:eastAsia="Times New Roman" w:hAnsi="Calibri" w:cs="Times New Roman"/>
                <w:sz w:val="24"/>
                <w:szCs w:val="24"/>
              </w:rPr>
            </w:pPr>
            <w:r>
              <w:rPr>
                <w:rFonts w:ascii="Calibri" w:eastAsia="Times New Roman" w:hAnsi="Calibri" w:cs="Times New Roman"/>
                <w:sz w:val="24"/>
                <w:szCs w:val="24"/>
              </w:rPr>
              <w:t>Compliant glass</w:t>
            </w:r>
          </w:p>
        </w:tc>
        <w:tc>
          <w:tcPr>
            <w:tcW w:w="2552" w:type="dxa"/>
            <w:shd w:val="clear" w:color="auto" w:fill="C2D69B" w:themeFill="accent3" w:themeFillTint="99"/>
          </w:tcPr>
          <w:p w:rsidR="0038222E" w:rsidRPr="003C0152" w:rsidRDefault="0038222E" w:rsidP="00BC38FE">
            <w:pPr>
              <w:spacing w:before="100" w:beforeAutospacing="1" w:after="100" w:afterAutospacing="1"/>
              <w:jc w:val="center"/>
              <w:rPr>
                <w:rFonts w:ascii="Calibri" w:eastAsia="Times New Roman" w:hAnsi="Calibri" w:cs="Times New Roman"/>
                <w:sz w:val="24"/>
                <w:szCs w:val="24"/>
              </w:rPr>
            </w:pPr>
            <w:r w:rsidRPr="003C0152">
              <w:rPr>
                <w:rFonts w:ascii="Calibri" w:eastAsia="Times New Roman" w:hAnsi="Calibri" w:cs="Times New Roman"/>
                <w:sz w:val="24"/>
                <w:szCs w:val="24"/>
              </w:rPr>
              <w:t>0.</w:t>
            </w:r>
            <w:r w:rsidR="00BC38FE">
              <w:rPr>
                <w:rFonts w:ascii="Calibri" w:eastAsia="Times New Roman" w:hAnsi="Calibri" w:cs="Times New Roman"/>
                <w:sz w:val="24"/>
                <w:szCs w:val="24"/>
              </w:rPr>
              <w:t>21</w:t>
            </w:r>
          </w:p>
        </w:tc>
        <w:tc>
          <w:tcPr>
            <w:tcW w:w="2409" w:type="dxa"/>
            <w:shd w:val="clear" w:color="auto" w:fill="C2D69B" w:themeFill="accent3" w:themeFillTint="99"/>
            <w:vAlign w:val="center"/>
          </w:tcPr>
          <w:p w:rsidR="0038222E" w:rsidRPr="003C0152" w:rsidRDefault="00BC38FE" w:rsidP="00287901">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2.2</w:t>
            </w:r>
            <w:r w:rsidR="0038222E" w:rsidRPr="003C0152">
              <w:rPr>
                <w:rFonts w:ascii="Calibri" w:eastAsia="Times New Roman" w:hAnsi="Calibri" w:cs="Times New Roman"/>
                <w:sz w:val="24"/>
                <w:szCs w:val="24"/>
              </w:rPr>
              <w:t>%</w:t>
            </w:r>
          </w:p>
        </w:tc>
      </w:tr>
      <w:tr w:rsidR="0038222E" w:rsidRPr="003C0152" w:rsidTr="0064557A">
        <w:tc>
          <w:tcPr>
            <w:tcW w:w="4219" w:type="dxa"/>
          </w:tcPr>
          <w:p w:rsidR="0038222E" w:rsidRPr="003C0152" w:rsidRDefault="00BC38FE" w:rsidP="00287901">
            <w:pPr>
              <w:spacing w:before="100" w:beforeAutospacing="1" w:after="100" w:afterAutospacing="1"/>
              <w:rPr>
                <w:rFonts w:ascii="Calibri" w:eastAsia="Times New Roman" w:hAnsi="Calibri" w:cs="Times New Roman"/>
                <w:sz w:val="24"/>
                <w:szCs w:val="24"/>
              </w:rPr>
            </w:pPr>
            <w:r>
              <w:rPr>
                <w:rFonts w:ascii="Calibri" w:eastAsia="Times New Roman" w:hAnsi="Calibri" w:cs="Times New Roman"/>
                <w:sz w:val="24"/>
                <w:szCs w:val="24"/>
              </w:rPr>
              <w:t>Compliant steel</w:t>
            </w:r>
          </w:p>
        </w:tc>
        <w:tc>
          <w:tcPr>
            <w:tcW w:w="2552" w:type="dxa"/>
          </w:tcPr>
          <w:p w:rsidR="0038222E" w:rsidRPr="003C0152" w:rsidRDefault="0038222E" w:rsidP="00BC38FE">
            <w:pPr>
              <w:spacing w:before="100" w:beforeAutospacing="1" w:after="100" w:afterAutospacing="1"/>
              <w:jc w:val="center"/>
              <w:rPr>
                <w:rFonts w:ascii="Calibri" w:eastAsia="Times New Roman" w:hAnsi="Calibri" w:cs="Times New Roman"/>
                <w:sz w:val="24"/>
                <w:szCs w:val="24"/>
              </w:rPr>
            </w:pPr>
            <w:r w:rsidRPr="003C0152">
              <w:rPr>
                <w:rFonts w:ascii="Calibri" w:eastAsia="Times New Roman" w:hAnsi="Calibri" w:cs="Times New Roman"/>
                <w:sz w:val="24"/>
                <w:szCs w:val="24"/>
              </w:rPr>
              <w:t>0.1</w:t>
            </w:r>
            <w:r w:rsidR="00BC38FE">
              <w:rPr>
                <w:rFonts w:ascii="Calibri" w:eastAsia="Times New Roman" w:hAnsi="Calibri" w:cs="Times New Roman"/>
                <w:sz w:val="24"/>
                <w:szCs w:val="24"/>
              </w:rPr>
              <w:t>0</w:t>
            </w:r>
          </w:p>
        </w:tc>
        <w:tc>
          <w:tcPr>
            <w:tcW w:w="2409" w:type="dxa"/>
            <w:vAlign w:val="center"/>
          </w:tcPr>
          <w:p w:rsidR="0038222E" w:rsidRPr="003C0152" w:rsidRDefault="00BC38FE" w:rsidP="00287901">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1.0</w:t>
            </w:r>
            <w:r w:rsidR="0038222E" w:rsidRPr="003C0152">
              <w:rPr>
                <w:rFonts w:ascii="Calibri" w:eastAsia="Times New Roman" w:hAnsi="Calibri" w:cs="Times New Roman"/>
                <w:sz w:val="24"/>
                <w:szCs w:val="24"/>
              </w:rPr>
              <w:t>%</w:t>
            </w:r>
          </w:p>
        </w:tc>
      </w:tr>
      <w:tr w:rsidR="0038222E" w:rsidRPr="003C0152" w:rsidTr="0064557A">
        <w:tc>
          <w:tcPr>
            <w:tcW w:w="4219" w:type="dxa"/>
          </w:tcPr>
          <w:p w:rsidR="0038222E" w:rsidRPr="003C0152" w:rsidRDefault="00BC38FE" w:rsidP="00BC38FE">
            <w:pPr>
              <w:spacing w:before="100" w:beforeAutospacing="1" w:after="100" w:afterAutospacing="1"/>
              <w:rPr>
                <w:rFonts w:ascii="Calibri" w:eastAsia="Times New Roman" w:hAnsi="Calibri" w:cs="Times New Roman"/>
                <w:sz w:val="24"/>
                <w:szCs w:val="24"/>
              </w:rPr>
            </w:pPr>
            <w:r>
              <w:rPr>
                <w:rFonts w:ascii="Calibri" w:eastAsia="Times New Roman" w:hAnsi="Calibri" w:cs="Times New Roman"/>
                <w:sz w:val="24"/>
                <w:szCs w:val="24"/>
              </w:rPr>
              <w:t>Compliant and other aluminium</w:t>
            </w:r>
          </w:p>
        </w:tc>
        <w:tc>
          <w:tcPr>
            <w:tcW w:w="2552" w:type="dxa"/>
          </w:tcPr>
          <w:p w:rsidR="0038222E" w:rsidRPr="003C0152" w:rsidRDefault="00BC38FE" w:rsidP="00BC38FE">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0.04</w:t>
            </w:r>
          </w:p>
        </w:tc>
        <w:tc>
          <w:tcPr>
            <w:tcW w:w="2409" w:type="dxa"/>
            <w:vAlign w:val="center"/>
          </w:tcPr>
          <w:p w:rsidR="0038222E" w:rsidRPr="003C0152" w:rsidRDefault="00BC38FE" w:rsidP="00287901">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0.4</w:t>
            </w:r>
            <w:r w:rsidR="0038222E" w:rsidRPr="003C0152">
              <w:rPr>
                <w:rFonts w:ascii="Calibri" w:eastAsia="Times New Roman" w:hAnsi="Calibri" w:cs="Times New Roman"/>
                <w:sz w:val="24"/>
                <w:szCs w:val="24"/>
              </w:rPr>
              <w:t>%</w:t>
            </w:r>
          </w:p>
        </w:tc>
      </w:tr>
      <w:tr w:rsidR="0038222E" w:rsidRPr="003C0152" w:rsidTr="0064557A">
        <w:tc>
          <w:tcPr>
            <w:tcW w:w="4219" w:type="dxa"/>
          </w:tcPr>
          <w:p w:rsidR="0038222E" w:rsidRPr="003C0152" w:rsidRDefault="00BC38FE" w:rsidP="00BC38FE">
            <w:pPr>
              <w:spacing w:before="100" w:beforeAutospacing="1" w:after="100" w:afterAutospacing="1"/>
              <w:rPr>
                <w:rFonts w:ascii="Calibri" w:eastAsia="Times New Roman" w:hAnsi="Calibri" w:cs="Times New Roman"/>
                <w:sz w:val="24"/>
                <w:szCs w:val="24"/>
              </w:rPr>
            </w:pPr>
            <w:r>
              <w:rPr>
                <w:rFonts w:ascii="Calibri" w:eastAsia="Times New Roman" w:hAnsi="Calibri" w:cs="Times New Roman"/>
                <w:sz w:val="24"/>
                <w:szCs w:val="24"/>
              </w:rPr>
              <w:t>Compliant liquid paperboard containers</w:t>
            </w:r>
          </w:p>
        </w:tc>
        <w:tc>
          <w:tcPr>
            <w:tcW w:w="2552" w:type="dxa"/>
          </w:tcPr>
          <w:p w:rsidR="0038222E" w:rsidRPr="003C0152" w:rsidRDefault="0038222E" w:rsidP="00287901">
            <w:pPr>
              <w:spacing w:before="100" w:beforeAutospacing="1" w:after="100" w:afterAutospacing="1"/>
              <w:jc w:val="center"/>
              <w:rPr>
                <w:rFonts w:ascii="Calibri" w:eastAsia="Times New Roman" w:hAnsi="Calibri" w:cs="Times New Roman"/>
                <w:sz w:val="24"/>
                <w:szCs w:val="24"/>
              </w:rPr>
            </w:pPr>
            <w:r w:rsidRPr="003C0152">
              <w:rPr>
                <w:rFonts w:ascii="Calibri" w:eastAsia="Times New Roman" w:hAnsi="Calibri" w:cs="Times New Roman"/>
                <w:sz w:val="24"/>
                <w:szCs w:val="24"/>
              </w:rPr>
              <w:t>0.05</w:t>
            </w:r>
          </w:p>
        </w:tc>
        <w:tc>
          <w:tcPr>
            <w:tcW w:w="2409" w:type="dxa"/>
            <w:vAlign w:val="center"/>
          </w:tcPr>
          <w:p w:rsidR="0038222E" w:rsidRPr="003C0152" w:rsidRDefault="00BC38FE" w:rsidP="00287901">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0.3</w:t>
            </w:r>
            <w:r w:rsidR="0038222E" w:rsidRPr="003C0152">
              <w:rPr>
                <w:rFonts w:ascii="Calibri" w:eastAsia="Times New Roman" w:hAnsi="Calibri" w:cs="Times New Roman"/>
                <w:sz w:val="24"/>
                <w:szCs w:val="24"/>
              </w:rPr>
              <w:t>%</w:t>
            </w:r>
          </w:p>
        </w:tc>
      </w:tr>
      <w:tr w:rsidR="0038222E" w:rsidRPr="003C0152" w:rsidTr="0064557A">
        <w:tc>
          <w:tcPr>
            <w:tcW w:w="4219" w:type="dxa"/>
          </w:tcPr>
          <w:p w:rsidR="0038222E" w:rsidRPr="00BC38FE" w:rsidRDefault="00BC38FE" w:rsidP="00287901">
            <w:pPr>
              <w:spacing w:before="100" w:beforeAutospacing="1" w:after="100" w:afterAutospacing="1"/>
              <w:rPr>
                <w:rFonts w:ascii="Calibri" w:eastAsia="Times New Roman" w:hAnsi="Calibri" w:cs="Times New Roman"/>
                <w:b/>
                <w:sz w:val="24"/>
                <w:szCs w:val="24"/>
              </w:rPr>
            </w:pPr>
            <w:r w:rsidRPr="00BC38FE">
              <w:rPr>
                <w:rFonts w:ascii="Calibri" w:eastAsia="Times New Roman" w:hAnsi="Calibri" w:cs="Times New Roman"/>
                <w:b/>
                <w:sz w:val="24"/>
                <w:szCs w:val="24"/>
              </w:rPr>
              <w:t>Total recyclable material</w:t>
            </w:r>
          </w:p>
        </w:tc>
        <w:tc>
          <w:tcPr>
            <w:tcW w:w="2552" w:type="dxa"/>
          </w:tcPr>
          <w:p w:rsidR="0038222E" w:rsidRPr="00BC38FE" w:rsidRDefault="00BC38FE" w:rsidP="00287901">
            <w:pPr>
              <w:spacing w:before="100" w:beforeAutospacing="1" w:after="100" w:afterAutospacing="1"/>
              <w:jc w:val="center"/>
              <w:rPr>
                <w:rFonts w:ascii="Calibri" w:eastAsia="Times New Roman" w:hAnsi="Calibri" w:cs="Times New Roman"/>
                <w:b/>
                <w:sz w:val="24"/>
                <w:szCs w:val="24"/>
              </w:rPr>
            </w:pPr>
            <w:r w:rsidRPr="00BC38FE">
              <w:rPr>
                <w:rFonts w:ascii="Calibri" w:eastAsia="Times New Roman" w:hAnsi="Calibri" w:cs="Times New Roman"/>
                <w:b/>
                <w:sz w:val="24"/>
                <w:szCs w:val="24"/>
              </w:rPr>
              <w:t>1.05</w:t>
            </w:r>
          </w:p>
        </w:tc>
        <w:tc>
          <w:tcPr>
            <w:tcW w:w="2409" w:type="dxa"/>
            <w:vAlign w:val="center"/>
          </w:tcPr>
          <w:p w:rsidR="0038222E" w:rsidRPr="00BC38FE" w:rsidRDefault="00BC38FE" w:rsidP="00287901">
            <w:pPr>
              <w:spacing w:before="100" w:beforeAutospacing="1" w:after="100" w:afterAutospacing="1"/>
              <w:jc w:val="center"/>
              <w:rPr>
                <w:rFonts w:ascii="Calibri" w:eastAsia="Times New Roman" w:hAnsi="Calibri" w:cs="Times New Roman"/>
                <w:b/>
                <w:sz w:val="24"/>
                <w:szCs w:val="24"/>
              </w:rPr>
            </w:pPr>
            <w:r w:rsidRPr="00BC38FE">
              <w:rPr>
                <w:rFonts w:ascii="Calibri" w:eastAsia="Times New Roman" w:hAnsi="Calibri" w:cs="Times New Roman"/>
                <w:b/>
                <w:sz w:val="24"/>
                <w:szCs w:val="24"/>
              </w:rPr>
              <w:t>10.8%</w:t>
            </w:r>
          </w:p>
        </w:tc>
      </w:tr>
      <w:tr w:rsidR="0038222E" w:rsidRPr="003C0152" w:rsidTr="0064557A">
        <w:tc>
          <w:tcPr>
            <w:tcW w:w="4219" w:type="dxa"/>
          </w:tcPr>
          <w:p w:rsidR="0038222E" w:rsidRPr="003C0152" w:rsidRDefault="0064557A" w:rsidP="00287901">
            <w:pPr>
              <w:spacing w:before="100" w:beforeAutospacing="1" w:after="100" w:afterAutospacing="1"/>
              <w:rPr>
                <w:rFonts w:ascii="Calibri" w:eastAsia="Times New Roman" w:hAnsi="Calibri" w:cs="Times New Roman"/>
                <w:sz w:val="24"/>
                <w:szCs w:val="24"/>
              </w:rPr>
            </w:pPr>
            <w:r>
              <w:rPr>
                <w:rFonts w:ascii="Calibri" w:eastAsia="Times New Roman" w:hAnsi="Calibri" w:cs="Times New Roman"/>
                <w:sz w:val="24"/>
                <w:szCs w:val="24"/>
              </w:rPr>
              <w:t>Potentially recyclable – other steel</w:t>
            </w:r>
          </w:p>
        </w:tc>
        <w:tc>
          <w:tcPr>
            <w:tcW w:w="2552" w:type="dxa"/>
          </w:tcPr>
          <w:p w:rsidR="0038222E" w:rsidRPr="003C0152" w:rsidRDefault="0064557A" w:rsidP="00287901">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0.10</w:t>
            </w:r>
          </w:p>
        </w:tc>
        <w:tc>
          <w:tcPr>
            <w:tcW w:w="2409" w:type="dxa"/>
            <w:vAlign w:val="center"/>
          </w:tcPr>
          <w:p w:rsidR="0038222E" w:rsidRPr="003C0152" w:rsidRDefault="0038222E" w:rsidP="00287901">
            <w:pPr>
              <w:spacing w:before="100" w:beforeAutospacing="1" w:after="100" w:afterAutospacing="1"/>
              <w:jc w:val="center"/>
              <w:rPr>
                <w:rFonts w:ascii="Calibri" w:eastAsia="Times New Roman" w:hAnsi="Calibri" w:cs="Times New Roman"/>
                <w:sz w:val="24"/>
                <w:szCs w:val="24"/>
              </w:rPr>
            </w:pPr>
          </w:p>
        </w:tc>
      </w:tr>
      <w:tr w:rsidR="0038222E" w:rsidRPr="003C0152" w:rsidTr="0064557A">
        <w:tc>
          <w:tcPr>
            <w:tcW w:w="4219" w:type="dxa"/>
          </w:tcPr>
          <w:p w:rsidR="0038222E" w:rsidRPr="003C0152" w:rsidRDefault="0064557A" w:rsidP="00287901">
            <w:pPr>
              <w:spacing w:before="100" w:beforeAutospacing="1" w:after="100" w:afterAutospacing="1"/>
              <w:rPr>
                <w:rFonts w:ascii="Calibri" w:eastAsia="Times New Roman" w:hAnsi="Calibri" w:cs="Times New Roman"/>
                <w:sz w:val="24"/>
                <w:szCs w:val="24"/>
              </w:rPr>
            </w:pPr>
            <w:r>
              <w:rPr>
                <w:rFonts w:ascii="Calibri" w:eastAsia="Times New Roman" w:hAnsi="Calibri" w:cs="Times New Roman"/>
                <w:sz w:val="24"/>
                <w:szCs w:val="24"/>
              </w:rPr>
              <w:t>Potentially recyclable – other rigid plastic mouldings</w:t>
            </w:r>
          </w:p>
        </w:tc>
        <w:tc>
          <w:tcPr>
            <w:tcW w:w="2552" w:type="dxa"/>
          </w:tcPr>
          <w:p w:rsidR="0038222E" w:rsidRPr="003C0152" w:rsidRDefault="0064557A" w:rsidP="00287901">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0.09</w:t>
            </w:r>
          </w:p>
        </w:tc>
        <w:tc>
          <w:tcPr>
            <w:tcW w:w="2409" w:type="dxa"/>
            <w:vAlign w:val="center"/>
          </w:tcPr>
          <w:p w:rsidR="0038222E" w:rsidRPr="003C0152" w:rsidRDefault="0038222E" w:rsidP="00287901">
            <w:pPr>
              <w:spacing w:before="100" w:beforeAutospacing="1" w:after="100" w:afterAutospacing="1"/>
              <w:jc w:val="center"/>
              <w:rPr>
                <w:rFonts w:ascii="Calibri" w:eastAsia="Times New Roman" w:hAnsi="Calibri" w:cs="Times New Roman"/>
                <w:sz w:val="24"/>
                <w:szCs w:val="24"/>
              </w:rPr>
            </w:pPr>
          </w:p>
        </w:tc>
      </w:tr>
      <w:tr w:rsidR="0038222E" w:rsidRPr="003C0152" w:rsidTr="0064557A">
        <w:tc>
          <w:tcPr>
            <w:tcW w:w="4219" w:type="dxa"/>
          </w:tcPr>
          <w:p w:rsidR="0038222E" w:rsidRPr="0064557A" w:rsidRDefault="0064557A" w:rsidP="00287901">
            <w:pPr>
              <w:spacing w:before="100" w:beforeAutospacing="1" w:after="100" w:afterAutospacing="1"/>
              <w:rPr>
                <w:rFonts w:ascii="Calibri" w:eastAsia="Times New Roman" w:hAnsi="Calibri" w:cs="Times New Roman"/>
                <w:b/>
                <w:sz w:val="24"/>
                <w:szCs w:val="24"/>
              </w:rPr>
            </w:pPr>
            <w:r w:rsidRPr="0064557A">
              <w:rPr>
                <w:rFonts w:ascii="Calibri" w:eastAsia="Times New Roman" w:hAnsi="Calibri" w:cs="Times New Roman"/>
                <w:b/>
                <w:sz w:val="24"/>
                <w:szCs w:val="24"/>
              </w:rPr>
              <w:t>Total potentially recyclable</w:t>
            </w:r>
          </w:p>
        </w:tc>
        <w:tc>
          <w:tcPr>
            <w:tcW w:w="2552" w:type="dxa"/>
          </w:tcPr>
          <w:p w:rsidR="0038222E" w:rsidRPr="0064557A" w:rsidRDefault="0064557A" w:rsidP="00287901">
            <w:pPr>
              <w:spacing w:before="100" w:beforeAutospacing="1" w:after="100" w:afterAutospacing="1"/>
              <w:jc w:val="center"/>
              <w:rPr>
                <w:rFonts w:ascii="Calibri" w:eastAsia="Times New Roman" w:hAnsi="Calibri" w:cs="Times New Roman"/>
                <w:b/>
                <w:sz w:val="24"/>
                <w:szCs w:val="24"/>
              </w:rPr>
            </w:pPr>
            <w:r>
              <w:rPr>
                <w:rFonts w:ascii="Calibri" w:eastAsia="Times New Roman" w:hAnsi="Calibri" w:cs="Times New Roman"/>
                <w:b/>
                <w:sz w:val="24"/>
                <w:szCs w:val="24"/>
              </w:rPr>
              <w:t>0.21</w:t>
            </w:r>
          </w:p>
        </w:tc>
        <w:tc>
          <w:tcPr>
            <w:tcW w:w="2409" w:type="dxa"/>
            <w:vAlign w:val="center"/>
          </w:tcPr>
          <w:p w:rsidR="0038222E" w:rsidRPr="0064557A" w:rsidRDefault="0064557A" w:rsidP="00287901">
            <w:pPr>
              <w:spacing w:before="100" w:beforeAutospacing="1" w:after="100" w:afterAutospacing="1"/>
              <w:jc w:val="center"/>
              <w:rPr>
                <w:rFonts w:ascii="Calibri" w:eastAsia="Times New Roman" w:hAnsi="Calibri" w:cs="Times New Roman"/>
                <w:b/>
                <w:sz w:val="24"/>
                <w:szCs w:val="24"/>
              </w:rPr>
            </w:pPr>
            <w:r>
              <w:rPr>
                <w:rFonts w:ascii="Calibri" w:eastAsia="Times New Roman" w:hAnsi="Calibri" w:cs="Times New Roman"/>
                <w:b/>
                <w:sz w:val="24"/>
                <w:szCs w:val="24"/>
              </w:rPr>
              <w:t>2.0%</w:t>
            </w:r>
          </w:p>
        </w:tc>
      </w:tr>
      <w:tr w:rsidR="0064557A" w:rsidRPr="003C0152" w:rsidTr="0064557A">
        <w:tc>
          <w:tcPr>
            <w:tcW w:w="4219" w:type="dxa"/>
          </w:tcPr>
          <w:p w:rsidR="0064557A" w:rsidRPr="003C0152" w:rsidRDefault="0064557A" w:rsidP="00E37F8B">
            <w:pPr>
              <w:spacing w:before="100" w:beforeAutospacing="1" w:after="100" w:afterAutospacing="1"/>
              <w:rPr>
                <w:rFonts w:ascii="Calibri" w:eastAsia="Times New Roman" w:hAnsi="Calibri" w:cs="Times New Roman"/>
                <w:sz w:val="24"/>
                <w:szCs w:val="24"/>
              </w:rPr>
            </w:pPr>
            <w:r>
              <w:rPr>
                <w:rFonts w:ascii="Calibri" w:eastAsia="Times New Roman" w:hAnsi="Calibri" w:cs="Times New Roman"/>
                <w:sz w:val="24"/>
                <w:szCs w:val="24"/>
              </w:rPr>
              <w:t>Total waste in the garbage bin</w:t>
            </w:r>
          </w:p>
        </w:tc>
        <w:tc>
          <w:tcPr>
            <w:tcW w:w="2552" w:type="dxa"/>
          </w:tcPr>
          <w:p w:rsidR="0064557A" w:rsidRPr="003C0152" w:rsidRDefault="0064557A" w:rsidP="00E37F8B">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9.7</w:t>
            </w:r>
          </w:p>
        </w:tc>
        <w:tc>
          <w:tcPr>
            <w:tcW w:w="2409" w:type="dxa"/>
            <w:vAlign w:val="center"/>
          </w:tcPr>
          <w:p w:rsidR="0064557A" w:rsidRPr="003C0152" w:rsidRDefault="0064557A" w:rsidP="00E37F8B">
            <w:pPr>
              <w:spacing w:before="100" w:beforeAutospacing="1" w:after="100" w:afterAutospacing="1"/>
              <w:jc w:val="center"/>
              <w:rPr>
                <w:rFonts w:ascii="Calibri" w:eastAsia="Times New Roman" w:hAnsi="Calibri" w:cs="Times New Roman"/>
                <w:sz w:val="24"/>
                <w:szCs w:val="24"/>
              </w:rPr>
            </w:pPr>
            <w:r>
              <w:rPr>
                <w:rFonts w:ascii="Calibri" w:eastAsia="Times New Roman" w:hAnsi="Calibri" w:cs="Times New Roman"/>
                <w:sz w:val="24"/>
                <w:szCs w:val="24"/>
              </w:rPr>
              <w:t>100%</w:t>
            </w:r>
          </w:p>
        </w:tc>
      </w:tr>
    </w:tbl>
    <w:p w:rsidR="00696176" w:rsidRPr="00932CC5" w:rsidRDefault="00932CC5" w:rsidP="00696176">
      <w:pPr>
        <w:spacing w:after="0" w:line="360" w:lineRule="auto"/>
        <w:rPr>
          <w:rFonts w:eastAsia="Times New Roman" w:cs="Times New Roman"/>
          <w:sz w:val="18"/>
          <w:szCs w:val="18"/>
        </w:rPr>
      </w:pPr>
      <w:r>
        <w:rPr>
          <w:rFonts w:eastAsia="Times New Roman" w:cs="Times New Roman"/>
          <w:sz w:val="18"/>
          <w:szCs w:val="18"/>
        </w:rPr>
        <w:t xml:space="preserve">Note: </w:t>
      </w:r>
      <w:r w:rsidR="00BC38FE" w:rsidRPr="00932CC5">
        <w:rPr>
          <w:rFonts w:eastAsia="Times New Roman" w:cs="Times New Roman"/>
          <w:sz w:val="18"/>
          <w:szCs w:val="18"/>
        </w:rPr>
        <w:t>Rounding of figures may cause some variance with totals</w:t>
      </w:r>
    </w:p>
    <w:p w:rsidR="00932CC5" w:rsidRDefault="00932CC5">
      <w:pPr>
        <w:rPr>
          <w:rFonts w:eastAsia="Times New Roman" w:cs="Times New Roman"/>
        </w:rPr>
      </w:pPr>
      <w:r>
        <w:rPr>
          <w:rFonts w:eastAsia="Times New Roman" w:cs="Times New Roman"/>
        </w:rPr>
        <w:br w:type="page"/>
      </w:r>
    </w:p>
    <w:p w:rsidR="0018035C" w:rsidRPr="00514C09" w:rsidRDefault="0018035C" w:rsidP="0018035C">
      <w:pPr>
        <w:keepNext/>
        <w:spacing w:after="120" w:line="240" w:lineRule="auto"/>
        <w:ind w:left="360" w:hanging="360"/>
        <w:outlineLvl w:val="4"/>
        <w:rPr>
          <w:rFonts w:eastAsia="Times New Roman" w:cs="Arial"/>
          <w:b/>
          <w:sz w:val="24"/>
          <w:szCs w:val="24"/>
          <w:lang w:val="x-none"/>
        </w:rPr>
      </w:pPr>
      <w:bookmarkStart w:id="2" w:name="_Toc370117425"/>
      <w:bookmarkStart w:id="3" w:name="_Toc370117423"/>
      <w:r w:rsidRPr="00514C09">
        <w:rPr>
          <w:rFonts w:eastAsia="Times New Roman" w:cs="Arial"/>
          <w:b/>
          <w:sz w:val="24"/>
          <w:szCs w:val="24"/>
        </w:rPr>
        <w:t>So</w:t>
      </w:r>
      <w:proofErr w:type="spellStart"/>
      <w:r w:rsidRPr="00514C09">
        <w:rPr>
          <w:rFonts w:eastAsia="Times New Roman" w:cs="Arial"/>
          <w:b/>
          <w:sz w:val="24"/>
          <w:szCs w:val="24"/>
          <w:lang w:val="x-none"/>
        </w:rPr>
        <w:t>rting</w:t>
      </w:r>
      <w:proofErr w:type="spellEnd"/>
      <w:r w:rsidRPr="00514C09">
        <w:rPr>
          <w:rFonts w:eastAsia="Times New Roman" w:cs="Arial"/>
          <w:b/>
          <w:sz w:val="24"/>
          <w:szCs w:val="24"/>
          <w:lang w:val="x-none"/>
        </w:rPr>
        <w:t xml:space="preserve"> categories – recyclables</w:t>
      </w:r>
      <w:bookmarkEnd w:id="2"/>
      <w:r w:rsidRPr="00514C09">
        <w:rPr>
          <w:rFonts w:eastAsia="Times New Roman" w:cs="Arial"/>
          <w:b/>
          <w:sz w:val="24"/>
          <w:szCs w:val="24"/>
        </w:rPr>
        <w:t xml:space="preserve"> </w:t>
      </w:r>
    </w:p>
    <w:tbl>
      <w:tblPr>
        <w:tblW w:w="9747" w:type="dxa"/>
        <w:tblBorders>
          <w:top w:val="single" w:sz="12" w:space="0" w:color="000000"/>
          <w:left w:val="single" w:sz="4" w:space="0" w:color="auto"/>
          <w:bottom w:val="single" w:sz="4" w:space="0" w:color="auto"/>
          <w:right w:val="single" w:sz="4" w:space="0" w:color="auto"/>
          <w:insideH w:val="single" w:sz="4" w:space="0" w:color="auto"/>
          <w:insideV w:val="single" w:sz="6" w:space="0" w:color="000000"/>
        </w:tblBorders>
        <w:tblLayout w:type="fixed"/>
        <w:tblCellMar>
          <w:top w:w="28" w:type="dxa"/>
          <w:bottom w:w="28" w:type="dxa"/>
        </w:tblCellMar>
        <w:tblLook w:val="04A0" w:firstRow="1" w:lastRow="0" w:firstColumn="1" w:lastColumn="0" w:noHBand="0" w:noVBand="1"/>
      </w:tblPr>
      <w:tblGrid>
        <w:gridCol w:w="3227"/>
        <w:gridCol w:w="6520"/>
      </w:tblGrid>
      <w:tr w:rsidR="0018035C" w:rsidRPr="00BC38FE" w:rsidTr="00932CC5">
        <w:trPr>
          <w:trHeight w:val="294"/>
        </w:trPr>
        <w:tc>
          <w:tcPr>
            <w:tcW w:w="3227" w:type="dxa"/>
            <w:shd w:val="clear" w:color="auto" w:fill="92D050"/>
          </w:tcPr>
          <w:p w:rsidR="0018035C" w:rsidRPr="00BC38FE" w:rsidRDefault="0018035C" w:rsidP="0018035C">
            <w:pPr>
              <w:spacing w:before="60" w:after="60" w:line="240" w:lineRule="auto"/>
              <w:rPr>
                <w:rFonts w:eastAsia="Times New Roman" w:cs="Arial"/>
                <w:b/>
                <w:bCs/>
                <w:iCs/>
                <w:color w:val="000000"/>
                <w:lang w:eastAsia="en-AU"/>
              </w:rPr>
            </w:pPr>
            <w:r w:rsidRPr="00BC38FE">
              <w:rPr>
                <w:rFonts w:eastAsia="Times New Roman" w:cs="Arial"/>
                <w:b/>
                <w:bCs/>
                <w:iCs/>
                <w:color w:val="000000"/>
                <w:lang w:eastAsia="en-AU"/>
              </w:rPr>
              <w:t>Sorting category</w:t>
            </w:r>
          </w:p>
        </w:tc>
        <w:tc>
          <w:tcPr>
            <w:tcW w:w="6520" w:type="dxa"/>
            <w:shd w:val="clear" w:color="auto" w:fill="92D050"/>
            <w:noWrap/>
          </w:tcPr>
          <w:p w:rsidR="0018035C" w:rsidRPr="00BC38FE" w:rsidRDefault="0018035C" w:rsidP="0018035C">
            <w:pPr>
              <w:spacing w:before="60" w:after="60" w:line="240" w:lineRule="auto"/>
              <w:rPr>
                <w:rFonts w:eastAsia="Times New Roman" w:cs="Arial"/>
                <w:b/>
                <w:bCs/>
                <w:iCs/>
                <w:color w:val="000000"/>
                <w:lang w:eastAsia="en-AU"/>
              </w:rPr>
            </w:pPr>
            <w:r w:rsidRPr="00BC38FE">
              <w:rPr>
                <w:rFonts w:eastAsia="Times New Roman" w:cs="Arial"/>
                <w:b/>
                <w:bCs/>
                <w:iCs/>
                <w:color w:val="000000"/>
                <w:lang w:eastAsia="en-AU"/>
              </w:rPr>
              <w:t xml:space="preserve">Components </w:t>
            </w:r>
          </w:p>
        </w:tc>
      </w:tr>
      <w:tr w:rsidR="0018035C" w:rsidRPr="00BC38FE" w:rsidTr="00D86432">
        <w:trPr>
          <w:trHeight w:val="74"/>
        </w:trPr>
        <w:tc>
          <w:tcPr>
            <w:tcW w:w="9747" w:type="dxa"/>
            <w:gridSpan w:val="2"/>
            <w:shd w:val="clear" w:color="auto" w:fill="EEECE1"/>
            <w:vAlign w:val="center"/>
          </w:tcPr>
          <w:p w:rsidR="0018035C" w:rsidRPr="00BC38FE" w:rsidRDefault="0018035C" w:rsidP="0018035C">
            <w:pPr>
              <w:spacing w:after="0" w:line="240" w:lineRule="auto"/>
              <w:rPr>
                <w:rFonts w:eastAsia="Times New Roman" w:cs="Arial"/>
                <w:b/>
              </w:rPr>
            </w:pPr>
            <w:r w:rsidRPr="00BC38FE">
              <w:rPr>
                <w:rFonts w:eastAsia="Times New Roman" w:cs="Arial"/>
                <w:b/>
              </w:rPr>
              <w:t>Recyclable</w:t>
            </w:r>
          </w:p>
        </w:tc>
      </w:tr>
      <w:tr w:rsidR="0018035C" w:rsidRPr="00BC38FE" w:rsidTr="00932CC5">
        <w:trPr>
          <w:trHeight w:val="74"/>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Compliant paper and cardboard</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Newspaper, magazines/ brochures, miscellaneous (paper) packaging, corrugated cardboard, cardboard / package board, disposable paper product, print/ writing/ office paper</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 xml:space="preserve">Compliant LPB containers </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Liquid paperboard containers</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Compliant glass</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Glass beverage containers, glass non beverage containers / other packaging glass</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Compliant plastics</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PET (1), HDPE (2) and PVC (3) beverage and non-beverage containers, LDPE (4) packaging, PP (5) packaging including plant pots, PS (6) packaging, other plastics (7), PP plant pots</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Compliant steel</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 xml:space="preserve">Steel beverage containers, steel packaging (excluding beverage </w:t>
            </w:r>
            <w:r w:rsidRPr="00BC38FE">
              <w:rPr>
                <w:rFonts w:eastAsia="Times New Roman" w:cs="Arial"/>
              </w:rPr>
              <w:lastRenderedPageBreak/>
              <w:t>containers)</w:t>
            </w:r>
          </w:p>
        </w:tc>
      </w:tr>
      <w:tr w:rsidR="0018035C" w:rsidRPr="00BC38FE" w:rsidTr="00932CC5">
        <w:trPr>
          <w:trHeight w:val="430"/>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lastRenderedPageBreak/>
              <w:t>Compliant aluminium</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Aluminium beverage containers, aluminium packaging (excluding beverage containers), aluminium non-packaging (foils)</w:t>
            </w:r>
          </w:p>
        </w:tc>
      </w:tr>
      <w:tr w:rsidR="0018035C" w:rsidRPr="00BC38FE" w:rsidTr="00D86432">
        <w:trPr>
          <w:trHeight w:val="255"/>
        </w:trPr>
        <w:tc>
          <w:tcPr>
            <w:tcW w:w="9747" w:type="dxa"/>
            <w:gridSpan w:val="2"/>
            <w:shd w:val="clear" w:color="auto" w:fill="EEECE1"/>
            <w:vAlign w:val="center"/>
          </w:tcPr>
          <w:p w:rsidR="0018035C" w:rsidRPr="00BC38FE" w:rsidRDefault="0018035C" w:rsidP="0018035C">
            <w:pPr>
              <w:spacing w:after="0" w:line="240" w:lineRule="auto"/>
              <w:rPr>
                <w:rFonts w:eastAsia="Times New Roman" w:cs="Arial"/>
              </w:rPr>
            </w:pPr>
            <w:r w:rsidRPr="00BC38FE">
              <w:rPr>
                <w:rFonts w:eastAsia="Times New Roman" w:cs="Arial"/>
                <w:b/>
              </w:rPr>
              <w:t>Potentially recyclable</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Other steel</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Steel other non-packaging (100% ferrous items that are not cans / tins / or packaging materials, any other steel).</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Other aluminium</w:t>
            </w:r>
            <w:r w:rsidR="00932CC5" w:rsidRPr="00BC38FE">
              <w:rPr>
                <w:rFonts w:eastAsia="Times New Roman" w:cs="Arial"/>
              </w:rPr>
              <w:t>^</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Aluminium non-packaging (100% aluminium items that are not cans/tins/packaging materials, any other aluminium).</w:t>
            </w:r>
          </w:p>
        </w:tc>
      </w:tr>
      <w:tr w:rsidR="0018035C" w:rsidRPr="00BC38FE" w:rsidTr="00932CC5">
        <w:trPr>
          <w:trHeight w:val="255"/>
        </w:trPr>
        <w:tc>
          <w:tcPr>
            <w:tcW w:w="3227" w:type="dxa"/>
            <w:shd w:val="clear" w:color="auto" w:fill="auto"/>
            <w:vAlign w:val="center"/>
          </w:tcPr>
          <w:p w:rsidR="0018035C" w:rsidRPr="00BC38FE" w:rsidRDefault="00932CC5" w:rsidP="0018035C">
            <w:pPr>
              <w:spacing w:before="20" w:after="20" w:line="240" w:lineRule="auto"/>
              <w:rPr>
                <w:rFonts w:eastAsia="Times New Roman" w:cs="Arial"/>
              </w:rPr>
            </w:pPr>
            <w:r>
              <w:rPr>
                <w:rFonts w:eastAsia="Times New Roman" w:cs="Arial"/>
              </w:rPr>
              <w:t>Plastic - other rigid mouldings</w:t>
            </w:r>
            <w:r w:rsidR="0018035C" w:rsidRPr="00BC38FE">
              <w:rPr>
                <w:rFonts w:eastAsia="Times New Roman" w:cs="Arial"/>
              </w:rPr>
              <w:t>^^</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PP (5) non-packaging (appliance parts, crates and boxes, toys, housewares/ kitchenware, furniture, mouldings, irrigation fittings).</w:t>
            </w:r>
          </w:p>
        </w:tc>
      </w:tr>
      <w:tr w:rsidR="0018035C" w:rsidRPr="00BC38FE" w:rsidTr="00D86432">
        <w:trPr>
          <w:trHeight w:val="255"/>
        </w:trPr>
        <w:tc>
          <w:tcPr>
            <w:tcW w:w="9747" w:type="dxa"/>
            <w:gridSpan w:val="2"/>
            <w:shd w:val="clear" w:color="auto" w:fill="EEECE1"/>
            <w:vAlign w:val="center"/>
          </w:tcPr>
          <w:p w:rsidR="0018035C" w:rsidRPr="00BC38FE" w:rsidRDefault="0018035C" w:rsidP="0018035C">
            <w:pPr>
              <w:spacing w:after="0" w:line="240" w:lineRule="auto"/>
              <w:rPr>
                <w:rFonts w:eastAsia="Times New Roman" w:cs="Arial"/>
              </w:rPr>
            </w:pPr>
            <w:r w:rsidRPr="00BC38FE">
              <w:rPr>
                <w:rFonts w:eastAsia="Times New Roman" w:cs="Arial"/>
                <w:b/>
              </w:rPr>
              <w:t>Organics</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Food / kitchen (loose)</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 xml:space="preserve">Non-containerised kitchen food products. </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Containerised food</w:t>
            </w:r>
            <w:r w:rsidR="00932CC5" w:rsidRPr="00BC38FE">
              <w:rPr>
                <w:rFonts w:eastAsia="Times New Roman" w:cs="Arial"/>
              </w:rPr>
              <w:t>#</w:t>
            </w:r>
          </w:p>
        </w:tc>
        <w:tc>
          <w:tcPr>
            <w:tcW w:w="6520" w:type="dxa"/>
            <w:shd w:val="clear" w:color="auto" w:fill="auto"/>
            <w:noWrap/>
            <w:vAlign w:val="center"/>
          </w:tcPr>
          <w:p w:rsidR="0018035C" w:rsidRPr="00BC38FE" w:rsidRDefault="0018035C" w:rsidP="00932CC5">
            <w:pPr>
              <w:spacing w:before="20" w:after="20" w:line="240" w:lineRule="auto"/>
              <w:rPr>
                <w:rFonts w:eastAsia="Times New Roman" w:cs="Arial"/>
              </w:rPr>
            </w:pPr>
            <w:r w:rsidRPr="00BC38FE">
              <w:rPr>
                <w:rFonts w:eastAsia="Times New Roman" w:cs="Arial"/>
              </w:rPr>
              <w:t xml:space="preserve">Containerised kitchen food products (food in unopened packets). </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Garden / vegetation</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Loose garden vegetation with dimensions no longer than 0.3m long, 0.3m wide and 0.3m depth.</w:t>
            </w:r>
          </w:p>
        </w:tc>
      </w:tr>
      <w:tr w:rsidR="0018035C" w:rsidRPr="00BC38FE" w:rsidTr="00932CC5">
        <w:trPr>
          <w:trHeight w:val="255"/>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Other paper</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Compostable paper not suitable for recycling based on typical MRF standards (before being put in the bin), soiled paper and used tissues.</w:t>
            </w:r>
          </w:p>
        </w:tc>
      </w:tr>
      <w:tr w:rsidR="0018035C" w:rsidRPr="00BC38FE" w:rsidTr="00932CC5">
        <w:trPr>
          <w:trHeight w:val="74"/>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Other putrescible</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Animal excrement mixed compostable items, kitty litter.</w:t>
            </w:r>
          </w:p>
        </w:tc>
      </w:tr>
      <w:tr w:rsidR="0018035C" w:rsidRPr="00BC38FE" w:rsidTr="00D86432">
        <w:trPr>
          <w:trHeight w:val="74"/>
        </w:trPr>
        <w:tc>
          <w:tcPr>
            <w:tcW w:w="9747" w:type="dxa"/>
            <w:gridSpan w:val="2"/>
            <w:shd w:val="clear" w:color="auto" w:fill="EEECE1"/>
            <w:vAlign w:val="center"/>
          </w:tcPr>
          <w:p w:rsidR="0018035C" w:rsidRPr="00BC38FE" w:rsidRDefault="0018035C" w:rsidP="0018035C">
            <w:pPr>
              <w:spacing w:after="0" w:line="240" w:lineRule="auto"/>
              <w:rPr>
                <w:rFonts w:eastAsia="Times New Roman" w:cs="Arial"/>
              </w:rPr>
            </w:pPr>
            <w:r w:rsidRPr="00BC38FE">
              <w:rPr>
                <w:rFonts w:eastAsia="Times New Roman" w:cs="Arial"/>
                <w:b/>
              </w:rPr>
              <w:t>Other material</w:t>
            </w:r>
          </w:p>
        </w:tc>
      </w:tr>
      <w:tr w:rsidR="0018035C" w:rsidRPr="00BC38FE" w:rsidTr="00932CC5">
        <w:trPr>
          <w:trHeight w:val="74"/>
        </w:trPr>
        <w:tc>
          <w:tcPr>
            <w:tcW w:w="3227" w:type="dxa"/>
            <w:shd w:val="clear" w:color="auto" w:fill="auto"/>
            <w:vAlign w:val="center"/>
          </w:tcPr>
          <w:p w:rsidR="0018035C" w:rsidRPr="00BC38FE" w:rsidRDefault="0018035C" w:rsidP="0018035C">
            <w:pPr>
              <w:spacing w:before="20" w:after="20" w:line="240" w:lineRule="auto"/>
              <w:rPr>
                <w:rFonts w:eastAsia="Times New Roman" w:cs="Arial"/>
              </w:rPr>
            </w:pPr>
            <w:r w:rsidRPr="00BC38FE">
              <w:rPr>
                <w:rFonts w:eastAsia="Times New Roman" w:cs="Arial"/>
              </w:rPr>
              <w:t>Other material</w:t>
            </w:r>
          </w:p>
        </w:tc>
        <w:tc>
          <w:tcPr>
            <w:tcW w:w="6520" w:type="dxa"/>
            <w:shd w:val="clear" w:color="auto" w:fill="auto"/>
            <w:noWrap/>
            <w:vAlign w:val="center"/>
          </w:tcPr>
          <w:p w:rsidR="0018035C" w:rsidRPr="00BC38FE" w:rsidRDefault="0018035C" w:rsidP="0018035C">
            <w:pPr>
              <w:spacing w:before="20" w:after="20" w:line="240" w:lineRule="auto"/>
              <w:rPr>
                <w:rFonts w:eastAsia="Times New Roman" w:cs="Arial"/>
                <w:color w:val="FF0000"/>
              </w:rPr>
            </w:pPr>
            <w:r w:rsidRPr="00BC38FE">
              <w:rPr>
                <w:rFonts w:eastAsia="Times New Roman" w:cs="Arial"/>
              </w:rPr>
              <w:t>Everything else including absorbent hygiene waste.</w:t>
            </w:r>
          </w:p>
        </w:tc>
      </w:tr>
    </w:tbl>
    <w:p w:rsidR="0018035C" w:rsidRPr="00514C09" w:rsidRDefault="0018035C" w:rsidP="0018035C">
      <w:pPr>
        <w:spacing w:before="60" w:after="0" w:line="240" w:lineRule="auto"/>
        <w:jc w:val="both"/>
        <w:rPr>
          <w:rFonts w:eastAsia="Times New Roman" w:cs="Times New Roman"/>
          <w:sz w:val="16"/>
          <w:szCs w:val="16"/>
        </w:rPr>
      </w:pPr>
      <w:r w:rsidRPr="00514C09">
        <w:rPr>
          <w:rFonts w:eastAsia="Times New Roman" w:cs="Times New Roman"/>
          <w:sz w:val="16"/>
          <w:szCs w:val="16"/>
        </w:rPr>
        <w:t>^ Other aluminium was split between foils (kerbside recyclable) and other materials (not kerbside recyclable). The foils are applied to compliant aluminium in the results.</w:t>
      </w:r>
    </w:p>
    <w:p w:rsidR="0018035C" w:rsidRPr="00514C09" w:rsidRDefault="0018035C" w:rsidP="0018035C">
      <w:pPr>
        <w:spacing w:before="60" w:after="0" w:line="240" w:lineRule="auto"/>
        <w:jc w:val="both"/>
        <w:rPr>
          <w:rFonts w:eastAsia="Times New Roman" w:cs="Times New Roman"/>
          <w:sz w:val="16"/>
          <w:szCs w:val="16"/>
        </w:rPr>
      </w:pPr>
      <w:r w:rsidRPr="00514C09">
        <w:rPr>
          <w:rFonts w:eastAsia="Times New Roman" w:cs="Times New Roman"/>
          <w:sz w:val="16"/>
          <w:szCs w:val="16"/>
        </w:rPr>
        <w:t>^^ Plastic rigid mouldings (i.e. all rigid plastic that was not a recyclable container was split between plant pots (kerbside recyclable) and other rigid plastic materials that are not recyclable containers (not kerbside recyclable). The plant pots are applied to compliant plastics.</w:t>
      </w:r>
    </w:p>
    <w:p w:rsidR="00932CC5" w:rsidRPr="00514C09" w:rsidRDefault="0018035C" w:rsidP="0018035C">
      <w:pPr>
        <w:spacing w:before="60" w:after="0" w:line="240" w:lineRule="auto"/>
        <w:rPr>
          <w:rFonts w:eastAsia="Times New Roman" w:cs="Times New Roman"/>
          <w:sz w:val="16"/>
          <w:szCs w:val="16"/>
        </w:rPr>
      </w:pPr>
      <w:r w:rsidRPr="00514C09">
        <w:rPr>
          <w:rFonts w:eastAsia="Times New Roman" w:cs="Times New Roman"/>
          <w:sz w:val="16"/>
          <w:szCs w:val="16"/>
        </w:rPr>
        <w:t xml:space="preserve"># </w:t>
      </w:r>
      <w:proofErr w:type="gramStart"/>
      <w:r w:rsidRPr="00514C09">
        <w:rPr>
          <w:rFonts w:eastAsia="Times New Roman" w:cs="Times New Roman"/>
          <w:sz w:val="16"/>
          <w:szCs w:val="16"/>
        </w:rPr>
        <w:t>This</w:t>
      </w:r>
      <w:proofErr w:type="gramEnd"/>
      <w:r w:rsidRPr="00514C09">
        <w:rPr>
          <w:rFonts w:eastAsia="Times New Roman" w:cs="Times New Roman"/>
          <w:sz w:val="16"/>
          <w:szCs w:val="16"/>
        </w:rPr>
        <w:t xml:space="preserve"> category is predominantly organic material.</w:t>
      </w:r>
    </w:p>
    <w:p w:rsidR="00932CC5" w:rsidRDefault="00932CC5" w:rsidP="0018035C">
      <w:pPr>
        <w:spacing w:before="60" w:after="0" w:line="240" w:lineRule="auto"/>
        <w:rPr>
          <w:rFonts w:eastAsia="Times New Roman" w:cs="Times New Roman"/>
          <w:sz w:val="18"/>
          <w:szCs w:val="18"/>
        </w:rPr>
      </w:pPr>
    </w:p>
    <w:p w:rsidR="00514C09" w:rsidRDefault="00514C09" w:rsidP="0018035C">
      <w:pPr>
        <w:spacing w:before="60" w:after="0" w:line="240" w:lineRule="auto"/>
        <w:rPr>
          <w:rFonts w:eastAsia="Times New Roman" w:cs="Times New Roman"/>
          <w:sz w:val="18"/>
          <w:szCs w:val="18"/>
        </w:rPr>
      </w:pPr>
    </w:p>
    <w:p w:rsidR="00932CC5" w:rsidRPr="00E13FC7" w:rsidRDefault="00932CC5" w:rsidP="00932CC5">
      <w:pPr>
        <w:pStyle w:val="NoSpacing"/>
        <w:rPr>
          <w:sz w:val="18"/>
          <w:szCs w:val="18"/>
        </w:rPr>
      </w:pPr>
      <w:proofErr w:type="gramStart"/>
      <w:r w:rsidRPr="00E13FC7">
        <w:rPr>
          <w:sz w:val="18"/>
          <w:szCs w:val="18"/>
        </w:rPr>
        <w:t>Sustainability Victoria</w:t>
      </w:r>
      <w:r>
        <w:rPr>
          <w:sz w:val="18"/>
          <w:szCs w:val="18"/>
        </w:rPr>
        <w:tab/>
      </w:r>
      <w:r>
        <w:rPr>
          <w:sz w:val="18"/>
          <w:szCs w:val="18"/>
        </w:rPr>
        <w:tab/>
      </w:r>
      <w:r>
        <w:rPr>
          <w:sz w:val="18"/>
          <w:szCs w:val="18"/>
        </w:rPr>
        <w:tab/>
      </w:r>
      <w:r>
        <w:rPr>
          <w:sz w:val="18"/>
          <w:szCs w:val="18"/>
        </w:rPr>
        <w:tab/>
      </w:r>
      <w:r>
        <w:rPr>
          <w:sz w:val="18"/>
          <w:szCs w:val="18"/>
        </w:rPr>
        <w:tab/>
        <w:t>Pu</w:t>
      </w:r>
      <w:r w:rsidRPr="00E13FC7">
        <w:rPr>
          <w:sz w:val="18"/>
          <w:szCs w:val="18"/>
        </w:rPr>
        <w:t>blished by Sustainability Victoria</w:t>
      </w:r>
      <w:r>
        <w:rPr>
          <w:sz w:val="18"/>
          <w:szCs w:val="18"/>
        </w:rPr>
        <w:t>.</w:t>
      </w:r>
      <w:proofErr w:type="gramEnd"/>
    </w:p>
    <w:p w:rsidR="00932CC5" w:rsidRPr="00E13FC7" w:rsidRDefault="00932CC5" w:rsidP="00932CC5">
      <w:pPr>
        <w:pStyle w:val="NoSpacing"/>
        <w:rPr>
          <w:sz w:val="18"/>
          <w:szCs w:val="18"/>
        </w:rPr>
      </w:pPr>
      <w:r w:rsidRPr="00E13FC7">
        <w:rPr>
          <w:sz w:val="18"/>
          <w:szCs w:val="18"/>
        </w:rPr>
        <w:t>Level 28, Urban Workshop,</w:t>
      </w:r>
      <w:r>
        <w:rPr>
          <w:sz w:val="18"/>
          <w:szCs w:val="18"/>
        </w:rPr>
        <w:tab/>
      </w:r>
      <w:r>
        <w:rPr>
          <w:sz w:val="18"/>
          <w:szCs w:val="18"/>
        </w:rPr>
        <w:tab/>
      </w:r>
      <w:r>
        <w:rPr>
          <w:sz w:val="18"/>
          <w:szCs w:val="18"/>
        </w:rPr>
        <w:tab/>
      </w:r>
      <w:r>
        <w:rPr>
          <w:sz w:val="18"/>
          <w:szCs w:val="18"/>
        </w:rPr>
        <w:tab/>
      </w:r>
      <w:r>
        <w:rPr>
          <w:sz w:val="18"/>
          <w:szCs w:val="18"/>
        </w:rPr>
        <w:tab/>
      </w:r>
      <w:r w:rsidR="00514C09">
        <w:rPr>
          <w:sz w:val="18"/>
          <w:szCs w:val="18"/>
        </w:rPr>
        <w:t>Recyclables</w:t>
      </w:r>
      <w:r>
        <w:rPr>
          <w:sz w:val="18"/>
          <w:szCs w:val="18"/>
        </w:rPr>
        <w:t xml:space="preserve"> in the garbage bin 2013</w:t>
      </w:r>
    </w:p>
    <w:p w:rsidR="00932CC5" w:rsidRPr="00E13FC7" w:rsidRDefault="00932CC5" w:rsidP="00932CC5">
      <w:pPr>
        <w:pStyle w:val="NoSpacing"/>
        <w:rPr>
          <w:sz w:val="18"/>
          <w:szCs w:val="18"/>
        </w:rPr>
      </w:pPr>
      <w:r w:rsidRPr="00E13FC7">
        <w:rPr>
          <w:sz w:val="18"/>
          <w:szCs w:val="18"/>
        </w:rPr>
        <w:t>50 Lonsdale Street, Melbourne VIC 3000</w:t>
      </w:r>
      <w:r>
        <w:rPr>
          <w:sz w:val="18"/>
          <w:szCs w:val="18"/>
        </w:rPr>
        <w:tab/>
      </w:r>
      <w:r>
        <w:rPr>
          <w:sz w:val="18"/>
          <w:szCs w:val="18"/>
        </w:rPr>
        <w:tab/>
      </w:r>
      <w:r>
        <w:rPr>
          <w:sz w:val="18"/>
          <w:szCs w:val="18"/>
        </w:rPr>
        <w:tab/>
        <w:t>©</w:t>
      </w:r>
      <w:r w:rsidRPr="00E13FC7">
        <w:rPr>
          <w:sz w:val="18"/>
          <w:szCs w:val="18"/>
        </w:rPr>
        <w:t>Sustainability Victoria</w:t>
      </w:r>
      <w:r>
        <w:rPr>
          <w:sz w:val="18"/>
          <w:szCs w:val="18"/>
        </w:rPr>
        <w:t xml:space="preserve">, June </w:t>
      </w:r>
      <w:proofErr w:type="gramStart"/>
      <w:r>
        <w:rPr>
          <w:sz w:val="18"/>
          <w:szCs w:val="18"/>
        </w:rPr>
        <w:t>2014  IWM020</w:t>
      </w:r>
      <w:proofErr w:type="gramEnd"/>
    </w:p>
    <w:p w:rsidR="00932CC5" w:rsidRPr="00E13FC7" w:rsidRDefault="00932CC5" w:rsidP="00932CC5">
      <w:pPr>
        <w:pStyle w:val="NoSpacing"/>
        <w:rPr>
          <w:sz w:val="18"/>
          <w:szCs w:val="18"/>
        </w:rPr>
      </w:pPr>
      <w:r w:rsidRPr="00E13FC7">
        <w:rPr>
          <w:sz w:val="18"/>
          <w:szCs w:val="18"/>
        </w:rPr>
        <w:t>Phone: (03) 8626 8700</w:t>
      </w:r>
    </w:p>
    <w:p w:rsidR="00932CC5" w:rsidRPr="00932CC5" w:rsidRDefault="00932CC5" w:rsidP="00932CC5">
      <w:pPr>
        <w:pStyle w:val="NoSpacing"/>
        <w:rPr>
          <w:rFonts w:eastAsia="Times New Roman" w:cs="Times New Roman"/>
          <w:sz w:val="18"/>
          <w:szCs w:val="18"/>
        </w:rPr>
      </w:pPr>
      <w:r>
        <w:rPr>
          <w:sz w:val="18"/>
          <w:szCs w:val="18"/>
        </w:rPr>
        <w:t>www.</w:t>
      </w:r>
      <w:r w:rsidRPr="00E13FC7">
        <w:rPr>
          <w:sz w:val="18"/>
          <w:szCs w:val="18"/>
        </w:rPr>
        <w:t>sustainability.vic.gov.au</w:t>
      </w:r>
    </w:p>
    <w:bookmarkEnd w:id="3"/>
    <w:sectPr w:rsidR="00932CC5" w:rsidRPr="00932CC5" w:rsidSect="000A4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F2ECE"/>
    <w:multiLevelType w:val="hybridMultilevel"/>
    <w:tmpl w:val="C420B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0C2E99"/>
    <w:multiLevelType w:val="hybridMultilevel"/>
    <w:tmpl w:val="DA14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52"/>
    <w:rsid w:val="00000281"/>
    <w:rsid w:val="000003D8"/>
    <w:rsid w:val="00003E76"/>
    <w:rsid w:val="00004617"/>
    <w:rsid w:val="00006CB1"/>
    <w:rsid w:val="00007722"/>
    <w:rsid w:val="0001642C"/>
    <w:rsid w:val="0001689E"/>
    <w:rsid w:val="00017902"/>
    <w:rsid w:val="000179BD"/>
    <w:rsid w:val="00022BED"/>
    <w:rsid w:val="0002757E"/>
    <w:rsid w:val="00030218"/>
    <w:rsid w:val="000306D9"/>
    <w:rsid w:val="00031E63"/>
    <w:rsid w:val="00031ED6"/>
    <w:rsid w:val="00032A88"/>
    <w:rsid w:val="00034328"/>
    <w:rsid w:val="000350A5"/>
    <w:rsid w:val="0003544A"/>
    <w:rsid w:val="00035795"/>
    <w:rsid w:val="00036CE8"/>
    <w:rsid w:val="000428E2"/>
    <w:rsid w:val="00052285"/>
    <w:rsid w:val="00054437"/>
    <w:rsid w:val="0005584E"/>
    <w:rsid w:val="00055DFB"/>
    <w:rsid w:val="00056472"/>
    <w:rsid w:val="00056CDC"/>
    <w:rsid w:val="000571D6"/>
    <w:rsid w:val="00060198"/>
    <w:rsid w:val="00061A45"/>
    <w:rsid w:val="00061DC5"/>
    <w:rsid w:val="000636BA"/>
    <w:rsid w:val="00064476"/>
    <w:rsid w:val="000668F1"/>
    <w:rsid w:val="00067E93"/>
    <w:rsid w:val="00067FD7"/>
    <w:rsid w:val="00071091"/>
    <w:rsid w:val="000715CB"/>
    <w:rsid w:val="00071B7A"/>
    <w:rsid w:val="00074576"/>
    <w:rsid w:val="00074A48"/>
    <w:rsid w:val="00081FDB"/>
    <w:rsid w:val="000842CE"/>
    <w:rsid w:val="00085377"/>
    <w:rsid w:val="0008591C"/>
    <w:rsid w:val="00086069"/>
    <w:rsid w:val="00086699"/>
    <w:rsid w:val="000879D3"/>
    <w:rsid w:val="00091CB7"/>
    <w:rsid w:val="0009228E"/>
    <w:rsid w:val="00097B1F"/>
    <w:rsid w:val="000A48EA"/>
    <w:rsid w:val="000A5043"/>
    <w:rsid w:val="000A7150"/>
    <w:rsid w:val="000B211B"/>
    <w:rsid w:val="000B2AF7"/>
    <w:rsid w:val="000B429E"/>
    <w:rsid w:val="000B5787"/>
    <w:rsid w:val="000C0E0C"/>
    <w:rsid w:val="000C1D00"/>
    <w:rsid w:val="000C27C1"/>
    <w:rsid w:val="000C3904"/>
    <w:rsid w:val="000D0141"/>
    <w:rsid w:val="000D1FB8"/>
    <w:rsid w:val="000D2F11"/>
    <w:rsid w:val="000D5436"/>
    <w:rsid w:val="000D6E7D"/>
    <w:rsid w:val="000D78F1"/>
    <w:rsid w:val="000D7B20"/>
    <w:rsid w:val="000E0449"/>
    <w:rsid w:val="000E5151"/>
    <w:rsid w:val="000E528A"/>
    <w:rsid w:val="000E540F"/>
    <w:rsid w:val="000F16F8"/>
    <w:rsid w:val="000F2A14"/>
    <w:rsid w:val="000F78D3"/>
    <w:rsid w:val="001006D6"/>
    <w:rsid w:val="00102B17"/>
    <w:rsid w:val="00106997"/>
    <w:rsid w:val="001103EC"/>
    <w:rsid w:val="00110D83"/>
    <w:rsid w:val="00114485"/>
    <w:rsid w:val="00114618"/>
    <w:rsid w:val="00117E4B"/>
    <w:rsid w:val="00123429"/>
    <w:rsid w:val="001303DE"/>
    <w:rsid w:val="00130D98"/>
    <w:rsid w:val="001330EB"/>
    <w:rsid w:val="00135E2E"/>
    <w:rsid w:val="00135EE6"/>
    <w:rsid w:val="00136742"/>
    <w:rsid w:val="0014097A"/>
    <w:rsid w:val="001409F9"/>
    <w:rsid w:val="00141906"/>
    <w:rsid w:val="00147714"/>
    <w:rsid w:val="001523B7"/>
    <w:rsid w:val="00153A8D"/>
    <w:rsid w:val="00154731"/>
    <w:rsid w:val="001554A0"/>
    <w:rsid w:val="00156A63"/>
    <w:rsid w:val="0015717D"/>
    <w:rsid w:val="00162C8E"/>
    <w:rsid w:val="001647C7"/>
    <w:rsid w:val="00164B66"/>
    <w:rsid w:val="00165655"/>
    <w:rsid w:val="00166CDE"/>
    <w:rsid w:val="00166EF8"/>
    <w:rsid w:val="00170A20"/>
    <w:rsid w:val="001724D2"/>
    <w:rsid w:val="00172C17"/>
    <w:rsid w:val="00173649"/>
    <w:rsid w:val="0017478E"/>
    <w:rsid w:val="00177849"/>
    <w:rsid w:val="0018035C"/>
    <w:rsid w:val="001813CF"/>
    <w:rsid w:val="0018158D"/>
    <w:rsid w:val="0018405F"/>
    <w:rsid w:val="001856AB"/>
    <w:rsid w:val="00185A62"/>
    <w:rsid w:val="00186068"/>
    <w:rsid w:val="00187CE3"/>
    <w:rsid w:val="00191577"/>
    <w:rsid w:val="00192F7C"/>
    <w:rsid w:val="001933B7"/>
    <w:rsid w:val="001956B4"/>
    <w:rsid w:val="001A0F0C"/>
    <w:rsid w:val="001A1122"/>
    <w:rsid w:val="001A19AC"/>
    <w:rsid w:val="001A2700"/>
    <w:rsid w:val="001A67A9"/>
    <w:rsid w:val="001B0D43"/>
    <w:rsid w:val="001B31F3"/>
    <w:rsid w:val="001B56C7"/>
    <w:rsid w:val="001B6693"/>
    <w:rsid w:val="001B6C93"/>
    <w:rsid w:val="001B6FF4"/>
    <w:rsid w:val="001B7A2C"/>
    <w:rsid w:val="001C4FA4"/>
    <w:rsid w:val="001C78E5"/>
    <w:rsid w:val="001D356D"/>
    <w:rsid w:val="001D4268"/>
    <w:rsid w:val="001D4CF7"/>
    <w:rsid w:val="001D6E38"/>
    <w:rsid w:val="001D7A4B"/>
    <w:rsid w:val="001E31E1"/>
    <w:rsid w:val="001E5C3C"/>
    <w:rsid w:val="001E60D6"/>
    <w:rsid w:val="001E7B39"/>
    <w:rsid w:val="001F289A"/>
    <w:rsid w:val="001F51A7"/>
    <w:rsid w:val="001F6A2A"/>
    <w:rsid w:val="001F702C"/>
    <w:rsid w:val="001F7FE0"/>
    <w:rsid w:val="002063C9"/>
    <w:rsid w:val="00206561"/>
    <w:rsid w:val="00207C0D"/>
    <w:rsid w:val="00212369"/>
    <w:rsid w:val="00213463"/>
    <w:rsid w:val="00213791"/>
    <w:rsid w:val="0021483D"/>
    <w:rsid w:val="0021743B"/>
    <w:rsid w:val="00223C33"/>
    <w:rsid w:val="00223D10"/>
    <w:rsid w:val="00227549"/>
    <w:rsid w:val="00233FD2"/>
    <w:rsid w:val="00234F74"/>
    <w:rsid w:val="00235531"/>
    <w:rsid w:val="00236DA6"/>
    <w:rsid w:val="002378E5"/>
    <w:rsid w:val="00241140"/>
    <w:rsid w:val="002450D8"/>
    <w:rsid w:val="002453C7"/>
    <w:rsid w:val="00245A57"/>
    <w:rsid w:val="002469AD"/>
    <w:rsid w:val="00247976"/>
    <w:rsid w:val="00250121"/>
    <w:rsid w:val="00252B60"/>
    <w:rsid w:val="00252BC1"/>
    <w:rsid w:val="002606F7"/>
    <w:rsid w:val="0026099C"/>
    <w:rsid w:val="002617F6"/>
    <w:rsid w:val="00262C25"/>
    <w:rsid w:val="00262D7D"/>
    <w:rsid w:val="00262E13"/>
    <w:rsid w:val="00266659"/>
    <w:rsid w:val="0026675E"/>
    <w:rsid w:val="00266EDE"/>
    <w:rsid w:val="00271C31"/>
    <w:rsid w:val="0027209B"/>
    <w:rsid w:val="00273C96"/>
    <w:rsid w:val="002744A0"/>
    <w:rsid w:val="00277422"/>
    <w:rsid w:val="00277988"/>
    <w:rsid w:val="00280FF7"/>
    <w:rsid w:val="002816B3"/>
    <w:rsid w:val="00282040"/>
    <w:rsid w:val="002830C3"/>
    <w:rsid w:val="00291EC2"/>
    <w:rsid w:val="00292426"/>
    <w:rsid w:val="002928A6"/>
    <w:rsid w:val="00294817"/>
    <w:rsid w:val="00297C03"/>
    <w:rsid w:val="002A1257"/>
    <w:rsid w:val="002A1E25"/>
    <w:rsid w:val="002A5767"/>
    <w:rsid w:val="002A6CFA"/>
    <w:rsid w:val="002B10DD"/>
    <w:rsid w:val="002B6015"/>
    <w:rsid w:val="002C10BB"/>
    <w:rsid w:val="002C2B1F"/>
    <w:rsid w:val="002C4DE6"/>
    <w:rsid w:val="002C55F1"/>
    <w:rsid w:val="002C58CC"/>
    <w:rsid w:val="002C7C74"/>
    <w:rsid w:val="002D15C1"/>
    <w:rsid w:val="002D1B98"/>
    <w:rsid w:val="002D21C8"/>
    <w:rsid w:val="002D52BB"/>
    <w:rsid w:val="002D74ED"/>
    <w:rsid w:val="002E392A"/>
    <w:rsid w:val="002E6310"/>
    <w:rsid w:val="002F04C0"/>
    <w:rsid w:val="002F16FD"/>
    <w:rsid w:val="002F18D8"/>
    <w:rsid w:val="002F5B6C"/>
    <w:rsid w:val="002F6559"/>
    <w:rsid w:val="00301586"/>
    <w:rsid w:val="00306484"/>
    <w:rsid w:val="00311C94"/>
    <w:rsid w:val="003139EA"/>
    <w:rsid w:val="0031546B"/>
    <w:rsid w:val="0031661C"/>
    <w:rsid w:val="00320309"/>
    <w:rsid w:val="003216F8"/>
    <w:rsid w:val="00321D1C"/>
    <w:rsid w:val="00322780"/>
    <w:rsid w:val="00325045"/>
    <w:rsid w:val="0032692C"/>
    <w:rsid w:val="00326AFE"/>
    <w:rsid w:val="00327227"/>
    <w:rsid w:val="00327AC5"/>
    <w:rsid w:val="003337B2"/>
    <w:rsid w:val="00334BA8"/>
    <w:rsid w:val="00335A06"/>
    <w:rsid w:val="00342EC6"/>
    <w:rsid w:val="0034326D"/>
    <w:rsid w:val="00344897"/>
    <w:rsid w:val="00344986"/>
    <w:rsid w:val="00352946"/>
    <w:rsid w:val="00353158"/>
    <w:rsid w:val="00356C58"/>
    <w:rsid w:val="00360E2A"/>
    <w:rsid w:val="00363460"/>
    <w:rsid w:val="003648ED"/>
    <w:rsid w:val="00367DE4"/>
    <w:rsid w:val="00372D8A"/>
    <w:rsid w:val="0037729D"/>
    <w:rsid w:val="0038222E"/>
    <w:rsid w:val="00383214"/>
    <w:rsid w:val="003862F3"/>
    <w:rsid w:val="00387482"/>
    <w:rsid w:val="00387A43"/>
    <w:rsid w:val="00390EB5"/>
    <w:rsid w:val="00391151"/>
    <w:rsid w:val="003911C5"/>
    <w:rsid w:val="003930E3"/>
    <w:rsid w:val="00394EE7"/>
    <w:rsid w:val="003951FC"/>
    <w:rsid w:val="003967CE"/>
    <w:rsid w:val="003A13F0"/>
    <w:rsid w:val="003A5549"/>
    <w:rsid w:val="003A5CBC"/>
    <w:rsid w:val="003B01DE"/>
    <w:rsid w:val="003B284D"/>
    <w:rsid w:val="003B5055"/>
    <w:rsid w:val="003B57AC"/>
    <w:rsid w:val="003B57E2"/>
    <w:rsid w:val="003B582E"/>
    <w:rsid w:val="003B6498"/>
    <w:rsid w:val="003B7ADB"/>
    <w:rsid w:val="003C0152"/>
    <w:rsid w:val="003C14D7"/>
    <w:rsid w:val="003C33E6"/>
    <w:rsid w:val="003C44FD"/>
    <w:rsid w:val="003C56AB"/>
    <w:rsid w:val="003D1A3E"/>
    <w:rsid w:val="003D3832"/>
    <w:rsid w:val="003D4C1F"/>
    <w:rsid w:val="003D58FF"/>
    <w:rsid w:val="003D6DE3"/>
    <w:rsid w:val="003D7FB1"/>
    <w:rsid w:val="003E0192"/>
    <w:rsid w:val="003E2964"/>
    <w:rsid w:val="003E2C73"/>
    <w:rsid w:val="003E4047"/>
    <w:rsid w:val="003E50E2"/>
    <w:rsid w:val="003E7FAA"/>
    <w:rsid w:val="003F0852"/>
    <w:rsid w:val="003F08CE"/>
    <w:rsid w:val="003F1936"/>
    <w:rsid w:val="003F28E5"/>
    <w:rsid w:val="003F6063"/>
    <w:rsid w:val="00400093"/>
    <w:rsid w:val="0040427B"/>
    <w:rsid w:val="0040563C"/>
    <w:rsid w:val="00405A50"/>
    <w:rsid w:val="00405AFC"/>
    <w:rsid w:val="00405F9E"/>
    <w:rsid w:val="00407DDF"/>
    <w:rsid w:val="00412D4E"/>
    <w:rsid w:val="00413CDC"/>
    <w:rsid w:val="0041431F"/>
    <w:rsid w:val="00415F12"/>
    <w:rsid w:val="00417E90"/>
    <w:rsid w:val="0042198B"/>
    <w:rsid w:val="00422101"/>
    <w:rsid w:val="00422CB9"/>
    <w:rsid w:val="00425300"/>
    <w:rsid w:val="004306A2"/>
    <w:rsid w:val="004329FB"/>
    <w:rsid w:val="00433257"/>
    <w:rsid w:val="004360DA"/>
    <w:rsid w:val="00436B90"/>
    <w:rsid w:val="00447D1D"/>
    <w:rsid w:val="00452B0B"/>
    <w:rsid w:val="00455719"/>
    <w:rsid w:val="00461D25"/>
    <w:rsid w:val="00461FBA"/>
    <w:rsid w:val="00462251"/>
    <w:rsid w:val="004622B0"/>
    <w:rsid w:val="00463A73"/>
    <w:rsid w:val="00472E98"/>
    <w:rsid w:val="00474E73"/>
    <w:rsid w:val="004759E5"/>
    <w:rsid w:val="00475A87"/>
    <w:rsid w:val="00481A44"/>
    <w:rsid w:val="004851D4"/>
    <w:rsid w:val="00485803"/>
    <w:rsid w:val="004878EF"/>
    <w:rsid w:val="0049080B"/>
    <w:rsid w:val="00490CDF"/>
    <w:rsid w:val="0049104D"/>
    <w:rsid w:val="004A3BEA"/>
    <w:rsid w:val="004A4DB6"/>
    <w:rsid w:val="004A68C5"/>
    <w:rsid w:val="004B07A6"/>
    <w:rsid w:val="004B3A0B"/>
    <w:rsid w:val="004B5258"/>
    <w:rsid w:val="004B57CC"/>
    <w:rsid w:val="004B5A21"/>
    <w:rsid w:val="004C0AA6"/>
    <w:rsid w:val="004C68BC"/>
    <w:rsid w:val="004D47BB"/>
    <w:rsid w:val="004D7E97"/>
    <w:rsid w:val="004D7F83"/>
    <w:rsid w:val="004E16CE"/>
    <w:rsid w:val="004E3BA6"/>
    <w:rsid w:val="004E3E94"/>
    <w:rsid w:val="004F0939"/>
    <w:rsid w:val="004F401C"/>
    <w:rsid w:val="005073F1"/>
    <w:rsid w:val="00512014"/>
    <w:rsid w:val="00513166"/>
    <w:rsid w:val="005135E7"/>
    <w:rsid w:val="00513A3F"/>
    <w:rsid w:val="00513E36"/>
    <w:rsid w:val="005141DA"/>
    <w:rsid w:val="00514C09"/>
    <w:rsid w:val="0051722C"/>
    <w:rsid w:val="005200EE"/>
    <w:rsid w:val="00521E36"/>
    <w:rsid w:val="0052278B"/>
    <w:rsid w:val="005259CF"/>
    <w:rsid w:val="00525A7F"/>
    <w:rsid w:val="00525FFF"/>
    <w:rsid w:val="005276EC"/>
    <w:rsid w:val="005315E3"/>
    <w:rsid w:val="0053611E"/>
    <w:rsid w:val="00536AD0"/>
    <w:rsid w:val="00540397"/>
    <w:rsid w:val="00540D16"/>
    <w:rsid w:val="00541EE7"/>
    <w:rsid w:val="00542B52"/>
    <w:rsid w:val="005434FC"/>
    <w:rsid w:val="005472D1"/>
    <w:rsid w:val="005525B9"/>
    <w:rsid w:val="00553E74"/>
    <w:rsid w:val="00554720"/>
    <w:rsid w:val="00556C58"/>
    <w:rsid w:val="00556D9B"/>
    <w:rsid w:val="00560227"/>
    <w:rsid w:val="00560A62"/>
    <w:rsid w:val="00561751"/>
    <w:rsid w:val="00564A85"/>
    <w:rsid w:val="00567483"/>
    <w:rsid w:val="00567A98"/>
    <w:rsid w:val="00573674"/>
    <w:rsid w:val="005744FA"/>
    <w:rsid w:val="0057546C"/>
    <w:rsid w:val="00575D3E"/>
    <w:rsid w:val="00580899"/>
    <w:rsid w:val="005816CA"/>
    <w:rsid w:val="00582F4D"/>
    <w:rsid w:val="00586A20"/>
    <w:rsid w:val="00593233"/>
    <w:rsid w:val="0059645E"/>
    <w:rsid w:val="005A0A3D"/>
    <w:rsid w:val="005A190A"/>
    <w:rsid w:val="005A2FC2"/>
    <w:rsid w:val="005B5CF7"/>
    <w:rsid w:val="005B67E7"/>
    <w:rsid w:val="005C244E"/>
    <w:rsid w:val="005C30F1"/>
    <w:rsid w:val="005C34CF"/>
    <w:rsid w:val="005C3D4A"/>
    <w:rsid w:val="005C4877"/>
    <w:rsid w:val="005C62B6"/>
    <w:rsid w:val="005C6390"/>
    <w:rsid w:val="005C7A8E"/>
    <w:rsid w:val="005D0950"/>
    <w:rsid w:val="005D2F7E"/>
    <w:rsid w:val="005D7DB1"/>
    <w:rsid w:val="005E39CE"/>
    <w:rsid w:val="005E48E5"/>
    <w:rsid w:val="005F04EA"/>
    <w:rsid w:val="005F0818"/>
    <w:rsid w:val="005F1328"/>
    <w:rsid w:val="005F138A"/>
    <w:rsid w:val="005F2B64"/>
    <w:rsid w:val="005F3B2C"/>
    <w:rsid w:val="005F51C8"/>
    <w:rsid w:val="00601F7A"/>
    <w:rsid w:val="0060232E"/>
    <w:rsid w:val="00604783"/>
    <w:rsid w:val="00604D57"/>
    <w:rsid w:val="00604DAE"/>
    <w:rsid w:val="00611024"/>
    <w:rsid w:val="006126B0"/>
    <w:rsid w:val="006140D4"/>
    <w:rsid w:val="0061440C"/>
    <w:rsid w:val="006149DB"/>
    <w:rsid w:val="00616E84"/>
    <w:rsid w:val="00620999"/>
    <w:rsid w:val="0063002A"/>
    <w:rsid w:val="0063017A"/>
    <w:rsid w:val="00630F20"/>
    <w:rsid w:val="006334A8"/>
    <w:rsid w:val="00634A52"/>
    <w:rsid w:val="00636621"/>
    <w:rsid w:val="00641634"/>
    <w:rsid w:val="006426E1"/>
    <w:rsid w:val="006426EB"/>
    <w:rsid w:val="0064557A"/>
    <w:rsid w:val="00645704"/>
    <w:rsid w:val="00645B01"/>
    <w:rsid w:val="006475BD"/>
    <w:rsid w:val="00651255"/>
    <w:rsid w:val="00651D65"/>
    <w:rsid w:val="0065413F"/>
    <w:rsid w:val="00657828"/>
    <w:rsid w:val="006602EC"/>
    <w:rsid w:val="0066087E"/>
    <w:rsid w:val="00662ABF"/>
    <w:rsid w:val="006636FD"/>
    <w:rsid w:val="00664025"/>
    <w:rsid w:val="006715AA"/>
    <w:rsid w:val="006720F7"/>
    <w:rsid w:val="0067211D"/>
    <w:rsid w:val="00672E79"/>
    <w:rsid w:val="00673BC0"/>
    <w:rsid w:val="0067481E"/>
    <w:rsid w:val="00675363"/>
    <w:rsid w:val="006764D2"/>
    <w:rsid w:val="006778A5"/>
    <w:rsid w:val="00680E45"/>
    <w:rsid w:val="00681467"/>
    <w:rsid w:val="006818A3"/>
    <w:rsid w:val="006854FD"/>
    <w:rsid w:val="006911DF"/>
    <w:rsid w:val="00692223"/>
    <w:rsid w:val="006926D1"/>
    <w:rsid w:val="00693D76"/>
    <w:rsid w:val="00694396"/>
    <w:rsid w:val="00695BE8"/>
    <w:rsid w:val="0069607D"/>
    <w:rsid w:val="00696176"/>
    <w:rsid w:val="00697666"/>
    <w:rsid w:val="0069788D"/>
    <w:rsid w:val="006A0302"/>
    <w:rsid w:val="006A1C80"/>
    <w:rsid w:val="006A23FF"/>
    <w:rsid w:val="006A3173"/>
    <w:rsid w:val="006A630A"/>
    <w:rsid w:val="006B23B3"/>
    <w:rsid w:val="006B6492"/>
    <w:rsid w:val="006C0F13"/>
    <w:rsid w:val="006C4039"/>
    <w:rsid w:val="006C511A"/>
    <w:rsid w:val="006C5268"/>
    <w:rsid w:val="006D2BD6"/>
    <w:rsid w:val="006D40E4"/>
    <w:rsid w:val="006D727C"/>
    <w:rsid w:val="006E02BD"/>
    <w:rsid w:val="006E21D2"/>
    <w:rsid w:val="006E2DD2"/>
    <w:rsid w:val="006E3E05"/>
    <w:rsid w:val="006E3F83"/>
    <w:rsid w:val="006E680A"/>
    <w:rsid w:val="006E7300"/>
    <w:rsid w:val="006E7F45"/>
    <w:rsid w:val="006F438E"/>
    <w:rsid w:val="006F7665"/>
    <w:rsid w:val="00703ACB"/>
    <w:rsid w:val="00703FCB"/>
    <w:rsid w:val="00706421"/>
    <w:rsid w:val="00707265"/>
    <w:rsid w:val="00707AC1"/>
    <w:rsid w:val="0071032D"/>
    <w:rsid w:val="00711160"/>
    <w:rsid w:val="007132F8"/>
    <w:rsid w:val="00713DCD"/>
    <w:rsid w:val="007161BD"/>
    <w:rsid w:val="00716AFB"/>
    <w:rsid w:val="0072330D"/>
    <w:rsid w:val="0072337D"/>
    <w:rsid w:val="0072357C"/>
    <w:rsid w:val="007241C6"/>
    <w:rsid w:val="00727753"/>
    <w:rsid w:val="00733B96"/>
    <w:rsid w:val="00734C6B"/>
    <w:rsid w:val="00735839"/>
    <w:rsid w:val="0073654F"/>
    <w:rsid w:val="007365D4"/>
    <w:rsid w:val="00736620"/>
    <w:rsid w:val="00736D9D"/>
    <w:rsid w:val="00744A73"/>
    <w:rsid w:val="00750110"/>
    <w:rsid w:val="00751D94"/>
    <w:rsid w:val="00751E5A"/>
    <w:rsid w:val="007565C8"/>
    <w:rsid w:val="007576A8"/>
    <w:rsid w:val="00761CCF"/>
    <w:rsid w:val="00762A4A"/>
    <w:rsid w:val="00765498"/>
    <w:rsid w:val="0076596D"/>
    <w:rsid w:val="00770CFA"/>
    <w:rsid w:val="00775628"/>
    <w:rsid w:val="00775950"/>
    <w:rsid w:val="007763F5"/>
    <w:rsid w:val="007875B2"/>
    <w:rsid w:val="007907B5"/>
    <w:rsid w:val="007956B4"/>
    <w:rsid w:val="00796501"/>
    <w:rsid w:val="007A2F5F"/>
    <w:rsid w:val="007A3BC9"/>
    <w:rsid w:val="007A457B"/>
    <w:rsid w:val="007A45F5"/>
    <w:rsid w:val="007B40F0"/>
    <w:rsid w:val="007B488D"/>
    <w:rsid w:val="007B5340"/>
    <w:rsid w:val="007B66EF"/>
    <w:rsid w:val="007B738A"/>
    <w:rsid w:val="007C397A"/>
    <w:rsid w:val="007C45E0"/>
    <w:rsid w:val="007D0DF1"/>
    <w:rsid w:val="007D1082"/>
    <w:rsid w:val="007D2128"/>
    <w:rsid w:val="007D2E85"/>
    <w:rsid w:val="007D4D05"/>
    <w:rsid w:val="007D4ECA"/>
    <w:rsid w:val="007D58C2"/>
    <w:rsid w:val="007D6FAF"/>
    <w:rsid w:val="007E2BE5"/>
    <w:rsid w:val="007E44DC"/>
    <w:rsid w:val="007E4564"/>
    <w:rsid w:val="007E51CD"/>
    <w:rsid w:val="007E572D"/>
    <w:rsid w:val="007E623D"/>
    <w:rsid w:val="007E6B84"/>
    <w:rsid w:val="007E72C3"/>
    <w:rsid w:val="007E7495"/>
    <w:rsid w:val="007F3358"/>
    <w:rsid w:val="007F3DA8"/>
    <w:rsid w:val="007F3FA5"/>
    <w:rsid w:val="007F535A"/>
    <w:rsid w:val="007F75A5"/>
    <w:rsid w:val="007F7A2C"/>
    <w:rsid w:val="0080165B"/>
    <w:rsid w:val="00802E9E"/>
    <w:rsid w:val="00803BDD"/>
    <w:rsid w:val="00804560"/>
    <w:rsid w:val="008113E8"/>
    <w:rsid w:val="00811B7D"/>
    <w:rsid w:val="008126E9"/>
    <w:rsid w:val="008131A0"/>
    <w:rsid w:val="00813F99"/>
    <w:rsid w:val="008143B8"/>
    <w:rsid w:val="008145A2"/>
    <w:rsid w:val="00822E2F"/>
    <w:rsid w:val="008238B1"/>
    <w:rsid w:val="008308C2"/>
    <w:rsid w:val="00835891"/>
    <w:rsid w:val="00837000"/>
    <w:rsid w:val="008378D8"/>
    <w:rsid w:val="00843A92"/>
    <w:rsid w:val="0084518F"/>
    <w:rsid w:val="00845BD8"/>
    <w:rsid w:val="008479B5"/>
    <w:rsid w:val="00851AB5"/>
    <w:rsid w:val="00852369"/>
    <w:rsid w:val="00853CE1"/>
    <w:rsid w:val="00854BFA"/>
    <w:rsid w:val="00856F56"/>
    <w:rsid w:val="008607C7"/>
    <w:rsid w:val="00860A04"/>
    <w:rsid w:val="008612FA"/>
    <w:rsid w:val="008655F3"/>
    <w:rsid w:val="00867923"/>
    <w:rsid w:val="00880090"/>
    <w:rsid w:val="008801E2"/>
    <w:rsid w:val="00893459"/>
    <w:rsid w:val="00894A4F"/>
    <w:rsid w:val="0089605D"/>
    <w:rsid w:val="008A0971"/>
    <w:rsid w:val="008A3679"/>
    <w:rsid w:val="008A3A0A"/>
    <w:rsid w:val="008A3AF6"/>
    <w:rsid w:val="008A3C23"/>
    <w:rsid w:val="008A3ED8"/>
    <w:rsid w:val="008A541B"/>
    <w:rsid w:val="008A5714"/>
    <w:rsid w:val="008A7E94"/>
    <w:rsid w:val="008B16C4"/>
    <w:rsid w:val="008B20DA"/>
    <w:rsid w:val="008B2E95"/>
    <w:rsid w:val="008B42DC"/>
    <w:rsid w:val="008B4A6F"/>
    <w:rsid w:val="008B4C79"/>
    <w:rsid w:val="008B5831"/>
    <w:rsid w:val="008B772F"/>
    <w:rsid w:val="008B7AD8"/>
    <w:rsid w:val="008C2435"/>
    <w:rsid w:val="008C4021"/>
    <w:rsid w:val="008C488C"/>
    <w:rsid w:val="008C5175"/>
    <w:rsid w:val="008D0B1C"/>
    <w:rsid w:val="008D13B6"/>
    <w:rsid w:val="008D2ECA"/>
    <w:rsid w:val="008D48B1"/>
    <w:rsid w:val="008D520C"/>
    <w:rsid w:val="008E7CD0"/>
    <w:rsid w:val="008E7E5B"/>
    <w:rsid w:val="008F2D84"/>
    <w:rsid w:val="008F3B90"/>
    <w:rsid w:val="008F4199"/>
    <w:rsid w:val="008F433B"/>
    <w:rsid w:val="008F4581"/>
    <w:rsid w:val="008F72E1"/>
    <w:rsid w:val="00902165"/>
    <w:rsid w:val="009033B3"/>
    <w:rsid w:val="00903970"/>
    <w:rsid w:val="00904F31"/>
    <w:rsid w:val="009070F5"/>
    <w:rsid w:val="0090748E"/>
    <w:rsid w:val="00907BE1"/>
    <w:rsid w:val="00907DEA"/>
    <w:rsid w:val="00911E7D"/>
    <w:rsid w:val="0091273F"/>
    <w:rsid w:val="0091323D"/>
    <w:rsid w:val="00920E4B"/>
    <w:rsid w:val="00922BCB"/>
    <w:rsid w:val="0092311B"/>
    <w:rsid w:val="009233FE"/>
    <w:rsid w:val="0092352B"/>
    <w:rsid w:val="00923C61"/>
    <w:rsid w:val="00926560"/>
    <w:rsid w:val="00930B4A"/>
    <w:rsid w:val="00932CC5"/>
    <w:rsid w:val="00933844"/>
    <w:rsid w:val="00933851"/>
    <w:rsid w:val="009349B7"/>
    <w:rsid w:val="00935275"/>
    <w:rsid w:val="009401B6"/>
    <w:rsid w:val="00944269"/>
    <w:rsid w:val="00950769"/>
    <w:rsid w:val="009519CA"/>
    <w:rsid w:val="009548A2"/>
    <w:rsid w:val="0096434B"/>
    <w:rsid w:val="0096762A"/>
    <w:rsid w:val="00971A15"/>
    <w:rsid w:val="00972AD9"/>
    <w:rsid w:val="00972F10"/>
    <w:rsid w:val="0097395B"/>
    <w:rsid w:val="00975D9D"/>
    <w:rsid w:val="00985D6B"/>
    <w:rsid w:val="009871A8"/>
    <w:rsid w:val="00992507"/>
    <w:rsid w:val="009934A8"/>
    <w:rsid w:val="0099526F"/>
    <w:rsid w:val="00996BB4"/>
    <w:rsid w:val="009978C6"/>
    <w:rsid w:val="00997F77"/>
    <w:rsid w:val="009A00BC"/>
    <w:rsid w:val="009A0E6C"/>
    <w:rsid w:val="009A413F"/>
    <w:rsid w:val="009A6C75"/>
    <w:rsid w:val="009B33E6"/>
    <w:rsid w:val="009B5949"/>
    <w:rsid w:val="009B5E25"/>
    <w:rsid w:val="009B61B5"/>
    <w:rsid w:val="009B7200"/>
    <w:rsid w:val="009B74D4"/>
    <w:rsid w:val="009C00A6"/>
    <w:rsid w:val="009C1004"/>
    <w:rsid w:val="009C242C"/>
    <w:rsid w:val="009C4264"/>
    <w:rsid w:val="009C5D07"/>
    <w:rsid w:val="009C71AB"/>
    <w:rsid w:val="009D0289"/>
    <w:rsid w:val="009D6C8E"/>
    <w:rsid w:val="009D7838"/>
    <w:rsid w:val="009E22DB"/>
    <w:rsid w:val="009E2B22"/>
    <w:rsid w:val="009E2E5B"/>
    <w:rsid w:val="009E36A2"/>
    <w:rsid w:val="009E636D"/>
    <w:rsid w:val="009F00B5"/>
    <w:rsid w:val="009F09A1"/>
    <w:rsid w:val="009F3625"/>
    <w:rsid w:val="009F3DFC"/>
    <w:rsid w:val="009F3E13"/>
    <w:rsid w:val="009F422A"/>
    <w:rsid w:val="009F51D5"/>
    <w:rsid w:val="00A00B1B"/>
    <w:rsid w:val="00A0114F"/>
    <w:rsid w:val="00A043D5"/>
    <w:rsid w:val="00A04810"/>
    <w:rsid w:val="00A052E4"/>
    <w:rsid w:val="00A0752F"/>
    <w:rsid w:val="00A10C95"/>
    <w:rsid w:val="00A10D0D"/>
    <w:rsid w:val="00A1185C"/>
    <w:rsid w:val="00A14F71"/>
    <w:rsid w:val="00A2001F"/>
    <w:rsid w:val="00A248B8"/>
    <w:rsid w:val="00A27FBE"/>
    <w:rsid w:val="00A30FBE"/>
    <w:rsid w:val="00A31586"/>
    <w:rsid w:val="00A327E2"/>
    <w:rsid w:val="00A33AD0"/>
    <w:rsid w:val="00A35E8F"/>
    <w:rsid w:val="00A35F50"/>
    <w:rsid w:val="00A3736E"/>
    <w:rsid w:val="00A43317"/>
    <w:rsid w:val="00A43C4A"/>
    <w:rsid w:val="00A45DAC"/>
    <w:rsid w:val="00A45E59"/>
    <w:rsid w:val="00A54F2C"/>
    <w:rsid w:val="00A5584A"/>
    <w:rsid w:val="00A55B58"/>
    <w:rsid w:val="00A55D2B"/>
    <w:rsid w:val="00A56DA0"/>
    <w:rsid w:val="00A57148"/>
    <w:rsid w:val="00A6501F"/>
    <w:rsid w:val="00A667DD"/>
    <w:rsid w:val="00A70995"/>
    <w:rsid w:val="00A70BEB"/>
    <w:rsid w:val="00A72127"/>
    <w:rsid w:val="00A727F9"/>
    <w:rsid w:val="00A75D4B"/>
    <w:rsid w:val="00A82174"/>
    <w:rsid w:val="00A8267B"/>
    <w:rsid w:val="00A879E1"/>
    <w:rsid w:val="00A94165"/>
    <w:rsid w:val="00A94DDD"/>
    <w:rsid w:val="00A96A27"/>
    <w:rsid w:val="00AA19FE"/>
    <w:rsid w:val="00AA1E3A"/>
    <w:rsid w:val="00AA3EA4"/>
    <w:rsid w:val="00AA5036"/>
    <w:rsid w:val="00AA6B69"/>
    <w:rsid w:val="00AA6F10"/>
    <w:rsid w:val="00AA7675"/>
    <w:rsid w:val="00AB3983"/>
    <w:rsid w:val="00AB5557"/>
    <w:rsid w:val="00AC10BB"/>
    <w:rsid w:val="00AC29DE"/>
    <w:rsid w:val="00AC57BF"/>
    <w:rsid w:val="00AD1FD8"/>
    <w:rsid w:val="00AD2D78"/>
    <w:rsid w:val="00AD51D1"/>
    <w:rsid w:val="00AE0F35"/>
    <w:rsid w:val="00AE118B"/>
    <w:rsid w:val="00AE4399"/>
    <w:rsid w:val="00AE50BC"/>
    <w:rsid w:val="00AE7779"/>
    <w:rsid w:val="00AF1064"/>
    <w:rsid w:val="00AF36D4"/>
    <w:rsid w:val="00AF4B06"/>
    <w:rsid w:val="00AF5E73"/>
    <w:rsid w:val="00B044DE"/>
    <w:rsid w:val="00B067AC"/>
    <w:rsid w:val="00B07D0B"/>
    <w:rsid w:val="00B13FD9"/>
    <w:rsid w:val="00B15F87"/>
    <w:rsid w:val="00B20264"/>
    <w:rsid w:val="00B20B02"/>
    <w:rsid w:val="00B21BA7"/>
    <w:rsid w:val="00B21D50"/>
    <w:rsid w:val="00B22BE6"/>
    <w:rsid w:val="00B243A2"/>
    <w:rsid w:val="00B258B1"/>
    <w:rsid w:val="00B32166"/>
    <w:rsid w:val="00B35125"/>
    <w:rsid w:val="00B3575E"/>
    <w:rsid w:val="00B367AE"/>
    <w:rsid w:val="00B36867"/>
    <w:rsid w:val="00B43F84"/>
    <w:rsid w:val="00B46109"/>
    <w:rsid w:val="00B51E9E"/>
    <w:rsid w:val="00B54180"/>
    <w:rsid w:val="00B55425"/>
    <w:rsid w:val="00B5686C"/>
    <w:rsid w:val="00B56A4E"/>
    <w:rsid w:val="00B5759A"/>
    <w:rsid w:val="00B61974"/>
    <w:rsid w:val="00B654E8"/>
    <w:rsid w:val="00B7082A"/>
    <w:rsid w:val="00B70A37"/>
    <w:rsid w:val="00B7249D"/>
    <w:rsid w:val="00B922C6"/>
    <w:rsid w:val="00B94441"/>
    <w:rsid w:val="00B947B7"/>
    <w:rsid w:val="00B94D75"/>
    <w:rsid w:val="00B9672D"/>
    <w:rsid w:val="00B97503"/>
    <w:rsid w:val="00BA2A38"/>
    <w:rsid w:val="00BA5823"/>
    <w:rsid w:val="00BA67E5"/>
    <w:rsid w:val="00BA6B61"/>
    <w:rsid w:val="00BB0D3F"/>
    <w:rsid w:val="00BB404F"/>
    <w:rsid w:val="00BB4522"/>
    <w:rsid w:val="00BC0F1D"/>
    <w:rsid w:val="00BC17B6"/>
    <w:rsid w:val="00BC17C1"/>
    <w:rsid w:val="00BC2B18"/>
    <w:rsid w:val="00BC2D53"/>
    <w:rsid w:val="00BC38FE"/>
    <w:rsid w:val="00BC40F6"/>
    <w:rsid w:val="00BC4F92"/>
    <w:rsid w:val="00BC55FB"/>
    <w:rsid w:val="00BC62FE"/>
    <w:rsid w:val="00BD14C0"/>
    <w:rsid w:val="00BD1ED6"/>
    <w:rsid w:val="00BD537B"/>
    <w:rsid w:val="00BD7E63"/>
    <w:rsid w:val="00BE0E19"/>
    <w:rsid w:val="00BE11EF"/>
    <w:rsid w:val="00BE12D6"/>
    <w:rsid w:val="00BE5752"/>
    <w:rsid w:val="00BE5DED"/>
    <w:rsid w:val="00BE610B"/>
    <w:rsid w:val="00BE6473"/>
    <w:rsid w:val="00BE6723"/>
    <w:rsid w:val="00BE7875"/>
    <w:rsid w:val="00BF268F"/>
    <w:rsid w:val="00BF3151"/>
    <w:rsid w:val="00BF69EA"/>
    <w:rsid w:val="00C00A1A"/>
    <w:rsid w:val="00C00D04"/>
    <w:rsid w:val="00C014C8"/>
    <w:rsid w:val="00C02D6F"/>
    <w:rsid w:val="00C038A2"/>
    <w:rsid w:val="00C041D8"/>
    <w:rsid w:val="00C05612"/>
    <w:rsid w:val="00C07575"/>
    <w:rsid w:val="00C07959"/>
    <w:rsid w:val="00C152A0"/>
    <w:rsid w:val="00C156B4"/>
    <w:rsid w:val="00C165A5"/>
    <w:rsid w:val="00C20C29"/>
    <w:rsid w:val="00C2256C"/>
    <w:rsid w:val="00C24D9C"/>
    <w:rsid w:val="00C25346"/>
    <w:rsid w:val="00C30DC0"/>
    <w:rsid w:val="00C334AE"/>
    <w:rsid w:val="00C3393D"/>
    <w:rsid w:val="00C372FC"/>
    <w:rsid w:val="00C375B7"/>
    <w:rsid w:val="00C405B5"/>
    <w:rsid w:val="00C40C44"/>
    <w:rsid w:val="00C41852"/>
    <w:rsid w:val="00C42487"/>
    <w:rsid w:val="00C45C6F"/>
    <w:rsid w:val="00C518E8"/>
    <w:rsid w:val="00C52255"/>
    <w:rsid w:val="00C54B6A"/>
    <w:rsid w:val="00C57D78"/>
    <w:rsid w:val="00C57ED4"/>
    <w:rsid w:val="00C60385"/>
    <w:rsid w:val="00C61D91"/>
    <w:rsid w:val="00C62362"/>
    <w:rsid w:val="00C62509"/>
    <w:rsid w:val="00C62635"/>
    <w:rsid w:val="00C64A59"/>
    <w:rsid w:val="00C6740F"/>
    <w:rsid w:val="00C73117"/>
    <w:rsid w:val="00C81144"/>
    <w:rsid w:val="00C8395E"/>
    <w:rsid w:val="00C83E4D"/>
    <w:rsid w:val="00C85D60"/>
    <w:rsid w:val="00C86612"/>
    <w:rsid w:val="00C86C29"/>
    <w:rsid w:val="00C86F70"/>
    <w:rsid w:val="00C9007E"/>
    <w:rsid w:val="00C90471"/>
    <w:rsid w:val="00C90A50"/>
    <w:rsid w:val="00C916F9"/>
    <w:rsid w:val="00C93724"/>
    <w:rsid w:val="00C93B50"/>
    <w:rsid w:val="00C952CD"/>
    <w:rsid w:val="00C95623"/>
    <w:rsid w:val="00C96B5C"/>
    <w:rsid w:val="00C973EB"/>
    <w:rsid w:val="00CA2992"/>
    <w:rsid w:val="00CA3A34"/>
    <w:rsid w:val="00CA3BB0"/>
    <w:rsid w:val="00CA431D"/>
    <w:rsid w:val="00CB01C0"/>
    <w:rsid w:val="00CB0D6A"/>
    <w:rsid w:val="00CB11AC"/>
    <w:rsid w:val="00CB258F"/>
    <w:rsid w:val="00CC05B8"/>
    <w:rsid w:val="00CC0E19"/>
    <w:rsid w:val="00CC4399"/>
    <w:rsid w:val="00CC6049"/>
    <w:rsid w:val="00CC65FF"/>
    <w:rsid w:val="00CD3285"/>
    <w:rsid w:val="00CD40F2"/>
    <w:rsid w:val="00CD6314"/>
    <w:rsid w:val="00CD717D"/>
    <w:rsid w:val="00CD77E5"/>
    <w:rsid w:val="00CE1667"/>
    <w:rsid w:val="00CE1FC2"/>
    <w:rsid w:val="00CE2519"/>
    <w:rsid w:val="00CE501B"/>
    <w:rsid w:val="00CE576A"/>
    <w:rsid w:val="00CE7E4E"/>
    <w:rsid w:val="00CF2C6E"/>
    <w:rsid w:val="00CF762F"/>
    <w:rsid w:val="00D01CCD"/>
    <w:rsid w:val="00D028E4"/>
    <w:rsid w:val="00D03882"/>
    <w:rsid w:val="00D052F8"/>
    <w:rsid w:val="00D07272"/>
    <w:rsid w:val="00D07C32"/>
    <w:rsid w:val="00D14BA1"/>
    <w:rsid w:val="00D154BE"/>
    <w:rsid w:val="00D23F40"/>
    <w:rsid w:val="00D24F51"/>
    <w:rsid w:val="00D25F08"/>
    <w:rsid w:val="00D26CDF"/>
    <w:rsid w:val="00D33616"/>
    <w:rsid w:val="00D3439D"/>
    <w:rsid w:val="00D349B0"/>
    <w:rsid w:val="00D35457"/>
    <w:rsid w:val="00D36098"/>
    <w:rsid w:val="00D406E1"/>
    <w:rsid w:val="00D4235E"/>
    <w:rsid w:val="00D503D3"/>
    <w:rsid w:val="00D50FDC"/>
    <w:rsid w:val="00D532A7"/>
    <w:rsid w:val="00D54865"/>
    <w:rsid w:val="00D60649"/>
    <w:rsid w:val="00D62E9F"/>
    <w:rsid w:val="00D63D31"/>
    <w:rsid w:val="00D716A4"/>
    <w:rsid w:val="00D74129"/>
    <w:rsid w:val="00D746B5"/>
    <w:rsid w:val="00D83DF2"/>
    <w:rsid w:val="00D85522"/>
    <w:rsid w:val="00D85754"/>
    <w:rsid w:val="00D87CB5"/>
    <w:rsid w:val="00D91674"/>
    <w:rsid w:val="00D94CC1"/>
    <w:rsid w:val="00D95C85"/>
    <w:rsid w:val="00D97FEE"/>
    <w:rsid w:val="00DA1F19"/>
    <w:rsid w:val="00DA2289"/>
    <w:rsid w:val="00DA3C80"/>
    <w:rsid w:val="00DA6CAD"/>
    <w:rsid w:val="00DB6CFE"/>
    <w:rsid w:val="00DC1D25"/>
    <w:rsid w:val="00DC55B8"/>
    <w:rsid w:val="00DC5C4B"/>
    <w:rsid w:val="00DC6811"/>
    <w:rsid w:val="00DC6D99"/>
    <w:rsid w:val="00DD063A"/>
    <w:rsid w:val="00DD25BA"/>
    <w:rsid w:val="00DD6501"/>
    <w:rsid w:val="00DD72B0"/>
    <w:rsid w:val="00DD7958"/>
    <w:rsid w:val="00DE0D32"/>
    <w:rsid w:val="00DE11C9"/>
    <w:rsid w:val="00DE2DF3"/>
    <w:rsid w:val="00DE407B"/>
    <w:rsid w:val="00DE4401"/>
    <w:rsid w:val="00DE7052"/>
    <w:rsid w:val="00DF651A"/>
    <w:rsid w:val="00E0313E"/>
    <w:rsid w:val="00E03E48"/>
    <w:rsid w:val="00E065FE"/>
    <w:rsid w:val="00E06E90"/>
    <w:rsid w:val="00E12010"/>
    <w:rsid w:val="00E20405"/>
    <w:rsid w:val="00E21F9A"/>
    <w:rsid w:val="00E23307"/>
    <w:rsid w:val="00E253AB"/>
    <w:rsid w:val="00E258C8"/>
    <w:rsid w:val="00E309E3"/>
    <w:rsid w:val="00E33A08"/>
    <w:rsid w:val="00E33DDF"/>
    <w:rsid w:val="00E34CDB"/>
    <w:rsid w:val="00E37A23"/>
    <w:rsid w:val="00E37C3A"/>
    <w:rsid w:val="00E43785"/>
    <w:rsid w:val="00E44DFD"/>
    <w:rsid w:val="00E4615F"/>
    <w:rsid w:val="00E510C2"/>
    <w:rsid w:val="00E55303"/>
    <w:rsid w:val="00E5621F"/>
    <w:rsid w:val="00E60D0F"/>
    <w:rsid w:val="00E6458F"/>
    <w:rsid w:val="00E65069"/>
    <w:rsid w:val="00E65BF7"/>
    <w:rsid w:val="00E67621"/>
    <w:rsid w:val="00E71C55"/>
    <w:rsid w:val="00E729FD"/>
    <w:rsid w:val="00E76A51"/>
    <w:rsid w:val="00E77CE4"/>
    <w:rsid w:val="00E80B5A"/>
    <w:rsid w:val="00E80C9C"/>
    <w:rsid w:val="00E82B9E"/>
    <w:rsid w:val="00E837E5"/>
    <w:rsid w:val="00E84852"/>
    <w:rsid w:val="00E90B56"/>
    <w:rsid w:val="00E93CAA"/>
    <w:rsid w:val="00E96E12"/>
    <w:rsid w:val="00EA0072"/>
    <w:rsid w:val="00EA1465"/>
    <w:rsid w:val="00EB26EE"/>
    <w:rsid w:val="00EB5A05"/>
    <w:rsid w:val="00EB6CCD"/>
    <w:rsid w:val="00EB7612"/>
    <w:rsid w:val="00EC012D"/>
    <w:rsid w:val="00EC0717"/>
    <w:rsid w:val="00EC180D"/>
    <w:rsid w:val="00EC2D04"/>
    <w:rsid w:val="00EC7BFB"/>
    <w:rsid w:val="00ED0695"/>
    <w:rsid w:val="00ED0E53"/>
    <w:rsid w:val="00ED3130"/>
    <w:rsid w:val="00ED3806"/>
    <w:rsid w:val="00ED774D"/>
    <w:rsid w:val="00ED7851"/>
    <w:rsid w:val="00EE0994"/>
    <w:rsid w:val="00EE2941"/>
    <w:rsid w:val="00EE37D7"/>
    <w:rsid w:val="00EE3BCD"/>
    <w:rsid w:val="00EE477B"/>
    <w:rsid w:val="00EE4A57"/>
    <w:rsid w:val="00EE612B"/>
    <w:rsid w:val="00EF3039"/>
    <w:rsid w:val="00EF5F3B"/>
    <w:rsid w:val="00F00F3B"/>
    <w:rsid w:val="00F0120B"/>
    <w:rsid w:val="00F01DE2"/>
    <w:rsid w:val="00F032F6"/>
    <w:rsid w:val="00F1740E"/>
    <w:rsid w:val="00F2365F"/>
    <w:rsid w:val="00F25071"/>
    <w:rsid w:val="00F2722D"/>
    <w:rsid w:val="00F32C8C"/>
    <w:rsid w:val="00F33E3A"/>
    <w:rsid w:val="00F37488"/>
    <w:rsid w:val="00F4063D"/>
    <w:rsid w:val="00F40967"/>
    <w:rsid w:val="00F431A8"/>
    <w:rsid w:val="00F45368"/>
    <w:rsid w:val="00F45644"/>
    <w:rsid w:val="00F51423"/>
    <w:rsid w:val="00F5260B"/>
    <w:rsid w:val="00F52835"/>
    <w:rsid w:val="00F53D69"/>
    <w:rsid w:val="00F64CF6"/>
    <w:rsid w:val="00F71476"/>
    <w:rsid w:val="00F730CD"/>
    <w:rsid w:val="00F761BD"/>
    <w:rsid w:val="00F772F5"/>
    <w:rsid w:val="00F7739C"/>
    <w:rsid w:val="00F773D9"/>
    <w:rsid w:val="00F77F72"/>
    <w:rsid w:val="00F81017"/>
    <w:rsid w:val="00F8126E"/>
    <w:rsid w:val="00F83E46"/>
    <w:rsid w:val="00F87659"/>
    <w:rsid w:val="00F87CB5"/>
    <w:rsid w:val="00F93DCB"/>
    <w:rsid w:val="00F94640"/>
    <w:rsid w:val="00F94EF1"/>
    <w:rsid w:val="00F9542D"/>
    <w:rsid w:val="00F95B97"/>
    <w:rsid w:val="00FA0077"/>
    <w:rsid w:val="00FA40EF"/>
    <w:rsid w:val="00FA5586"/>
    <w:rsid w:val="00FA6B30"/>
    <w:rsid w:val="00FA777A"/>
    <w:rsid w:val="00FB30B5"/>
    <w:rsid w:val="00FB5747"/>
    <w:rsid w:val="00FC2275"/>
    <w:rsid w:val="00FD08E6"/>
    <w:rsid w:val="00FD0BBB"/>
    <w:rsid w:val="00FD182C"/>
    <w:rsid w:val="00FD1D94"/>
    <w:rsid w:val="00FD2367"/>
    <w:rsid w:val="00FD3E38"/>
    <w:rsid w:val="00FD5B81"/>
    <w:rsid w:val="00FD7359"/>
    <w:rsid w:val="00FE22CA"/>
    <w:rsid w:val="00FE2FCC"/>
    <w:rsid w:val="00FE35AF"/>
    <w:rsid w:val="00FE592D"/>
    <w:rsid w:val="00FE5B69"/>
    <w:rsid w:val="00FE6CD5"/>
    <w:rsid w:val="00FF23F6"/>
    <w:rsid w:val="00FF2A3D"/>
    <w:rsid w:val="00FF30A0"/>
    <w:rsid w:val="00FF3B04"/>
    <w:rsid w:val="00FF413C"/>
    <w:rsid w:val="00FF686E"/>
    <w:rsid w:val="00FF7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76"/>
    <w:rPr>
      <w:rFonts w:ascii="Tahoma" w:hAnsi="Tahoma" w:cs="Tahoma"/>
      <w:sz w:val="16"/>
      <w:szCs w:val="16"/>
    </w:rPr>
  </w:style>
  <w:style w:type="paragraph" w:styleId="NoSpacing">
    <w:name w:val="No Spacing"/>
    <w:uiPriority w:val="1"/>
    <w:qFormat/>
    <w:rsid w:val="006961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76"/>
    <w:rPr>
      <w:rFonts w:ascii="Tahoma" w:hAnsi="Tahoma" w:cs="Tahoma"/>
      <w:sz w:val="16"/>
      <w:szCs w:val="16"/>
    </w:rPr>
  </w:style>
  <w:style w:type="paragraph" w:styleId="NoSpacing">
    <w:name w:val="No Spacing"/>
    <w:uiPriority w:val="1"/>
    <w:qFormat/>
    <w:rsid w:val="00696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Sustainability Victoria</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Burbery</dc:creator>
  <cp:lastModifiedBy>Jan Burbery</cp:lastModifiedBy>
  <cp:revision>9</cp:revision>
  <dcterms:created xsi:type="dcterms:W3CDTF">2014-06-17T07:26:00Z</dcterms:created>
  <dcterms:modified xsi:type="dcterms:W3CDTF">2014-07-02T03:18:00Z</dcterms:modified>
</cp:coreProperties>
</file>