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F27A0" w14:textId="1832A97C" w:rsidR="001C5317" w:rsidRDefault="001C5317"/>
    <w:p w14:paraId="7756A395" w14:textId="77777777" w:rsidR="00AC0BF2" w:rsidRDefault="00AC0BF2" w:rsidP="005A3C70">
      <w:pPr>
        <w:pStyle w:val="Title"/>
        <w:rPr>
          <w:rFonts w:eastAsia="Times New Roman"/>
        </w:rPr>
      </w:pPr>
    </w:p>
    <w:p w14:paraId="7B625205" w14:textId="77777777" w:rsidR="00AC0BF2" w:rsidRDefault="00AC0BF2" w:rsidP="005A3C70">
      <w:pPr>
        <w:pStyle w:val="Title"/>
        <w:rPr>
          <w:rFonts w:eastAsia="Times New Roman"/>
        </w:rPr>
      </w:pPr>
    </w:p>
    <w:p w14:paraId="1D431F42" w14:textId="77777777" w:rsidR="00AC0BF2" w:rsidRDefault="00AC0BF2" w:rsidP="005A3C70">
      <w:pPr>
        <w:pStyle w:val="Title"/>
        <w:rPr>
          <w:rFonts w:eastAsia="Times New Roman"/>
        </w:rPr>
      </w:pPr>
    </w:p>
    <w:p w14:paraId="79B7533E" w14:textId="77777777" w:rsidR="00AC0BF2" w:rsidRDefault="00AC0BF2" w:rsidP="005A3C70">
      <w:pPr>
        <w:pStyle w:val="Title"/>
        <w:rPr>
          <w:rFonts w:eastAsia="Times New Roman"/>
        </w:rPr>
      </w:pPr>
    </w:p>
    <w:p w14:paraId="17609F26" w14:textId="77777777" w:rsidR="00AC0BF2" w:rsidRDefault="00AC0BF2" w:rsidP="005A3C70">
      <w:pPr>
        <w:pStyle w:val="Title"/>
        <w:rPr>
          <w:rFonts w:eastAsia="Times New Roman"/>
        </w:rPr>
      </w:pPr>
    </w:p>
    <w:p w14:paraId="014592D1" w14:textId="77777777" w:rsidR="00AC0BF2" w:rsidRDefault="00AC0BF2" w:rsidP="005A3C70">
      <w:pPr>
        <w:pStyle w:val="Title"/>
        <w:rPr>
          <w:rFonts w:eastAsia="Times New Roman"/>
        </w:rPr>
      </w:pPr>
    </w:p>
    <w:p w14:paraId="4ED9E1BA" w14:textId="77777777" w:rsidR="00AC0BF2" w:rsidRDefault="00AC0BF2" w:rsidP="005A3C70">
      <w:pPr>
        <w:pStyle w:val="Title"/>
        <w:rPr>
          <w:rFonts w:eastAsia="Times New Roman"/>
        </w:rPr>
      </w:pPr>
    </w:p>
    <w:p w14:paraId="27BD499F" w14:textId="77777777" w:rsidR="00AC0BF2" w:rsidRDefault="00AC0BF2" w:rsidP="005A3C70">
      <w:pPr>
        <w:pStyle w:val="Title"/>
        <w:rPr>
          <w:rFonts w:eastAsia="Times New Roman"/>
        </w:rPr>
      </w:pPr>
    </w:p>
    <w:p w14:paraId="4DD6E719" w14:textId="77777777" w:rsidR="00AC0BF2" w:rsidRDefault="00AC0BF2" w:rsidP="005A3C70">
      <w:pPr>
        <w:pStyle w:val="Title"/>
        <w:rPr>
          <w:rFonts w:eastAsia="Times New Roman"/>
        </w:rPr>
      </w:pPr>
    </w:p>
    <w:p w14:paraId="067821A0" w14:textId="77777777" w:rsidR="00AC0BF2" w:rsidRDefault="00AC0BF2" w:rsidP="005A3C70">
      <w:pPr>
        <w:pStyle w:val="Title"/>
        <w:rPr>
          <w:rFonts w:eastAsia="Times New Roman"/>
        </w:rPr>
      </w:pPr>
    </w:p>
    <w:p w14:paraId="4CE7C6B6" w14:textId="77777777" w:rsidR="00AC0BF2" w:rsidRDefault="00AC0BF2" w:rsidP="005A3C70">
      <w:pPr>
        <w:pStyle w:val="Title"/>
        <w:rPr>
          <w:rFonts w:eastAsia="Times New Roman"/>
        </w:rPr>
      </w:pPr>
    </w:p>
    <w:p w14:paraId="27E31207" w14:textId="77777777" w:rsidR="00AC0BF2" w:rsidRDefault="00AC0BF2" w:rsidP="005A3C70">
      <w:pPr>
        <w:pStyle w:val="Title"/>
        <w:rPr>
          <w:rFonts w:eastAsia="Times New Roman"/>
        </w:rPr>
      </w:pPr>
    </w:p>
    <w:p w14:paraId="62D3B1CA" w14:textId="77777777" w:rsidR="00AC0BF2" w:rsidRDefault="00AC0BF2" w:rsidP="005A3C70">
      <w:pPr>
        <w:pStyle w:val="Title"/>
        <w:rPr>
          <w:rFonts w:eastAsia="Times New Roman"/>
        </w:rPr>
      </w:pPr>
    </w:p>
    <w:p w14:paraId="53A3BCB4" w14:textId="77777777" w:rsidR="00AC0BF2" w:rsidRDefault="00AC0BF2" w:rsidP="005A3C70">
      <w:pPr>
        <w:pStyle w:val="Title"/>
        <w:rPr>
          <w:rFonts w:eastAsia="Times New Roman"/>
        </w:rPr>
      </w:pPr>
    </w:p>
    <w:p w14:paraId="3339EC1B" w14:textId="77777777" w:rsidR="00AC0BF2" w:rsidRDefault="00AC0BF2" w:rsidP="005A3C70">
      <w:pPr>
        <w:pStyle w:val="Title"/>
        <w:rPr>
          <w:rFonts w:eastAsia="Times New Roman"/>
        </w:rPr>
      </w:pPr>
    </w:p>
    <w:p w14:paraId="01EBEFC2" w14:textId="77777777" w:rsidR="00AC0BF2" w:rsidRDefault="00AC0BF2" w:rsidP="005A3C70">
      <w:pPr>
        <w:pStyle w:val="Title"/>
        <w:rPr>
          <w:rFonts w:eastAsia="Times New Roman"/>
        </w:rPr>
      </w:pPr>
    </w:p>
    <w:p w14:paraId="2D3132A1" w14:textId="60EF834D" w:rsidR="00AC0BF2" w:rsidRDefault="00AC0BF2" w:rsidP="005A3C70">
      <w:pPr>
        <w:pStyle w:val="Title"/>
        <w:rPr>
          <w:rFonts w:eastAsia="Times New Roman"/>
        </w:rPr>
      </w:pPr>
    </w:p>
    <w:p w14:paraId="5F8D19D5" w14:textId="4324D9B2" w:rsidR="00AC0BF2" w:rsidRDefault="00AC0BF2" w:rsidP="00AC0BF2"/>
    <w:p w14:paraId="77C048EB" w14:textId="26BA559C" w:rsidR="00AC0BF2" w:rsidRDefault="00AC0BF2" w:rsidP="00AC0BF2"/>
    <w:p w14:paraId="55730D6C" w14:textId="77777777" w:rsidR="00AC0BF2" w:rsidRPr="00AC0BF2" w:rsidRDefault="00AC0BF2" w:rsidP="00AC0BF2"/>
    <w:p w14:paraId="00E4C306" w14:textId="53598ADD" w:rsidR="005A3C70" w:rsidRPr="000C4E6B" w:rsidRDefault="005A3C70" w:rsidP="005A3C70">
      <w:pPr>
        <w:pStyle w:val="Title"/>
        <w:rPr>
          <w:rFonts w:eastAsia="Times New Roman"/>
        </w:rPr>
      </w:pPr>
      <w:r w:rsidRPr="000C4E6B">
        <w:rPr>
          <w:rFonts w:eastAsia="Times New Roman"/>
        </w:rPr>
        <w:lastRenderedPageBreak/>
        <w:t>Victorian</w:t>
      </w:r>
      <w:r>
        <w:rPr>
          <w:rFonts w:eastAsia="Times New Roman"/>
        </w:rPr>
        <w:t xml:space="preserve"> Recycling Industry Annual Report </w:t>
      </w:r>
      <w:r w:rsidRPr="000C4E6B">
        <w:rPr>
          <w:rFonts w:eastAsia="Times New Roman"/>
        </w:rPr>
        <w:t>201</w:t>
      </w:r>
      <w:r>
        <w:rPr>
          <w:rFonts w:eastAsia="Times New Roman"/>
        </w:rPr>
        <w:t>6</w:t>
      </w:r>
      <w:r w:rsidRPr="000C4E6B">
        <w:rPr>
          <w:rFonts w:eastAsia="Times New Roman"/>
        </w:rPr>
        <w:t>-1</w:t>
      </w:r>
      <w:r>
        <w:rPr>
          <w:rFonts w:eastAsia="Times New Roman"/>
        </w:rPr>
        <w:t>7</w:t>
      </w:r>
    </w:p>
    <w:p w14:paraId="028C1A4A" w14:textId="77777777" w:rsidR="00AC0BF2" w:rsidRDefault="00AC0BF2">
      <w:pPr>
        <w:spacing w:after="160"/>
      </w:pPr>
    </w:p>
    <w:p w14:paraId="4F215047" w14:textId="77777777" w:rsidR="00AC0BF2" w:rsidRDefault="00AC0BF2">
      <w:pPr>
        <w:spacing w:after="160"/>
      </w:pPr>
    </w:p>
    <w:p w14:paraId="59AF834C" w14:textId="77777777" w:rsidR="00AC0BF2" w:rsidRDefault="00AC0BF2">
      <w:pPr>
        <w:spacing w:after="160"/>
      </w:pPr>
    </w:p>
    <w:p w14:paraId="487C0611" w14:textId="77777777" w:rsidR="00AC0BF2" w:rsidRDefault="00AC0BF2">
      <w:pPr>
        <w:spacing w:after="160"/>
      </w:pPr>
    </w:p>
    <w:p w14:paraId="72231328" w14:textId="5901A88B" w:rsidR="000109A9" w:rsidRDefault="000109A9">
      <w:pPr>
        <w:spacing w:after="160"/>
      </w:pPr>
    </w:p>
    <w:p w14:paraId="2678BF60" w14:textId="6C78D227" w:rsidR="00E339DB" w:rsidRDefault="00E339DB">
      <w:pPr>
        <w:spacing w:after="160"/>
      </w:pPr>
    </w:p>
    <w:p w14:paraId="1E2D3646" w14:textId="1CC40832" w:rsidR="00B35307" w:rsidRDefault="00B35307"/>
    <w:p w14:paraId="277B367D" w14:textId="77777777" w:rsidR="00B35307" w:rsidRDefault="00B35307"/>
    <w:p w14:paraId="2488B3FB" w14:textId="6F258792" w:rsidR="00423F93" w:rsidRDefault="00423F93"/>
    <w:p w14:paraId="365A08C9" w14:textId="77777777" w:rsidR="00B300C1" w:rsidRDefault="00B300C1"/>
    <w:p w14:paraId="0EF5EF39" w14:textId="77777777"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 xml:space="preserve">Authorised and published by </w:t>
      </w:r>
    </w:p>
    <w:p w14:paraId="0BE70D5D" w14:textId="77777777"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Sustainability Victoria,</w:t>
      </w:r>
    </w:p>
    <w:p w14:paraId="39F87058" w14:textId="77777777"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Level 28, Urban Workshop</w:t>
      </w:r>
    </w:p>
    <w:p w14:paraId="0AFAA55B" w14:textId="77777777"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50 Lonsdale Street Melbourne</w:t>
      </w:r>
    </w:p>
    <w:p w14:paraId="4CA64F2D" w14:textId="77777777"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Victoria 3000 Australia</w:t>
      </w:r>
    </w:p>
    <w:p w14:paraId="23385741" w14:textId="77777777" w:rsidR="00C91213" w:rsidRPr="000C4E6B" w:rsidRDefault="00C91213" w:rsidP="00C91213">
      <w:pPr>
        <w:widowControl w:val="0"/>
        <w:spacing w:after="0" w:line="260" w:lineRule="atLeast"/>
        <w:rPr>
          <w:rFonts w:eastAsia="Times New Roman" w:cs="Arial"/>
          <w:color w:val="000000"/>
          <w:spacing w:val="-5"/>
          <w:sz w:val="20"/>
          <w:szCs w:val="20"/>
        </w:rPr>
      </w:pPr>
    </w:p>
    <w:p w14:paraId="43780D4A" w14:textId="0D8C48E4"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Victorian</w:t>
      </w:r>
      <w:r>
        <w:rPr>
          <w:rFonts w:eastAsia="Times New Roman" w:cs="Arial"/>
          <w:color w:val="000000"/>
          <w:spacing w:val="-5"/>
          <w:sz w:val="20"/>
          <w:szCs w:val="20"/>
        </w:rPr>
        <w:t xml:space="preserve"> Recycling Industry Annual Report </w:t>
      </w:r>
      <w:r w:rsidRPr="000C4E6B">
        <w:rPr>
          <w:rFonts w:eastAsia="Times New Roman" w:cs="Arial"/>
          <w:color w:val="000000"/>
          <w:spacing w:val="-5"/>
          <w:sz w:val="20"/>
          <w:szCs w:val="20"/>
        </w:rPr>
        <w:t>201</w:t>
      </w:r>
      <w:r w:rsidR="0035772F">
        <w:rPr>
          <w:rFonts w:eastAsia="Times New Roman" w:cs="Arial"/>
          <w:color w:val="000000"/>
          <w:spacing w:val="-5"/>
          <w:sz w:val="20"/>
          <w:szCs w:val="20"/>
        </w:rPr>
        <w:t>6</w:t>
      </w:r>
      <w:r w:rsidRPr="000C4E6B">
        <w:rPr>
          <w:rFonts w:eastAsia="Times New Roman" w:cs="Arial"/>
          <w:color w:val="000000"/>
          <w:spacing w:val="-5"/>
          <w:sz w:val="20"/>
          <w:szCs w:val="20"/>
        </w:rPr>
        <w:t>-1</w:t>
      </w:r>
      <w:r w:rsidR="0035772F">
        <w:rPr>
          <w:rFonts w:eastAsia="Times New Roman" w:cs="Arial"/>
          <w:color w:val="000000"/>
          <w:spacing w:val="-5"/>
          <w:sz w:val="20"/>
          <w:szCs w:val="20"/>
        </w:rPr>
        <w:t>7</w:t>
      </w:r>
    </w:p>
    <w:p w14:paraId="6FA29DF5" w14:textId="4EBE6F9D"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 Sustainability Victoria 201</w:t>
      </w:r>
      <w:r w:rsidR="005C47E9">
        <w:rPr>
          <w:rFonts w:eastAsia="Times New Roman" w:cs="Arial"/>
          <w:color w:val="000000"/>
          <w:spacing w:val="-5"/>
          <w:sz w:val="20"/>
          <w:szCs w:val="20"/>
        </w:rPr>
        <w:t>8</w:t>
      </w:r>
      <w:r w:rsidRPr="000C4E6B">
        <w:rPr>
          <w:rFonts w:eastAsia="Times New Roman" w:cs="Arial"/>
          <w:color w:val="000000"/>
          <w:spacing w:val="-5"/>
          <w:sz w:val="20"/>
          <w:szCs w:val="20"/>
        </w:rPr>
        <w:t xml:space="preserve"> </w:t>
      </w:r>
    </w:p>
    <w:p w14:paraId="4C92A42F" w14:textId="77777777" w:rsidR="00C91213" w:rsidRPr="000C4E6B" w:rsidRDefault="00C91213" w:rsidP="00C91213">
      <w:pPr>
        <w:widowControl w:val="0"/>
        <w:spacing w:after="0" w:line="260" w:lineRule="atLeast"/>
        <w:rPr>
          <w:rFonts w:eastAsia="Times New Roman" w:cs="Arial"/>
          <w:color w:val="000000"/>
          <w:spacing w:val="-5"/>
          <w:sz w:val="20"/>
          <w:szCs w:val="20"/>
        </w:rPr>
      </w:pPr>
    </w:p>
    <w:p w14:paraId="30B1735F" w14:textId="71C86D99" w:rsidR="00C91213" w:rsidRPr="000C4E6B" w:rsidRDefault="009B025D" w:rsidP="00C91213">
      <w:pPr>
        <w:widowControl w:val="0"/>
        <w:spacing w:after="0" w:line="260" w:lineRule="atLeast"/>
        <w:rPr>
          <w:rFonts w:eastAsia="Times New Roman" w:cs="Arial"/>
          <w:color w:val="000000" w:themeColor="text1"/>
          <w:spacing w:val="-5"/>
          <w:sz w:val="20"/>
          <w:szCs w:val="20"/>
        </w:rPr>
      </w:pPr>
      <w:r>
        <w:rPr>
          <w:rFonts w:eastAsia="Times New Roman" w:cs="Arial"/>
          <w:color w:val="000000" w:themeColor="text1"/>
          <w:spacing w:val="-5"/>
          <w:sz w:val="20"/>
          <w:szCs w:val="20"/>
        </w:rPr>
        <w:t>September</w:t>
      </w:r>
      <w:r w:rsidR="00622A2A" w:rsidRPr="00A764C0">
        <w:rPr>
          <w:rFonts w:eastAsia="Times New Roman" w:cs="Arial"/>
          <w:color w:val="000000" w:themeColor="text1"/>
          <w:spacing w:val="-5"/>
          <w:sz w:val="20"/>
          <w:szCs w:val="20"/>
        </w:rPr>
        <w:t xml:space="preserve"> </w:t>
      </w:r>
      <w:r w:rsidR="00C91213" w:rsidRPr="00A764C0">
        <w:rPr>
          <w:rFonts w:eastAsia="Times New Roman" w:cs="Arial"/>
          <w:color w:val="000000" w:themeColor="text1"/>
          <w:spacing w:val="-5"/>
          <w:sz w:val="20"/>
          <w:szCs w:val="20"/>
        </w:rPr>
        <w:t>201</w:t>
      </w:r>
      <w:r w:rsidR="0035772F" w:rsidRPr="00A764C0">
        <w:rPr>
          <w:rFonts w:eastAsia="Times New Roman" w:cs="Arial"/>
          <w:color w:val="000000" w:themeColor="text1"/>
          <w:spacing w:val="-5"/>
          <w:sz w:val="20"/>
          <w:szCs w:val="20"/>
        </w:rPr>
        <w:t>8</w:t>
      </w:r>
    </w:p>
    <w:p w14:paraId="22A3C440" w14:textId="77777777" w:rsidR="00C91213" w:rsidRPr="000C4E6B" w:rsidRDefault="00C91213" w:rsidP="00C91213">
      <w:pPr>
        <w:widowControl w:val="0"/>
        <w:spacing w:after="0" w:line="260" w:lineRule="atLeast"/>
        <w:rPr>
          <w:rFonts w:eastAsia="Times New Roman" w:cs="Arial"/>
          <w:color w:val="000000"/>
          <w:spacing w:val="-5"/>
          <w:sz w:val="20"/>
          <w:szCs w:val="20"/>
        </w:rPr>
      </w:pPr>
    </w:p>
    <w:p w14:paraId="7FACA2B0" w14:textId="77777777"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Accessibility</w:t>
      </w:r>
    </w:p>
    <w:p w14:paraId="1CEA392B" w14:textId="77777777"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This document is available in PDF and Word format on the internet at www.sustainability.vic.gov.au</w:t>
      </w:r>
    </w:p>
    <w:p w14:paraId="609FEA94" w14:textId="77777777" w:rsidR="00C91213" w:rsidRPr="000C4E6B" w:rsidRDefault="00C91213" w:rsidP="00C91213">
      <w:pPr>
        <w:widowControl w:val="0"/>
        <w:spacing w:after="0" w:line="260" w:lineRule="atLeast"/>
        <w:rPr>
          <w:rFonts w:eastAsia="Times New Roman" w:cs="Arial"/>
          <w:color w:val="000000"/>
          <w:spacing w:val="-5"/>
          <w:sz w:val="20"/>
          <w:szCs w:val="20"/>
        </w:rPr>
      </w:pPr>
    </w:p>
    <w:p w14:paraId="71F7264D" w14:textId="77777777" w:rsidR="00C91213" w:rsidRPr="000C4E6B" w:rsidRDefault="00C91213" w:rsidP="00310355">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While reasonable efforts have been made to ensure that the contents of this publication are factually correct, Sustainability Victoria gives no warranty regarding its accuracy, completeness, currency or suitability for any particular purpose and to the extent permitted by law, does not accept any liability for loss or damages incurred as a result of reliance placed upon the content of this publication. This publication is provided on the basis that all persons accessing it undertake responsibility for assessing the relevance and accuracy of its content.</w:t>
      </w:r>
    </w:p>
    <w:p w14:paraId="31853F73" w14:textId="77777777" w:rsidR="00C91213" w:rsidRPr="000C4E6B" w:rsidRDefault="00C91213" w:rsidP="00C91213">
      <w:pPr>
        <w:widowControl w:val="0"/>
        <w:spacing w:after="0" w:line="260" w:lineRule="atLeast"/>
        <w:rPr>
          <w:rFonts w:eastAsia="Times New Roman" w:cs="Arial"/>
          <w:color w:val="000000"/>
          <w:spacing w:val="-5"/>
          <w:sz w:val="20"/>
          <w:szCs w:val="20"/>
        </w:rPr>
      </w:pPr>
    </w:p>
    <w:p w14:paraId="5FDFF2C5" w14:textId="4D2958D3"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Victorian</w:t>
      </w:r>
      <w:r>
        <w:rPr>
          <w:rFonts w:eastAsia="Times New Roman" w:cs="Arial"/>
          <w:color w:val="000000"/>
          <w:spacing w:val="-5"/>
          <w:sz w:val="20"/>
          <w:szCs w:val="20"/>
        </w:rPr>
        <w:t xml:space="preserve"> Recycling Industry Annual Report </w:t>
      </w:r>
      <w:r w:rsidRPr="000C4E6B">
        <w:rPr>
          <w:rFonts w:eastAsia="Times New Roman" w:cs="Arial"/>
          <w:color w:val="000000"/>
          <w:spacing w:val="-5"/>
          <w:sz w:val="20"/>
          <w:szCs w:val="20"/>
        </w:rPr>
        <w:t>201</w:t>
      </w:r>
      <w:r w:rsidR="0035772F">
        <w:rPr>
          <w:rFonts w:eastAsia="Times New Roman" w:cs="Arial"/>
          <w:color w:val="000000"/>
          <w:spacing w:val="-5"/>
          <w:sz w:val="20"/>
          <w:szCs w:val="20"/>
        </w:rPr>
        <w:t>6</w:t>
      </w:r>
      <w:r w:rsidRPr="000C4E6B">
        <w:rPr>
          <w:rFonts w:eastAsia="Times New Roman" w:cs="Arial"/>
          <w:color w:val="000000"/>
          <w:spacing w:val="-5"/>
          <w:sz w:val="20"/>
          <w:szCs w:val="20"/>
        </w:rPr>
        <w:t>-1</w:t>
      </w:r>
      <w:r w:rsidR="0035772F">
        <w:rPr>
          <w:rFonts w:eastAsia="Times New Roman" w:cs="Arial"/>
          <w:color w:val="000000"/>
          <w:spacing w:val="-5"/>
          <w:sz w:val="20"/>
          <w:szCs w:val="20"/>
        </w:rPr>
        <w:t>7</w:t>
      </w:r>
      <w:r>
        <w:rPr>
          <w:rFonts w:eastAsia="Times New Roman" w:cs="Arial"/>
          <w:color w:val="000000"/>
          <w:spacing w:val="-5"/>
          <w:sz w:val="20"/>
          <w:szCs w:val="20"/>
        </w:rPr>
        <w:t xml:space="preserve"> </w:t>
      </w:r>
      <w:r w:rsidRPr="000C4E6B">
        <w:rPr>
          <w:rFonts w:eastAsia="Times New Roman" w:cs="Arial"/>
          <w:color w:val="000000"/>
          <w:spacing w:val="-5"/>
          <w:sz w:val="20"/>
          <w:szCs w:val="20"/>
        </w:rPr>
        <w:t>should be attributed to Sustainability Victoria.</w:t>
      </w:r>
    </w:p>
    <w:p w14:paraId="2D716129" w14:textId="77777777" w:rsidR="00C91213" w:rsidRPr="000C4E6B" w:rsidRDefault="00C91213" w:rsidP="00C91213">
      <w:pPr>
        <w:widowControl w:val="0"/>
        <w:spacing w:after="0" w:line="260" w:lineRule="atLeast"/>
        <w:rPr>
          <w:rFonts w:eastAsia="Times New Roman" w:cs="Arial"/>
          <w:color w:val="000000"/>
          <w:spacing w:val="-5"/>
          <w:sz w:val="20"/>
          <w:szCs w:val="20"/>
        </w:rPr>
      </w:pPr>
    </w:p>
    <w:p w14:paraId="71A92374" w14:textId="4EB4AA46" w:rsidR="00C91213" w:rsidRPr="000C4E6B" w:rsidRDefault="00C91213" w:rsidP="00C91213">
      <w:pPr>
        <w:widowControl w:val="0"/>
        <w:spacing w:after="0" w:line="260" w:lineRule="atLeast"/>
        <w:rPr>
          <w:rFonts w:eastAsia="Times New Roman" w:cs="Arial"/>
          <w:color w:val="000000"/>
          <w:spacing w:val="-5"/>
          <w:sz w:val="20"/>
          <w:szCs w:val="20"/>
        </w:rPr>
      </w:pPr>
      <w:r w:rsidRPr="000C4E6B">
        <w:rPr>
          <w:rFonts w:eastAsia="Times New Roman" w:cs="Arial"/>
          <w:color w:val="000000"/>
          <w:spacing w:val="-5"/>
          <w:sz w:val="20"/>
          <w:szCs w:val="20"/>
        </w:rPr>
        <w:t>Victorian</w:t>
      </w:r>
      <w:r>
        <w:rPr>
          <w:rFonts w:eastAsia="Times New Roman" w:cs="Arial"/>
          <w:color w:val="000000"/>
          <w:spacing w:val="-5"/>
          <w:sz w:val="20"/>
          <w:szCs w:val="20"/>
        </w:rPr>
        <w:t xml:space="preserve"> Recycling Industry Annual Report </w:t>
      </w:r>
      <w:r w:rsidRPr="000C4E6B">
        <w:rPr>
          <w:rFonts w:eastAsia="Times New Roman" w:cs="Arial"/>
          <w:color w:val="000000"/>
          <w:spacing w:val="-5"/>
          <w:sz w:val="20"/>
          <w:szCs w:val="20"/>
        </w:rPr>
        <w:t>201</w:t>
      </w:r>
      <w:r w:rsidR="0035772F">
        <w:rPr>
          <w:rFonts w:eastAsia="Times New Roman" w:cs="Arial"/>
          <w:color w:val="000000"/>
          <w:spacing w:val="-5"/>
          <w:sz w:val="20"/>
          <w:szCs w:val="20"/>
        </w:rPr>
        <w:t>6</w:t>
      </w:r>
      <w:r w:rsidRPr="000C4E6B">
        <w:rPr>
          <w:rFonts w:eastAsia="Times New Roman" w:cs="Arial"/>
          <w:color w:val="000000"/>
          <w:spacing w:val="-5"/>
          <w:sz w:val="20"/>
          <w:szCs w:val="20"/>
        </w:rPr>
        <w:t>-</w:t>
      </w:r>
      <w:r w:rsidR="00622A2A">
        <w:rPr>
          <w:rFonts w:eastAsia="Times New Roman" w:cs="Arial"/>
          <w:color w:val="000000"/>
          <w:spacing w:val="-5"/>
          <w:sz w:val="20"/>
          <w:szCs w:val="20"/>
        </w:rPr>
        <w:t>1</w:t>
      </w:r>
      <w:r w:rsidR="0035772F">
        <w:rPr>
          <w:rFonts w:eastAsia="Times New Roman" w:cs="Arial"/>
          <w:color w:val="000000"/>
          <w:spacing w:val="-5"/>
          <w:sz w:val="20"/>
          <w:szCs w:val="20"/>
        </w:rPr>
        <w:t>7</w:t>
      </w:r>
      <w:r w:rsidRPr="000C4E6B">
        <w:rPr>
          <w:rFonts w:eastAsia="Times New Roman" w:cs="Arial"/>
          <w:color w:val="000000"/>
          <w:spacing w:val="-5"/>
          <w:sz w:val="20"/>
          <w:szCs w:val="20"/>
        </w:rPr>
        <w:t xml:space="preserve"> under a Creative Commons Attribution 4.</w:t>
      </w:r>
      <w:r w:rsidR="000109A9">
        <w:rPr>
          <w:rFonts w:eastAsia="Times New Roman" w:cs="Arial"/>
          <w:color w:val="000000"/>
          <w:spacing w:val="-5"/>
          <w:sz w:val="20"/>
          <w:szCs w:val="20"/>
        </w:rPr>
        <w:t>0 Australia licence. In essence</w:t>
      </w:r>
      <w:r w:rsidRPr="000C4E6B">
        <w:rPr>
          <w:rFonts w:eastAsia="Times New Roman" w:cs="Arial"/>
          <w:color w:val="000000"/>
          <w:spacing w:val="-5"/>
          <w:sz w:val="20"/>
          <w:szCs w:val="20"/>
        </w:rPr>
        <w:t xml:space="preserve"> you are free to copy, distribute and adapt the work, as long as you attribute the work and abide by the other licence terms. Go to http://creativecommons.org/licenses/by/4.0/ to view a copy of this licence.</w:t>
      </w:r>
    </w:p>
    <w:p w14:paraId="00C216E0" w14:textId="54EF0BDA" w:rsidR="00C91213" w:rsidRPr="000C4E6B" w:rsidRDefault="00C91213" w:rsidP="00C91213">
      <w:pPr>
        <w:widowControl w:val="0"/>
        <w:spacing w:after="0" w:line="260" w:lineRule="atLeast"/>
        <w:rPr>
          <w:rFonts w:eastAsia="Times New Roman" w:cs="Arial"/>
          <w:color w:val="000000"/>
          <w:spacing w:val="-5"/>
          <w:szCs w:val="20"/>
        </w:rPr>
      </w:pPr>
      <w:r w:rsidRPr="000C4E6B">
        <w:rPr>
          <w:rFonts w:eastAsia="Times New Roman" w:cs="Arial"/>
          <w:noProof/>
          <w:color w:val="000000"/>
          <w:spacing w:val="-5"/>
          <w:szCs w:val="20"/>
          <w:lang w:eastAsia="en-AU"/>
        </w:rPr>
        <w:drawing>
          <wp:inline distT="0" distB="0" distL="0" distR="0" wp14:anchorId="190C669C" wp14:editId="0BC92C91">
            <wp:extent cx="1136650" cy="46482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0" cy="464820"/>
                    </a:xfrm>
                    <a:prstGeom prst="rect">
                      <a:avLst/>
                    </a:prstGeom>
                    <a:noFill/>
                    <a:ln>
                      <a:noFill/>
                    </a:ln>
                  </pic:spPr>
                </pic:pic>
              </a:graphicData>
            </a:graphic>
          </wp:inline>
        </w:drawing>
      </w:r>
    </w:p>
    <w:p w14:paraId="106EBC86" w14:textId="77777777" w:rsidR="00A764C0" w:rsidRDefault="00A764C0" w:rsidP="00B300C1">
      <w:pPr>
        <w:widowControl w:val="0"/>
        <w:spacing w:after="0" w:line="260" w:lineRule="atLeast"/>
      </w:pPr>
    </w:p>
    <w:sdt>
      <w:sdtPr>
        <w:rPr>
          <w:rFonts w:asciiTheme="minorHAnsi" w:eastAsiaTheme="minorHAnsi" w:hAnsiTheme="minorHAnsi" w:cstheme="minorBidi"/>
          <w:color w:val="auto"/>
          <w:sz w:val="22"/>
          <w:szCs w:val="22"/>
          <w:lang w:val="en-AU"/>
        </w:rPr>
        <w:id w:val="305988765"/>
        <w:docPartObj>
          <w:docPartGallery w:val="Table of Contents"/>
          <w:docPartUnique/>
        </w:docPartObj>
      </w:sdtPr>
      <w:sdtEndPr>
        <w:rPr>
          <w:rFonts w:ascii="Arial" w:hAnsi="Arial"/>
          <w:b/>
          <w:bCs/>
          <w:noProof/>
        </w:rPr>
      </w:sdtEndPr>
      <w:sdtContent>
        <w:p w14:paraId="4EE7B450" w14:textId="452B47C8" w:rsidR="00116C6A" w:rsidRDefault="00116C6A">
          <w:pPr>
            <w:pStyle w:val="TOCHeading"/>
            <w:rPr>
              <w:rFonts w:ascii="Arial" w:eastAsia="Times New Roman" w:hAnsi="Arial" w:cs="Arial"/>
              <w:bCs/>
              <w:color w:val="595959"/>
              <w:sz w:val="26"/>
              <w:szCs w:val="26"/>
              <w:lang w:val="en-AU"/>
            </w:rPr>
          </w:pPr>
          <w:r w:rsidRPr="002332DB">
            <w:rPr>
              <w:rFonts w:ascii="Arial" w:eastAsia="Times New Roman" w:hAnsi="Arial" w:cs="Arial"/>
              <w:bCs/>
              <w:color w:val="595959"/>
              <w:sz w:val="26"/>
              <w:szCs w:val="26"/>
              <w:lang w:val="en-AU"/>
            </w:rPr>
            <w:t>Contents</w:t>
          </w:r>
        </w:p>
        <w:p w14:paraId="79D940F5" w14:textId="77777777" w:rsidR="002332DB" w:rsidRPr="002332DB" w:rsidRDefault="002332DB" w:rsidP="002332DB"/>
        <w:p w14:paraId="5C1004F7" w14:textId="614CCB23" w:rsidR="001354FA" w:rsidRDefault="00116C6A">
          <w:pPr>
            <w:pStyle w:val="TOC2"/>
            <w:rPr>
              <w:rFonts w:asciiTheme="minorHAnsi" w:eastAsiaTheme="minorEastAsia" w:hAnsiTheme="minorHAnsi"/>
              <w:noProof/>
              <w:lang w:eastAsia="en-AU"/>
            </w:rPr>
          </w:pPr>
          <w:r w:rsidRPr="002332DB">
            <w:rPr>
              <w:rFonts w:cs="Arial"/>
            </w:rPr>
            <w:fldChar w:fldCharType="begin"/>
          </w:r>
          <w:r w:rsidRPr="002332DB">
            <w:rPr>
              <w:rFonts w:cs="Arial"/>
            </w:rPr>
            <w:instrText xml:space="preserve"> TOC \o "1-3" \h \z \u </w:instrText>
          </w:r>
          <w:r w:rsidRPr="002332DB">
            <w:rPr>
              <w:rFonts w:cs="Arial"/>
            </w:rPr>
            <w:fldChar w:fldCharType="separate"/>
          </w:r>
          <w:hyperlink w:anchor="_Toc525308001" w:history="1">
            <w:r w:rsidR="001354FA" w:rsidRPr="0031043D">
              <w:rPr>
                <w:rStyle w:val="Hyperlink"/>
                <w:noProof/>
              </w:rPr>
              <w:t>Introduction</w:t>
            </w:r>
            <w:r w:rsidR="001354FA">
              <w:rPr>
                <w:noProof/>
                <w:webHidden/>
              </w:rPr>
              <w:tab/>
            </w:r>
            <w:r w:rsidR="001354FA">
              <w:rPr>
                <w:noProof/>
                <w:webHidden/>
              </w:rPr>
              <w:fldChar w:fldCharType="begin"/>
            </w:r>
            <w:r w:rsidR="001354FA">
              <w:rPr>
                <w:noProof/>
                <w:webHidden/>
              </w:rPr>
              <w:instrText xml:space="preserve"> PAGEREF _Toc525308001 \h </w:instrText>
            </w:r>
            <w:r w:rsidR="001354FA">
              <w:rPr>
                <w:noProof/>
                <w:webHidden/>
              </w:rPr>
            </w:r>
            <w:r w:rsidR="001354FA">
              <w:rPr>
                <w:noProof/>
                <w:webHidden/>
              </w:rPr>
              <w:fldChar w:fldCharType="separate"/>
            </w:r>
            <w:r w:rsidR="001354FA">
              <w:rPr>
                <w:noProof/>
                <w:webHidden/>
              </w:rPr>
              <w:t>4</w:t>
            </w:r>
            <w:r w:rsidR="001354FA">
              <w:rPr>
                <w:noProof/>
                <w:webHidden/>
              </w:rPr>
              <w:fldChar w:fldCharType="end"/>
            </w:r>
          </w:hyperlink>
        </w:p>
        <w:p w14:paraId="6D9B6832" w14:textId="7E866463" w:rsidR="001354FA" w:rsidRDefault="00811D19">
          <w:pPr>
            <w:pStyle w:val="TOC3"/>
            <w:tabs>
              <w:tab w:val="right" w:leader="dot" w:pos="9016"/>
            </w:tabs>
            <w:rPr>
              <w:rFonts w:asciiTheme="minorHAnsi" w:eastAsiaTheme="minorEastAsia" w:hAnsiTheme="minorHAnsi"/>
              <w:noProof/>
              <w:lang w:eastAsia="en-AU"/>
            </w:rPr>
          </w:pPr>
          <w:hyperlink w:anchor="_Toc525308002" w:history="1">
            <w:r w:rsidR="001354FA" w:rsidRPr="0031043D">
              <w:rPr>
                <w:rStyle w:val="Hyperlink"/>
                <w:noProof/>
              </w:rPr>
              <w:t>Background</w:t>
            </w:r>
            <w:r w:rsidR="001354FA">
              <w:rPr>
                <w:noProof/>
                <w:webHidden/>
              </w:rPr>
              <w:tab/>
            </w:r>
            <w:r w:rsidR="001354FA">
              <w:rPr>
                <w:noProof/>
                <w:webHidden/>
              </w:rPr>
              <w:fldChar w:fldCharType="begin"/>
            </w:r>
            <w:r w:rsidR="001354FA">
              <w:rPr>
                <w:noProof/>
                <w:webHidden/>
              </w:rPr>
              <w:instrText xml:space="preserve"> PAGEREF _Toc525308002 \h </w:instrText>
            </w:r>
            <w:r w:rsidR="001354FA">
              <w:rPr>
                <w:noProof/>
                <w:webHidden/>
              </w:rPr>
            </w:r>
            <w:r w:rsidR="001354FA">
              <w:rPr>
                <w:noProof/>
                <w:webHidden/>
              </w:rPr>
              <w:fldChar w:fldCharType="separate"/>
            </w:r>
            <w:r w:rsidR="001354FA">
              <w:rPr>
                <w:noProof/>
                <w:webHidden/>
              </w:rPr>
              <w:t>4</w:t>
            </w:r>
            <w:r w:rsidR="001354FA">
              <w:rPr>
                <w:noProof/>
                <w:webHidden/>
              </w:rPr>
              <w:fldChar w:fldCharType="end"/>
            </w:r>
          </w:hyperlink>
        </w:p>
        <w:p w14:paraId="7DF938A7" w14:textId="5F858522" w:rsidR="001354FA" w:rsidRDefault="00811D19">
          <w:pPr>
            <w:pStyle w:val="TOC3"/>
            <w:tabs>
              <w:tab w:val="right" w:leader="dot" w:pos="9016"/>
            </w:tabs>
            <w:rPr>
              <w:rFonts w:asciiTheme="minorHAnsi" w:eastAsiaTheme="minorEastAsia" w:hAnsiTheme="minorHAnsi"/>
              <w:noProof/>
              <w:lang w:eastAsia="en-AU"/>
            </w:rPr>
          </w:pPr>
          <w:hyperlink w:anchor="_Toc525308003" w:history="1">
            <w:r w:rsidR="001354FA" w:rsidRPr="0031043D">
              <w:rPr>
                <w:rStyle w:val="Hyperlink"/>
                <w:noProof/>
              </w:rPr>
              <w:t>Key findings for 2016-17</w:t>
            </w:r>
            <w:r w:rsidR="001354FA">
              <w:rPr>
                <w:noProof/>
                <w:webHidden/>
              </w:rPr>
              <w:tab/>
            </w:r>
            <w:r w:rsidR="001354FA">
              <w:rPr>
                <w:noProof/>
                <w:webHidden/>
              </w:rPr>
              <w:fldChar w:fldCharType="begin"/>
            </w:r>
            <w:r w:rsidR="001354FA">
              <w:rPr>
                <w:noProof/>
                <w:webHidden/>
              </w:rPr>
              <w:instrText xml:space="preserve"> PAGEREF _Toc525308003 \h </w:instrText>
            </w:r>
            <w:r w:rsidR="001354FA">
              <w:rPr>
                <w:noProof/>
                <w:webHidden/>
              </w:rPr>
            </w:r>
            <w:r w:rsidR="001354FA">
              <w:rPr>
                <w:noProof/>
                <w:webHidden/>
              </w:rPr>
              <w:fldChar w:fldCharType="separate"/>
            </w:r>
            <w:r w:rsidR="001354FA">
              <w:rPr>
                <w:noProof/>
                <w:webHidden/>
              </w:rPr>
              <w:t>5</w:t>
            </w:r>
            <w:r w:rsidR="001354FA">
              <w:rPr>
                <w:noProof/>
                <w:webHidden/>
              </w:rPr>
              <w:fldChar w:fldCharType="end"/>
            </w:r>
          </w:hyperlink>
        </w:p>
        <w:p w14:paraId="5CFF4D7C" w14:textId="5405BC0F" w:rsidR="001354FA" w:rsidRDefault="00811D19">
          <w:pPr>
            <w:pStyle w:val="TOC2"/>
            <w:rPr>
              <w:rFonts w:asciiTheme="minorHAnsi" w:eastAsiaTheme="minorEastAsia" w:hAnsiTheme="minorHAnsi"/>
              <w:noProof/>
              <w:lang w:eastAsia="en-AU"/>
            </w:rPr>
          </w:pPr>
          <w:hyperlink w:anchor="_Toc525308004" w:history="1">
            <w:r w:rsidR="001354FA" w:rsidRPr="0031043D">
              <w:rPr>
                <w:rStyle w:val="Hyperlink"/>
                <w:noProof/>
              </w:rPr>
              <w:t>Total materials managed and recovery rates</w:t>
            </w:r>
            <w:r w:rsidR="001354FA">
              <w:rPr>
                <w:noProof/>
                <w:webHidden/>
              </w:rPr>
              <w:tab/>
            </w:r>
            <w:r w:rsidR="001354FA">
              <w:rPr>
                <w:noProof/>
                <w:webHidden/>
              </w:rPr>
              <w:fldChar w:fldCharType="begin"/>
            </w:r>
            <w:r w:rsidR="001354FA">
              <w:rPr>
                <w:noProof/>
                <w:webHidden/>
              </w:rPr>
              <w:instrText xml:space="preserve"> PAGEREF _Toc525308004 \h </w:instrText>
            </w:r>
            <w:r w:rsidR="001354FA">
              <w:rPr>
                <w:noProof/>
                <w:webHidden/>
              </w:rPr>
            </w:r>
            <w:r w:rsidR="001354FA">
              <w:rPr>
                <w:noProof/>
                <w:webHidden/>
              </w:rPr>
              <w:fldChar w:fldCharType="separate"/>
            </w:r>
            <w:r w:rsidR="001354FA">
              <w:rPr>
                <w:noProof/>
                <w:webHidden/>
              </w:rPr>
              <w:t>6</w:t>
            </w:r>
            <w:r w:rsidR="001354FA">
              <w:rPr>
                <w:noProof/>
                <w:webHidden/>
              </w:rPr>
              <w:fldChar w:fldCharType="end"/>
            </w:r>
          </w:hyperlink>
        </w:p>
        <w:p w14:paraId="494C80C3" w14:textId="4F5E44EF" w:rsidR="001354FA" w:rsidRDefault="00811D19">
          <w:pPr>
            <w:pStyle w:val="TOC2"/>
            <w:rPr>
              <w:rFonts w:asciiTheme="minorHAnsi" w:eastAsiaTheme="minorEastAsia" w:hAnsiTheme="minorHAnsi"/>
              <w:noProof/>
              <w:lang w:eastAsia="en-AU"/>
            </w:rPr>
          </w:pPr>
          <w:hyperlink w:anchor="_Toc525308005" w:history="1">
            <w:r w:rsidR="001354FA" w:rsidRPr="0031043D">
              <w:rPr>
                <w:rStyle w:val="Hyperlink"/>
                <w:noProof/>
              </w:rPr>
              <w:t>Composition of recovered material</w:t>
            </w:r>
            <w:r w:rsidR="001354FA">
              <w:rPr>
                <w:noProof/>
                <w:webHidden/>
              </w:rPr>
              <w:tab/>
            </w:r>
            <w:r w:rsidR="001354FA">
              <w:rPr>
                <w:noProof/>
                <w:webHidden/>
              </w:rPr>
              <w:fldChar w:fldCharType="begin"/>
            </w:r>
            <w:r w:rsidR="001354FA">
              <w:rPr>
                <w:noProof/>
                <w:webHidden/>
              </w:rPr>
              <w:instrText xml:space="preserve"> PAGEREF _Toc525308005 \h </w:instrText>
            </w:r>
            <w:r w:rsidR="001354FA">
              <w:rPr>
                <w:noProof/>
                <w:webHidden/>
              </w:rPr>
            </w:r>
            <w:r w:rsidR="001354FA">
              <w:rPr>
                <w:noProof/>
                <w:webHidden/>
              </w:rPr>
              <w:fldChar w:fldCharType="separate"/>
            </w:r>
            <w:r w:rsidR="001354FA">
              <w:rPr>
                <w:noProof/>
                <w:webHidden/>
              </w:rPr>
              <w:t>8</w:t>
            </w:r>
            <w:r w:rsidR="001354FA">
              <w:rPr>
                <w:noProof/>
                <w:webHidden/>
              </w:rPr>
              <w:fldChar w:fldCharType="end"/>
            </w:r>
          </w:hyperlink>
        </w:p>
        <w:p w14:paraId="16F49634" w14:textId="22203744" w:rsidR="001354FA" w:rsidRDefault="00811D19">
          <w:pPr>
            <w:pStyle w:val="TOC2"/>
            <w:rPr>
              <w:rFonts w:asciiTheme="minorHAnsi" w:eastAsiaTheme="minorEastAsia" w:hAnsiTheme="minorHAnsi"/>
              <w:noProof/>
              <w:lang w:eastAsia="en-AU"/>
            </w:rPr>
          </w:pPr>
          <w:hyperlink w:anchor="_Toc525308006" w:history="1">
            <w:r w:rsidR="001354FA" w:rsidRPr="0031043D">
              <w:rPr>
                <w:rStyle w:val="Hyperlink"/>
                <w:noProof/>
              </w:rPr>
              <w:t>Sources of materials</w:t>
            </w:r>
            <w:r w:rsidR="001354FA">
              <w:rPr>
                <w:noProof/>
                <w:webHidden/>
              </w:rPr>
              <w:tab/>
            </w:r>
            <w:r w:rsidR="001354FA">
              <w:rPr>
                <w:noProof/>
                <w:webHidden/>
              </w:rPr>
              <w:fldChar w:fldCharType="begin"/>
            </w:r>
            <w:r w:rsidR="001354FA">
              <w:rPr>
                <w:noProof/>
                <w:webHidden/>
              </w:rPr>
              <w:instrText xml:space="preserve"> PAGEREF _Toc525308006 \h </w:instrText>
            </w:r>
            <w:r w:rsidR="001354FA">
              <w:rPr>
                <w:noProof/>
                <w:webHidden/>
              </w:rPr>
            </w:r>
            <w:r w:rsidR="001354FA">
              <w:rPr>
                <w:noProof/>
                <w:webHidden/>
              </w:rPr>
              <w:fldChar w:fldCharType="separate"/>
            </w:r>
            <w:r w:rsidR="001354FA">
              <w:rPr>
                <w:noProof/>
                <w:webHidden/>
              </w:rPr>
              <w:t>11</w:t>
            </w:r>
            <w:r w:rsidR="001354FA">
              <w:rPr>
                <w:noProof/>
                <w:webHidden/>
              </w:rPr>
              <w:fldChar w:fldCharType="end"/>
            </w:r>
          </w:hyperlink>
        </w:p>
        <w:p w14:paraId="403308CE" w14:textId="58FAB4CA" w:rsidR="001354FA" w:rsidRDefault="00811D19">
          <w:pPr>
            <w:pStyle w:val="TOC2"/>
            <w:rPr>
              <w:rFonts w:asciiTheme="minorHAnsi" w:eastAsiaTheme="minorEastAsia" w:hAnsiTheme="minorHAnsi"/>
              <w:noProof/>
              <w:lang w:eastAsia="en-AU"/>
            </w:rPr>
          </w:pPr>
          <w:hyperlink w:anchor="_Toc525308007" w:history="1">
            <w:r w:rsidR="001354FA" w:rsidRPr="0031043D">
              <w:rPr>
                <w:rStyle w:val="Hyperlink"/>
                <w:noProof/>
              </w:rPr>
              <w:t>Reprocessing and exports</w:t>
            </w:r>
            <w:r w:rsidR="001354FA">
              <w:rPr>
                <w:noProof/>
                <w:webHidden/>
              </w:rPr>
              <w:tab/>
            </w:r>
            <w:r w:rsidR="001354FA">
              <w:rPr>
                <w:noProof/>
                <w:webHidden/>
              </w:rPr>
              <w:fldChar w:fldCharType="begin"/>
            </w:r>
            <w:r w:rsidR="001354FA">
              <w:rPr>
                <w:noProof/>
                <w:webHidden/>
              </w:rPr>
              <w:instrText xml:space="preserve"> PAGEREF _Toc525308007 \h </w:instrText>
            </w:r>
            <w:r w:rsidR="001354FA">
              <w:rPr>
                <w:noProof/>
                <w:webHidden/>
              </w:rPr>
            </w:r>
            <w:r w:rsidR="001354FA">
              <w:rPr>
                <w:noProof/>
                <w:webHidden/>
              </w:rPr>
              <w:fldChar w:fldCharType="separate"/>
            </w:r>
            <w:r w:rsidR="001354FA">
              <w:rPr>
                <w:noProof/>
                <w:webHidden/>
              </w:rPr>
              <w:t>12</w:t>
            </w:r>
            <w:r w:rsidR="001354FA">
              <w:rPr>
                <w:noProof/>
                <w:webHidden/>
              </w:rPr>
              <w:fldChar w:fldCharType="end"/>
            </w:r>
          </w:hyperlink>
        </w:p>
        <w:p w14:paraId="00E59E5B" w14:textId="31FF80A1" w:rsidR="001354FA" w:rsidRDefault="00811D19">
          <w:pPr>
            <w:pStyle w:val="TOC2"/>
            <w:rPr>
              <w:rFonts w:asciiTheme="minorHAnsi" w:eastAsiaTheme="minorEastAsia" w:hAnsiTheme="minorHAnsi"/>
              <w:noProof/>
              <w:lang w:eastAsia="en-AU"/>
            </w:rPr>
          </w:pPr>
          <w:hyperlink w:anchor="_Toc525308008" w:history="1">
            <w:r w:rsidR="001354FA" w:rsidRPr="0031043D">
              <w:rPr>
                <w:rStyle w:val="Hyperlink"/>
                <w:noProof/>
              </w:rPr>
              <w:t>Product markets</w:t>
            </w:r>
            <w:r w:rsidR="001354FA">
              <w:rPr>
                <w:noProof/>
                <w:webHidden/>
              </w:rPr>
              <w:tab/>
            </w:r>
            <w:r w:rsidR="001354FA">
              <w:rPr>
                <w:noProof/>
                <w:webHidden/>
              </w:rPr>
              <w:fldChar w:fldCharType="begin"/>
            </w:r>
            <w:r w:rsidR="001354FA">
              <w:rPr>
                <w:noProof/>
                <w:webHidden/>
              </w:rPr>
              <w:instrText xml:space="preserve"> PAGEREF _Toc525308008 \h </w:instrText>
            </w:r>
            <w:r w:rsidR="001354FA">
              <w:rPr>
                <w:noProof/>
                <w:webHidden/>
              </w:rPr>
            </w:r>
            <w:r w:rsidR="001354FA">
              <w:rPr>
                <w:noProof/>
                <w:webHidden/>
              </w:rPr>
              <w:fldChar w:fldCharType="separate"/>
            </w:r>
            <w:r w:rsidR="001354FA">
              <w:rPr>
                <w:noProof/>
                <w:webHidden/>
              </w:rPr>
              <w:t>14</w:t>
            </w:r>
            <w:r w:rsidR="001354FA">
              <w:rPr>
                <w:noProof/>
                <w:webHidden/>
              </w:rPr>
              <w:fldChar w:fldCharType="end"/>
            </w:r>
          </w:hyperlink>
        </w:p>
        <w:p w14:paraId="03F8C288" w14:textId="7FA3C306" w:rsidR="001354FA" w:rsidRDefault="00811D19">
          <w:pPr>
            <w:pStyle w:val="TOC2"/>
            <w:rPr>
              <w:rFonts w:asciiTheme="minorHAnsi" w:eastAsiaTheme="minorEastAsia" w:hAnsiTheme="minorHAnsi"/>
              <w:noProof/>
              <w:lang w:eastAsia="en-AU"/>
            </w:rPr>
          </w:pPr>
          <w:hyperlink w:anchor="_Toc525308009" w:history="1">
            <w:r w:rsidR="001354FA" w:rsidRPr="0031043D">
              <w:rPr>
                <w:rStyle w:val="Hyperlink"/>
                <w:noProof/>
              </w:rPr>
              <w:t>Appendix A: Glossary</w:t>
            </w:r>
            <w:r w:rsidR="001354FA">
              <w:rPr>
                <w:noProof/>
                <w:webHidden/>
              </w:rPr>
              <w:tab/>
            </w:r>
            <w:r w:rsidR="001354FA">
              <w:rPr>
                <w:noProof/>
                <w:webHidden/>
              </w:rPr>
              <w:fldChar w:fldCharType="begin"/>
            </w:r>
            <w:r w:rsidR="001354FA">
              <w:rPr>
                <w:noProof/>
                <w:webHidden/>
              </w:rPr>
              <w:instrText xml:space="preserve"> PAGEREF _Toc525308009 \h </w:instrText>
            </w:r>
            <w:r w:rsidR="001354FA">
              <w:rPr>
                <w:noProof/>
                <w:webHidden/>
              </w:rPr>
            </w:r>
            <w:r w:rsidR="001354FA">
              <w:rPr>
                <w:noProof/>
                <w:webHidden/>
              </w:rPr>
              <w:fldChar w:fldCharType="separate"/>
            </w:r>
            <w:r w:rsidR="001354FA">
              <w:rPr>
                <w:noProof/>
                <w:webHidden/>
              </w:rPr>
              <w:t>16</w:t>
            </w:r>
            <w:r w:rsidR="001354FA">
              <w:rPr>
                <w:noProof/>
                <w:webHidden/>
              </w:rPr>
              <w:fldChar w:fldCharType="end"/>
            </w:r>
          </w:hyperlink>
        </w:p>
        <w:p w14:paraId="794B9B18" w14:textId="43454884" w:rsidR="001354FA" w:rsidRDefault="00811D19">
          <w:pPr>
            <w:pStyle w:val="TOC2"/>
            <w:rPr>
              <w:rFonts w:asciiTheme="minorHAnsi" w:eastAsiaTheme="minorEastAsia" w:hAnsiTheme="minorHAnsi"/>
              <w:noProof/>
              <w:lang w:eastAsia="en-AU"/>
            </w:rPr>
          </w:pPr>
          <w:hyperlink w:anchor="_Toc525308010" w:history="1">
            <w:r w:rsidR="001354FA" w:rsidRPr="0031043D">
              <w:rPr>
                <w:rStyle w:val="Hyperlink"/>
                <w:noProof/>
              </w:rPr>
              <w:t>Appendix B: Survey methodology</w:t>
            </w:r>
            <w:r w:rsidR="001354FA">
              <w:rPr>
                <w:noProof/>
                <w:webHidden/>
              </w:rPr>
              <w:tab/>
            </w:r>
            <w:r w:rsidR="001354FA">
              <w:rPr>
                <w:noProof/>
                <w:webHidden/>
              </w:rPr>
              <w:fldChar w:fldCharType="begin"/>
            </w:r>
            <w:r w:rsidR="001354FA">
              <w:rPr>
                <w:noProof/>
                <w:webHidden/>
              </w:rPr>
              <w:instrText xml:space="preserve"> PAGEREF _Toc525308010 \h </w:instrText>
            </w:r>
            <w:r w:rsidR="001354FA">
              <w:rPr>
                <w:noProof/>
                <w:webHidden/>
              </w:rPr>
            </w:r>
            <w:r w:rsidR="001354FA">
              <w:rPr>
                <w:noProof/>
                <w:webHidden/>
              </w:rPr>
              <w:fldChar w:fldCharType="separate"/>
            </w:r>
            <w:r w:rsidR="001354FA">
              <w:rPr>
                <w:noProof/>
                <w:webHidden/>
              </w:rPr>
              <w:t>17</w:t>
            </w:r>
            <w:r w:rsidR="001354FA">
              <w:rPr>
                <w:noProof/>
                <w:webHidden/>
              </w:rPr>
              <w:fldChar w:fldCharType="end"/>
            </w:r>
          </w:hyperlink>
        </w:p>
        <w:p w14:paraId="6489DC30" w14:textId="407AF7C6" w:rsidR="001354FA" w:rsidRDefault="00811D19">
          <w:pPr>
            <w:pStyle w:val="TOC2"/>
            <w:rPr>
              <w:rFonts w:asciiTheme="minorHAnsi" w:eastAsiaTheme="minorEastAsia" w:hAnsiTheme="minorHAnsi"/>
              <w:noProof/>
              <w:lang w:eastAsia="en-AU"/>
            </w:rPr>
          </w:pPr>
          <w:hyperlink w:anchor="_Toc525308011" w:history="1">
            <w:r w:rsidR="001354FA" w:rsidRPr="0031043D">
              <w:rPr>
                <w:rStyle w:val="Hyperlink"/>
                <w:noProof/>
              </w:rPr>
              <w:t>Appendix C: Material-specific recovery data</w:t>
            </w:r>
            <w:r w:rsidR="001354FA">
              <w:rPr>
                <w:noProof/>
                <w:webHidden/>
              </w:rPr>
              <w:tab/>
            </w:r>
            <w:r w:rsidR="001354FA">
              <w:rPr>
                <w:noProof/>
                <w:webHidden/>
              </w:rPr>
              <w:fldChar w:fldCharType="begin"/>
            </w:r>
            <w:r w:rsidR="001354FA">
              <w:rPr>
                <w:noProof/>
                <w:webHidden/>
              </w:rPr>
              <w:instrText xml:space="preserve"> PAGEREF _Toc525308011 \h </w:instrText>
            </w:r>
            <w:r w:rsidR="001354FA">
              <w:rPr>
                <w:noProof/>
                <w:webHidden/>
              </w:rPr>
            </w:r>
            <w:r w:rsidR="001354FA">
              <w:rPr>
                <w:noProof/>
                <w:webHidden/>
              </w:rPr>
              <w:fldChar w:fldCharType="separate"/>
            </w:r>
            <w:r w:rsidR="001354FA">
              <w:rPr>
                <w:noProof/>
                <w:webHidden/>
              </w:rPr>
              <w:t>18</w:t>
            </w:r>
            <w:r w:rsidR="001354FA">
              <w:rPr>
                <w:noProof/>
                <w:webHidden/>
              </w:rPr>
              <w:fldChar w:fldCharType="end"/>
            </w:r>
          </w:hyperlink>
        </w:p>
        <w:p w14:paraId="17D110C1" w14:textId="716036B9" w:rsidR="001354FA" w:rsidRDefault="00811D19">
          <w:pPr>
            <w:pStyle w:val="TOC3"/>
            <w:tabs>
              <w:tab w:val="right" w:leader="dot" w:pos="9016"/>
            </w:tabs>
            <w:rPr>
              <w:rFonts w:asciiTheme="minorHAnsi" w:eastAsiaTheme="minorEastAsia" w:hAnsiTheme="minorHAnsi"/>
              <w:noProof/>
              <w:lang w:eastAsia="en-AU"/>
            </w:rPr>
          </w:pPr>
          <w:hyperlink w:anchor="_Toc525308012" w:history="1">
            <w:r w:rsidR="001354FA" w:rsidRPr="0031043D">
              <w:rPr>
                <w:rStyle w:val="Hyperlink"/>
                <w:noProof/>
              </w:rPr>
              <w:t>Aggregates, masonry and soil</w:t>
            </w:r>
            <w:r w:rsidR="001354FA">
              <w:rPr>
                <w:noProof/>
                <w:webHidden/>
              </w:rPr>
              <w:tab/>
            </w:r>
            <w:r w:rsidR="001354FA">
              <w:rPr>
                <w:noProof/>
                <w:webHidden/>
              </w:rPr>
              <w:fldChar w:fldCharType="begin"/>
            </w:r>
            <w:r w:rsidR="001354FA">
              <w:rPr>
                <w:noProof/>
                <w:webHidden/>
              </w:rPr>
              <w:instrText xml:space="preserve"> PAGEREF _Toc525308012 \h </w:instrText>
            </w:r>
            <w:r w:rsidR="001354FA">
              <w:rPr>
                <w:noProof/>
                <w:webHidden/>
              </w:rPr>
            </w:r>
            <w:r w:rsidR="001354FA">
              <w:rPr>
                <w:noProof/>
                <w:webHidden/>
              </w:rPr>
              <w:fldChar w:fldCharType="separate"/>
            </w:r>
            <w:r w:rsidR="001354FA">
              <w:rPr>
                <w:noProof/>
                <w:webHidden/>
              </w:rPr>
              <w:t>18</w:t>
            </w:r>
            <w:r w:rsidR="001354FA">
              <w:rPr>
                <w:noProof/>
                <w:webHidden/>
              </w:rPr>
              <w:fldChar w:fldCharType="end"/>
            </w:r>
          </w:hyperlink>
        </w:p>
        <w:p w14:paraId="4A7C847E" w14:textId="67138A67" w:rsidR="001354FA" w:rsidRDefault="00811D19">
          <w:pPr>
            <w:pStyle w:val="TOC3"/>
            <w:tabs>
              <w:tab w:val="right" w:leader="dot" w:pos="9016"/>
            </w:tabs>
            <w:rPr>
              <w:rFonts w:asciiTheme="minorHAnsi" w:eastAsiaTheme="minorEastAsia" w:hAnsiTheme="minorHAnsi"/>
              <w:noProof/>
              <w:lang w:eastAsia="en-AU"/>
            </w:rPr>
          </w:pPr>
          <w:hyperlink w:anchor="_Toc525308013" w:history="1">
            <w:r w:rsidR="001354FA" w:rsidRPr="0031043D">
              <w:rPr>
                <w:rStyle w:val="Hyperlink"/>
                <w:noProof/>
              </w:rPr>
              <w:t>Glass</w:t>
            </w:r>
            <w:r w:rsidR="001354FA">
              <w:rPr>
                <w:noProof/>
                <w:webHidden/>
              </w:rPr>
              <w:tab/>
            </w:r>
            <w:r w:rsidR="001354FA">
              <w:rPr>
                <w:noProof/>
                <w:webHidden/>
              </w:rPr>
              <w:fldChar w:fldCharType="begin"/>
            </w:r>
            <w:r w:rsidR="001354FA">
              <w:rPr>
                <w:noProof/>
                <w:webHidden/>
              </w:rPr>
              <w:instrText xml:space="preserve"> PAGEREF _Toc525308013 \h </w:instrText>
            </w:r>
            <w:r w:rsidR="001354FA">
              <w:rPr>
                <w:noProof/>
                <w:webHidden/>
              </w:rPr>
            </w:r>
            <w:r w:rsidR="001354FA">
              <w:rPr>
                <w:noProof/>
                <w:webHidden/>
              </w:rPr>
              <w:fldChar w:fldCharType="separate"/>
            </w:r>
            <w:r w:rsidR="001354FA">
              <w:rPr>
                <w:noProof/>
                <w:webHidden/>
              </w:rPr>
              <w:t>20</w:t>
            </w:r>
            <w:r w:rsidR="001354FA">
              <w:rPr>
                <w:noProof/>
                <w:webHidden/>
              </w:rPr>
              <w:fldChar w:fldCharType="end"/>
            </w:r>
          </w:hyperlink>
        </w:p>
        <w:p w14:paraId="25F3C173" w14:textId="24BB6FD1" w:rsidR="001354FA" w:rsidRDefault="00811D19">
          <w:pPr>
            <w:pStyle w:val="TOC3"/>
            <w:tabs>
              <w:tab w:val="right" w:leader="dot" w:pos="9016"/>
            </w:tabs>
            <w:rPr>
              <w:rFonts w:asciiTheme="minorHAnsi" w:eastAsiaTheme="minorEastAsia" w:hAnsiTheme="minorHAnsi"/>
              <w:noProof/>
              <w:lang w:eastAsia="en-AU"/>
            </w:rPr>
          </w:pPr>
          <w:hyperlink w:anchor="_Toc525308014" w:history="1">
            <w:r w:rsidR="001354FA" w:rsidRPr="0031043D">
              <w:rPr>
                <w:rStyle w:val="Hyperlink"/>
                <w:noProof/>
              </w:rPr>
              <w:t>Metals</w:t>
            </w:r>
            <w:r w:rsidR="001354FA">
              <w:rPr>
                <w:noProof/>
                <w:webHidden/>
              </w:rPr>
              <w:tab/>
            </w:r>
            <w:r w:rsidR="001354FA">
              <w:rPr>
                <w:noProof/>
                <w:webHidden/>
              </w:rPr>
              <w:fldChar w:fldCharType="begin"/>
            </w:r>
            <w:r w:rsidR="001354FA">
              <w:rPr>
                <w:noProof/>
                <w:webHidden/>
              </w:rPr>
              <w:instrText xml:space="preserve"> PAGEREF _Toc525308014 \h </w:instrText>
            </w:r>
            <w:r w:rsidR="001354FA">
              <w:rPr>
                <w:noProof/>
                <w:webHidden/>
              </w:rPr>
            </w:r>
            <w:r w:rsidR="001354FA">
              <w:rPr>
                <w:noProof/>
                <w:webHidden/>
              </w:rPr>
              <w:fldChar w:fldCharType="separate"/>
            </w:r>
            <w:r w:rsidR="001354FA">
              <w:rPr>
                <w:noProof/>
                <w:webHidden/>
              </w:rPr>
              <w:t>21</w:t>
            </w:r>
            <w:r w:rsidR="001354FA">
              <w:rPr>
                <w:noProof/>
                <w:webHidden/>
              </w:rPr>
              <w:fldChar w:fldCharType="end"/>
            </w:r>
          </w:hyperlink>
        </w:p>
        <w:p w14:paraId="13510CEE" w14:textId="240D4604" w:rsidR="001354FA" w:rsidRDefault="00811D19">
          <w:pPr>
            <w:pStyle w:val="TOC3"/>
            <w:tabs>
              <w:tab w:val="right" w:leader="dot" w:pos="9016"/>
            </w:tabs>
            <w:rPr>
              <w:rFonts w:asciiTheme="minorHAnsi" w:eastAsiaTheme="minorEastAsia" w:hAnsiTheme="minorHAnsi"/>
              <w:noProof/>
              <w:lang w:eastAsia="en-AU"/>
            </w:rPr>
          </w:pPr>
          <w:hyperlink w:anchor="_Toc525308015" w:history="1">
            <w:r w:rsidR="001354FA" w:rsidRPr="0031043D">
              <w:rPr>
                <w:rStyle w:val="Hyperlink"/>
                <w:noProof/>
              </w:rPr>
              <w:t>Organics</w:t>
            </w:r>
            <w:r w:rsidR="001354FA">
              <w:rPr>
                <w:noProof/>
                <w:webHidden/>
              </w:rPr>
              <w:tab/>
            </w:r>
            <w:r w:rsidR="001354FA">
              <w:rPr>
                <w:noProof/>
                <w:webHidden/>
              </w:rPr>
              <w:fldChar w:fldCharType="begin"/>
            </w:r>
            <w:r w:rsidR="001354FA">
              <w:rPr>
                <w:noProof/>
                <w:webHidden/>
              </w:rPr>
              <w:instrText xml:space="preserve"> PAGEREF _Toc525308015 \h </w:instrText>
            </w:r>
            <w:r w:rsidR="001354FA">
              <w:rPr>
                <w:noProof/>
                <w:webHidden/>
              </w:rPr>
            </w:r>
            <w:r w:rsidR="001354FA">
              <w:rPr>
                <w:noProof/>
                <w:webHidden/>
              </w:rPr>
              <w:fldChar w:fldCharType="separate"/>
            </w:r>
            <w:r w:rsidR="001354FA">
              <w:rPr>
                <w:noProof/>
                <w:webHidden/>
              </w:rPr>
              <w:t>22</w:t>
            </w:r>
            <w:r w:rsidR="001354FA">
              <w:rPr>
                <w:noProof/>
                <w:webHidden/>
              </w:rPr>
              <w:fldChar w:fldCharType="end"/>
            </w:r>
          </w:hyperlink>
        </w:p>
        <w:p w14:paraId="2769CA1F" w14:textId="62C1FBC1" w:rsidR="001354FA" w:rsidRDefault="00811D19">
          <w:pPr>
            <w:pStyle w:val="TOC3"/>
            <w:tabs>
              <w:tab w:val="right" w:leader="dot" w:pos="9016"/>
            </w:tabs>
            <w:rPr>
              <w:rFonts w:asciiTheme="minorHAnsi" w:eastAsiaTheme="minorEastAsia" w:hAnsiTheme="minorHAnsi"/>
              <w:noProof/>
              <w:lang w:eastAsia="en-AU"/>
            </w:rPr>
          </w:pPr>
          <w:hyperlink w:anchor="_Toc525308016" w:history="1">
            <w:r w:rsidR="001354FA" w:rsidRPr="0031043D">
              <w:rPr>
                <w:rStyle w:val="Hyperlink"/>
                <w:noProof/>
              </w:rPr>
              <w:t>Paper and cardboard</w:t>
            </w:r>
            <w:r w:rsidR="001354FA">
              <w:rPr>
                <w:noProof/>
                <w:webHidden/>
              </w:rPr>
              <w:tab/>
            </w:r>
            <w:r w:rsidR="001354FA">
              <w:rPr>
                <w:noProof/>
                <w:webHidden/>
              </w:rPr>
              <w:fldChar w:fldCharType="begin"/>
            </w:r>
            <w:r w:rsidR="001354FA">
              <w:rPr>
                <w:noProof/>
                <w:webHidden/>
              </w:rPr>
              <w:instrText xml:space="preserve"> PAGEREF _Toc525308016 \h </w:instrText>
            </w:r>
            <w:r w:rsidR="001354FA">
              <w:rPr>
                <w:noProof/>
                <w:webHidden/>
              </w:rPr>
            </w:r>
            <w:r w:rsidR="001354FA">
              <w:rPr>
                <w:noProof/>
                <w:webHidden/>
              </w:rPr>
              <w:fldChar w:fldCharType="separate"/>
            </w:r>
            <w:r w:rsidR="001354FA">
              <w:rPr>
                <w:noProof/>
                <w:webHidden/>
              </w:rPr>
              <w:t>24</w:t>
            </w:r>
            <w:r w:rsidR="001354FA">
              <w:rPr>
                <w:noProof/>
                <w:webHidden/>
              </w:rPr>
              <w:fldChar w:fldCharType="end"/>
            </w:r>
          </w:hyperlink>
        </w:p>
        <w:p w14:paraId="207BE1ED" w14:textId="1C4E196A" w:rsidR="001354FA" w:rsidRDefault="00811D19">
          <w:pPr>
            <w:pStyle w:val="TOC3"/>
            <w:tabs>
              <w:tab w:val="right" w:leader="dot" w:pos="9016"/>
            </w:tabs>
            <w:rPr>
              <w:rFonts w:asciiTheme="minorHAnsi" w:eastAsiaTheme="minorEastAsia" w:hAnsiTheme="minorHAnsi"/>
              <w:noProof/>
              <w:lang w:eastAsia="en-AU"/>
            </w:rPr>
          </w:pPr>
          <w:hyperlink w:anchor="_Toc525308017" w:history="1">
            <w:r w:rsidR="001354FA" w:rsidRPr="0031043D">
              <w:rPr>
                <w:rStyle w:val="Hyperlink"/>
                <w:noProof/>
              </w:rPr>
              <w:t>Plastics</w:t>
            </w:r>
            <w:r w:rsidR="001354FA">
              <w:rPr>
                <w:noProof/>
                <w:webHidden/>
              </w:rPr>
              <w:tab/>
            </w:r>
            <w:r w:rsidR="001354FA">
              <w:rPr>
                <w:noProof/>
                <w:webHidden/>
              </w:rPr>
              <w:fldChar w:fldCharType="begin"/>
            </w:r>
            <w:r w:rsidR="001354FA">
              <w:rPr>
                <w:noProof/>
                <w:webHidden/>
              </w:rPr>
              <w:instrText xml:space="preserve"> PAGEREF _Toc525308017 \h </w:instrText>
            </w:r>
            <w:r w:rsidR="001354FA">
              <w:rPr>
                <w:noProof/>
                <w:webHidden/>
              </w:rPr>
            </w:r>
            <w:r w:rsidR="001354FA">
              <w:rPr>
                <w:noProof/>
                <w:webHidden/>
              </w:rPr>
              <w:fldChar w:fldCharType="separate"/>
            </w:r>
            <w:r w:rsidR="001354FA">
              <w:rPr>
                <w:noProof/>
                <w:webHidden/>
              </w:rPr>
              <w:t>25</w:t>
            </w:r>
            <w:r w:rsidR="001354FA">
              <w:rPr>
                <w:noProof/>
                <w:webHidden/>
              </w:rPr>
              <w:fldChar w:fldCharType="end"/>
            </w:r>
          </w:hyperlink>
        </w:p>
        <w:p w14:paraId="4B9712B2" w14:textId="618E4F9B" w:rsidR="001354FA" w:rsidRDefault="00811D19">
          <w:pPr>
            <w:pStyle w:val="TOC3"/>
            <w:tabs>
              <w:tab w:val="right" w:leader="dot" w:pos="9016"/>
            </w:tabs>
            <w:rPr>
              <w:rFonts w:asciiTheme="minorHAnsi" w:eastAsiaTheme="minorEastAsia" w:hAnsiTheme="minorHAnsi"/>
              <w:noProof/>
              <w:lang w:eastAsia="en-AU"/>
            </w:rPr>
          </w:pPr>
          <w:hyperlink w:anchor="_Toc525308018" w:history="1">
            <w:r w:rsidR="001354FA" w:rsidRPr="0031043D">
              <w:rPr>
                <w:rStyle w:val="Hyperlink"/>
                <w:noProof/>
              </w:rPr>
              <w:t>Rubber</w:t>
            </w:r>
            <w:r w:rsidR="001354FA">
              <w:rPr>
                <w:noProof/>
                <w:webHidden/>
              </w:rPr>
              <w:tab/>
            </w:r>
            <w:r w:rsidR="001354FA">
              <w:rPr>
                <w:noProof/>
                <w:webHidden/>
              </w:rPr>
              <w:fldChar w:fldCharType="begin"/>
            </w:r>
            <w:r w:rsidR="001354FA">
              <w:rPr>
                <w:noProof/>
                <w:webHidden/>
              </w:rPr>
              <w:instrText xml:space="preserve"> PAGEREF _Toc525308018 \h </w:instrText>
            </w:r>
            <w:r w:rsidR="001354FA">
              <w:rPr>
                <w:noProof/>
                <w:webHidden/>
              </w:rPr>
            </w:r>
            <w:r w:rsidR="001354FA">
              <w:rPr>
                <w:noProof/>
                <w:webHidden/>
              </w:rPr>
              <w:fldChar w:fldCharType="separate"/>
            </w:r>
            <w:r w:rsidR="001354FA">
              <w:rPr>
                <w:noProof/>
                <w:webHidden/>
              </w:rPr>
              <w:t>27</w:t>
            </w:r>
            <w:r w:rsidR="001354FA">
              <w:rPr>
                <w:noProof/>
                <w:webHidden/>
              </w:rPr>
              <w:fldChar w:fldCharType="end"/>
            </w:r>
          </w:hyperlink>
        </w:p>
        <w:p w14:paraId="45516958" w14:textId="2FB8B54D" w:rsidR="007C2987" w:rsidRPr="002B0889" w:rsidRDefault="00116C6A" w:rsidP="002B0889">
          <w:r w:rsidRPr="002332DB">
            <w:rPr>
              <w:rFonts w:cs="Arial"/>
              <w:b/>
              <w:bCs/>
              <w:noProof/>
            </w:rPr>
            <w:fldChar w:fldCharType="end"/>
          </w:r>
        </w:p>
      </w:sdtContent>
    </w:sdt>
    <w:p w14:paraId="0C6FC9AA" w14:textId="77777777" w:rsidR="000109A9" w:rsidRPr="001354FA" w:rsidRDefault="000109A9" w:rsidP="001354FA">
      <w:pPr>
        <w:pStyle w:val="Heading2"/>
      </w:pPr>
      <w:r>
        <w:br w:type="page"/>
      </w:r>
    </w:p>
    <w:p w14:paraId="3AF78DF5" w14:textId="41E1BF2C" w:rsidR="00C64109" w:rsidRPr="00162021" w:rsidRDefault="00444198" w:rsidP="001354FA">
      <w:pPr>
        <w:pStyle w:val="Heading2"/>
      </w:pPr>
      <w:bookmarkStart w:id="0" w:name="_Toc525308001"/>
      <w:r w:rsidRPr="00162021">
        <w:lastRenderedPageBreak/>
        <w:t>Introduction</w:t>
      </w:r>
      <w:bookmarkEnd w:id="0"/>
      <w:r w:rsidRPr="00162021">
        <w:t xml:space="preserve"> </w:t>
      </w:r>
      <w:r w:rsidR="00A1313D" w:rsidRPr="00162021">
        <w:t xml:space="preserve"> </w:t>
      </w:r>
    </w:p>
    <w:p w14:paraId="3FBE403E" w14:textId="1BE9978D" w:rsidR="00116C6A" w:rsidRPr="00413913" w:rsidRDefault="00124BDC" w:rsidP="00162021">
      <w:r>
        <w:t>T</w:t>
      </w:r>
      <w:r w:rsidR="00444198" w:rsidRPr="00413913">
        <w:t xml:space="preserve">he Victorian Recycling Industry Annual Report </w:t>
      </w:r>
      <w:r w:rsidR="00F9306D">
        <w:t>(VRIAR</w:t>
      </w:r>
      <w:r w:rsidR="0022005B">
        <w:t xml:space="preserve">) </w:t>
      </w:r>
      <w:r w:rsidR="00444198" w:rsidRPr="00413913">
        <w:t xml:space="preserve">outlines </w:t>
      </w:r>
      <w:r w:rsidR="00A42C0F">
        <w:t xml:space="preserve">the amount of </w:t>
      </w:r>
      <w:r w:rsidR="00444198" w:rsidRPr="00413913">
        <w:t xml:space="preserve">waste </w:t>
      </w:r>
      <w:r w:rsidR="0022005B">
        <w:t>managed</w:t>
      </w:r>
      <w:r w:rsidR="00444198" w:rsidRPr="00413913">
        <w:t>, landfilled and recovered</w:t>
      </w:r>
      <w:r w:rsidR="00116C6A" w:rsidRPr="00413913">
        <w:t xml:space="preserve"> </w:t>
      </w:r>
      <w:r w:rsidR="00A42C0F">
        <w:t xml:space="preserve">in </w:t>
      </w:r>
      <w:r w:rsidR="00A42C0F" w:rsidRPr="00413913">
        <w:t>Victoria</w:t>
      </w:r>
      <w:r w:rsidR="00116C6A" w:rsidRPr="00413913">
        <w:t>.</w:t>
      </w:r>
      <w:r w:rsidR="00220C92" w:rsidRPr="00220C92">
        <w:t xml:space="preserve"> </w:t>
      </w:r>
      <w:r w:rsidR="00220C92" w:rsidRPr="00413913">
        <w:t xml:space="preserve">Sustainability Victoria </w:t>
      </w:r>
      <w:r w:rsidR="0022005B">
        <w:t xml:space="preserve">(SV) </w:t>
      </w:r>
      <w:r w:rsidR="00220C92" w:rsidRPr="00413913">
        <w:t>has</w:t>
      </w:r>
      <w:r w:rsidR="00220C92">
        <w:t xml:space="preserve"> collated this information through</w:t>
      </w:r>
      <w:r w:rsidR="00220C92" w:rsidRPr="00413913">
        <w:t xml:space="preserve"> survey</w:t>
      </w:r>
      <w:r w:rsidR="00220C92">
        <w:t>ing</w:t>
      </w:r>
      <w:r w:rsidR="00220C92" w:rsidRPr="00413913">
        <w:t xml:space="preserve"> Victorian waste reprocessors </w:t>
      </w:r>
      <w:r w:rsidR="00220C92">
        <w:t>s</w:t>
      </w:r>
      <w:r w:rsidR="00220C92" w:rsidRPr="00413913">
        <w:t xml:space="preserve">ince </w:t>
      </w:r>
      <w:r w:rsidR="00220C92">
        <w:t>1999</w:t>
      </w:r>
      <w:r w:rsidR="00220C92">
        <w:rPr>
          <w:rStyle w:val="FootnoteReference"/>
          <w:rFonts w:cs="Arial"/>
          <w:sz w:val="20"/>
          <w:szCs w:val="20"/>
        </w:rPr>
        <w:footnoteReference w:id="2"/>
      </w:r>
      <w:r w:rsidR="00220C92" w:rsidRPr="00413913">
        <w:t xml:space="preserve"> about the amount of material diverted from landfill (recovered)</w:t>
      </w:r>
      <w:r w:rsidR="00220C92">
        <w:t xml:space="preserve"> as well as using landfill data provided by the Environment Protection Authority </w:t>
      </w:r>
      <w:r w:rsidR="0022005B">
        <w:t xml:space="preserve">Victoria </w:t>
      </w:r>
      <w:r w:rsidR="00220C92">
        <w:t>(EPA).</w:t>
      </w:r>
    </w:p>
    <w:p w14:paraId="0CF55C2B" w14:textId="7BE50C23" w:rsidR="00124BDC" w:rsidRPr="00413913" w:rsidRDefault="00413913" w:rsidP="00162021">
      <w:r w:rsidRPr="00413913">
        <w:t>Historical figures have</w:t>
      </w:r>
      <w:r w:rsidR="00135368">
        <w:t xml:space="preserve"> </w:t>
      </w:r>
      <w:r w:rsidRPr="00413913">
        <w:t xml:space="preserve">been recalculated and updated using rebased </w:t>
      </w:r>
      <w:r w:rsidR="00D9463F">
        <w:t>Gross State Product (</w:t>
      </w:r>
      <w:r w:rsidRPr="00413913">
        <w:t>GSP</w:t>
      </w:r>
      <w:r w:rsidR="00D9463F">
        <w:t>)</w:t>
      </w:r>
      <w:r w:rsidRPr="00413913">
        <w:t xml:space="preserve"> and population figures sourced from the A</w:t>
      </w:r>
      <w:r w:rsidR="0022005B">
        <w:t>ustralian Bureau of Statistics (A</w:t>
      </w:r>
      <w:r w:rsidRPr="00413913">
        <w:t>BS</w:t>
      </w:r>
      <w:r w:rsidR="0022005B">
        <w:t>)</w:t>
      </w:r>
      <w:r w:rsidRPr="00413913">
        <w:t>.</w:t>
      </w:r>
      <w:r w:rsidR="00662E96" w:rsidRPr="00662E96">
        <w:t xml:space="preserve"> </w:t>
      </w:r>
      <w:r w:rsidR="00662E96">
        <w:t xml:space="preserve">The </w:t>
      </w:r>
      <w:r w:rsidR="00662E96" w:rsidRPr="000C4E6B">
        <w:t xml:space="preserve">survey methodology can be found in Appendix </w:t>
      </w:r>
      <w:r w:rsidR="00662E96">
        <w:t>B</w:t>
      </w:r>
      <w:r w:rsidR="00662E96" w:rsidRPr="000C4E6B">
        <w:t>.</w:t>
      </w:r>
      <w:r w:rsidR="00124BDC" w:rsidRPr="00124BDC">
        <w:t xml:space="preserve"> </w:t>
      </w:r>
      <w:r w:rsidR="00124BDC" w:rsidRPr="00413913">
        <w:t xml:space="preserve">For more information on specific materials see Appendix </w:t>
      </w:r>
      <w:r w:rsidR="00124BDC">
        <w:t>C.</w:t>
      </w:r>
    </w:p>
    <w:p w14:paraId="12A45416" w14:textId="1F36CD58" w:rsidR="00413913" w:rsidRPr="00413913" w:rsidRDefault="00413913" w:rsidP="00162021">
      <w:pPr>
        <w:pStyle w:val="Heading3"/>
      </w:pPr>
      <w:bookmarkStart w:id="1" w:name="_Toc525308002"/>
      <w:r w:rsidRPr="00413913">
        <w:t>Background</w:t>
      </w:r>
      <w:bookmarkEnd w:id="1"/>
      <w:r w:rsidRPr="00413913">
        <w:t xml:space="preserve"> </w:t>
      </w:r>
    </w:p>
    <w:p w14:paraId="3F480637" w14:textId="1A09E021" w:rsidR="007C2987" w:rsidRPr="00A1313D" w:rsidRDefault="007C2987" w:rsidP="00162021">
      <w:r w:rsidRPr="00A1313D">
        <w:t xml:space="preserve">Recycling and reprocessing are well-established activities in Victoria. The reprocessing industry recovers a wide range of recyclable material from the waste stream for reuse </w:t>
      </w:r>
      <w:r w:rsidR="0022005B">
        <w:t xml:space="preserve">or recycling </w:t>
      </w:r>
      <w:r w:rsidRPr="00A1313D">
        <w:t>such as metal</w:t>
      </w:r>
      <w:r w:rsidR="00B75C00">
        <w:t xml:space="preserve">, concrete, plastics, glass, </w:t>
      </w:r>
      <w:r w:rsidRPr="00A1313D">
        <w:t>compost</w:t>
      </w:r>
      <w:r w:rsidR="00B75C00">
        <w:t xml:space="preserve"> and energy</w:t>
      </w:r>
      <w:r w:rsidRPr="00A1313D">
        <w:t>. Materials recovered by the reprocessing industry are predominantly from within Victoria, with a small amount received from interstate. Although</w:t>
      </w:r>
      <w:r w:rsidR="00124BDC">
        <w:t xml:space="preserve"> </w:t>
      </w:r>
      <w:r w:rsidR="008D2967">
        <w:t>most</w:t>
      </w:r>
      <w:r w:rsidR="00124BDC">
        <w:t xml:space="preserve"> material recovered is reprocessed within </w:t>
      </w:r>
      <w:r w:rsidR="00105C0D">
        <w:t>Victoria</w:t>
      </w:r>
      <w:r w:rsidR="0022005B">
        <w:t>,</w:t>
      </w:r>
      <w:r w:rsidR="00105C0D">
        <w:t xml:space="preserve"> </w:t>
      </w:r>
      <w:r w:rsidR="00105C0D" w:rsidRPr="00A1313D">
        <w:t>some</w:t>
      </w:r>
      <w:r w:rsidRPr="00A1313D">
        <w:t xml:space="preserve"> waste material is exported intersta</w:t>
      </w:r>
      <w:r w:rsidR="00A1313D">
        <w:t>te or overseas for reprocessing.</w:t>
      </w:r>
    </w:p>
    <w:p w14:paraId="5D77853A" w14:textId="413E1D4D" w:rsidR="007C2987" w:rsidRPr="00A1313D" w:rsidRDefault="007C2987" w:rsidP="00B300C1">
      <w:pPr>
        <w:spacing w:after="0"/>
      </w:pPr>
      <w:r w:rsidRPr="00A1313D">
        <w:t xml:space="preserve">Material for reprocessing is sourced from three sectors: </w:t>
      </w:r>
      <w:r w:rsidR="00B75C00" w:rsidRPr="00A1313D">
        <w:t>Municipal</w:t>
      </w:r>
      <w:r w:rsidR="00220C92">
        <w:t>,</w:t>
      </w:r>
      <w:r w:rsidR="00220C92" w:rsidRPr="00A1313D">
        <w:t xml:space="preserve"> ‘Commercial</w:t>
      </w:r>
      <w:r w:rsidR="00B75C00">
        <w:t xml:space="preserve"> &amp; Industrial’ (C&amp;I) and </w:t>
      </w:r>
      <w:r w:rsidRPr="00A1313D">
        <w:t>‘Co</w:t>
      </w:r>
      <w:r w:rsidR="00B75C00">
        <w:t>nstruction &amp; Demolition’ (C&amp;D)</w:t>
      </w:r>
      <w:r w:rsidRPr="00A1313D">
        <w:t>. The primary reprocessing industries in Victoria are:</w:t>
      </w:r>
    </w:p>
    <w:p w14:paraId="4D3EE9D8" w14:textId="13C11B0A" w:rsidR="007C2987" w:rsidRPr="00A1313D" w:rsidRDefault="00F31FE1" w:rsidP="00D01076">
      <w:pPr>
        <w:pStyle w:val="Style1"/>
      </w:pPr>
      <w:r>
        <w:t>S</w:t>
      </w:r>
      <w:r w:rsidR="007C2987" w:rsidRPr="00A1313D">
        <w:t>melters and foundries of steel, aluminium and other non-ferrous metal</w:t>
      </w:r>
    </w:p>
    <w:p w14:paraId="019DF344" w14:textId="209A43CD" w:rsidR="007C2987" w:rsidRPr="00A1313D" w:rsidRDefault="00F31FE1" w:rsidP="00D01076">
      <w:pPr>
        <w:pStyle w:val="Style1"/>
      </w:pPr>
      <w:r>
        <w:t>C</w:t>
      </w:r>
      <w:r w:rsidR="007C2987" w:rsidRPr="00A1313D">
        <w:t>rushing plants and auxiliary screening of concrete, brick, asphalt and related materials</w:t>
      </w:r>
    </w:p>
    <w:p w14:paraId="238A2B7B" w14:textId="0C1185C3" w:rsidR="007C2987" w:rsidRPr="00A1313D" w:rsidRDefault="00F31FE1" w:rsidP="00D01076">
      <w:pPr>
        <w:pStyle w:val="Style1"/>
      </w:pPr>
      <w:r>
        <w:t>P</w:t>
      </w:r>
      <w:r w:rsidR="007C2987" w:rsidRPr="00A1313D">
        <w:t>aper / cardboard and de-</w:t>
      </w:r>
      <w:r w:rsidR="00A1313D">
        <w:t>inking pulp mills</w:t>
      </w:r>
    </w:p>
    <w:p w14:paraId="06B2D4DF" w14:textId="6EBC8ECE" w:rsidR="007C2987" w:rsidRPr="00A1313D" w:rsidRDefault="00F31FE1" w:rsidP="00D01076">
      <w:pPr>
        <w:pStyle w:val="Style1"/>
      </w:pPr>
      <w:r>
        <w:t>C</w:t>
      </w:r>
      <w:r w:rsidR="007C2987" w:rsidRPr="00A1313D">
        <w:t>omposting facilities</w:t>
      </w:r>
    </w:p>
    <w:p w14:paraId="159D1D0F" w14:textId="65445822" w:rsidR="007C2987" w:rsidRPr="00A1313D" w:rsidRDefault="00F31FE1" w:rsidP="00D01076">
      <w:pPr>
        <w:pStyle w:val="Style1"/>
      </w:pPr>
      <w:r>
        <w:t>G</w:t>
      </w:r>
      <w:r w:rsidR="007C2987" w:rsidRPr="00A1313D">
        <w:t>lass pr</w:t>
      </w:r>
      <w:r w:rsidR="00A1313D">
        <w:t>oduct manufacturers</w:t>
      </w:r>
    </w:p>
    <w:p w14:paraId="47708075" w14:textId="763E64B4" w:rsidR="007C2987" w:rsidRPr="00A1313D" w:rsidRDefault="00F31FE1" w:rsidP="00D01076">
      <w:pPr>
        <w:pStyle w:val="Style1"/>
      </w:pPr>
      <w:r>
        <w:t>R</w:t>
      </w:r>
      <w:r w:rsidR="007C2987" w:rsidRPr="00A1313D">
        <w:t xml:space="preserve">ubber product manufacturers </w:t>
      </w:r>
    </w:p>
    <w:p w14:paraId="41FCECF2" w14:textId="31B027A2" w:rsidR="007C2987" w:rsidRPr="00A1313D" w:rsidRDefault="00F31FE1" w:rsidP="00D01076">
      <w:pPr>
        <w:pStyle w:val="Style1"/>
      </w:pPr>
      <w:r>
        <w:t>P</w:t>
      </w:r>
      <w:r w:rsidR="007C2987" w:rsidRPr="00A1313D">
        <w:t>lastics reprocessors.</w:t>
      </w:r>
    </w:p>
    <w:p w14:paraId="1F1AD961" w14:textId="464DDFEE" w:rsidR="007C2987" w:rsidRPr="00B300C1" w:rsidRDefault="007C2987" w:rsidP="00B300C1">
      <w:pPr>
        <w:spacing w:after="0"/>
      </w:pPr>
      <w:r w:rsidRPr="00A1313D">
        <w:t>These and other reprocessing operations make a significant contribution to the Victorian economy in employment and investment, and generate substantial cost savings in the production of more affordable (but similarly</w:t>
      </w:r>
      <w:r w:rsidR="00A1313D">
        <w:t xml:space="preserve"> effective) recycled materials</w:t>
      </w:r>
      <w:r w:rsidR="00A1313D" w:rsidRPr="00B300C1">
        <w:t>. T</w:t>
      </w:r>
      <w:r w:rsidRPr="00B300C1">
        <w:t xml:space="preserve">he </w:t>
      </w:r>
      <w:hyperlink r:id="rId12" w:history="1">
        <w:r w:rsidR="00093DFA" w:rsidRPr="00E339DB">
          <w:rPr>
            <w:rStyle w:val="Hyperlink"/>
            <w:rFonts w:cs="Arial"/>
          </w:rPr>
          <w:t>environmental benefits</w:t>
        </w:r>
      </w:hyperlink>
      <w:r w:rsidR="00093DFA" w:rsidRPr="00B300C1">
        <w:t xml:space="preserve"> </w:t>
      </w:r>
      <w:r w:rsidRPr="00B300C1">
        <w:t>of reprocessing materials are:</w:t>
      </w:r>
    </w:p>
    <w:p w14:paraId="6412336E" w14:textId="27E36FFA" w:rsidR="007C2987" w:rsidRPr="00A1313D" w:rsidRDefault="00F31FE1" w:rsidP="00D01076">
      <w:pPr>
        <w:pStyle w:val="Style1"/>
      </w:pPr>
      <w:r>
        <w:t>R</w:t>
      </w:r>
      <w:r w:rsidR="007C2987" w:rsidRPr="00A1313D">
        <w:t>educed greenhouse gases (methane emissions) from landfill and energy-intensive primary production processes</w:t>
      </w:r>
    </w:p>
    <w:p w14:paraId="294BF0F5" w14:textId="05B1D523" w:rsidR="007C2987" w:rsidRPr="00A1313D" w:rsidRDefault="00F31FE1" w:rsidP="00D01076">
      <w:pPr>
        <w:pStyle w:val="Style1"/>
      </w:pPr>
      <w:r>
        <w:t>S</w:t>
      </w:r>
      <w:r w:rsidR="007C2987" w:rsidRPr="00A1313D">
        <w:t>avings in water and electricity in the production of metal, concrete, paper and glass by using recycled feedstock</w:t>
      </w:r>
    </w:p>
    <w:p w14:paraId="6167B35B" w14:textId="1E5B2BF8" w:rsidR="007C2987" w:rsidRPr="00A1313D" w:rsidRDefault="00F31FE1" w:rsidP="00D01076">
      <w:pPr>
        <w:pStyle w:val="Style1"/>
      </w:pPr>
      <w:r>
        <w:t>S</w:t>
      </w:r>
      <w:r w:rsidR="007C2987" w:rsidRPr="00A1313D">
        <w:t>avings of raw materials, for example mineral ores used in virgin metal production and timber and oil used in paper production</w:t>
      </w:r>
    </w:p>
    <w:p w14:paraId="6258876B" w14:textId="762A91AA" w:rsidR="007C2987" w:rsidRPr="00A1313D" w:rsidRDefault="00F31FE1" w:rsidP="00D01076">
      <w:pPr>
        <w:pStyle w:val="Style1"/>
      </w:pPr>
      <w:r>
        <w:t>R</w:t>
      </w:r>
      <w:r w:rsidR="007C2987" w:rsidRPr="00A1313D">
        <w:t xml:space="preserve">educed groundwater and soil contamination from landfill, and the </w:t>
      </w:r>
      <w:r w:rsidR="007C2987" w:rsidRPr="00093DFA">
        <w:t xml:space="preserve">preservation of landfill </w:t>
      </w:r>
      <w:r w:rsidR="007C2987" w:rsidRPr="00093DFA">
        <w:lastRenderedPageBreak/>
        <w:t>space</w:t>
      </w:r>
      <w:r w:rsidR="007C2987" w:rsidRPr="00A1313D">
        <w:t>.</w:t>
      </w:r>
    </w:p>
    <w:p w14:paraId="41DACDAF" w14:textId="77160C8A" w:rsidR="00C64109" w:rsidRPr="00413913" w:rsidRDefault="00C64109" w:rsidP="00162021">
      <w:pPr>
        <w:pStyle w:val="Heading3"/>
      </w:pPr>
      <w:bookmarkStart w:id="2" w:name="_Toc525308003"/>
      <w:r w:rsidRPr="00413913">
        <w:t xml:space="preserve">Key </w:t>
      </w:r>
      <w:r w:rsidR="00C86975">
        <w:t>findings</w:t>
      </w:r>
      <w:r w:rsidRPr="00413913">
        <w:t xml:space="preserve"> for 201</w:t>
      </w:r>
      <w:r w:rsidR="003B6E20">
        <w:t>6</w:t>
      </w:r>
      <w:r w:rsidRPr="00413913">
        <w:t>-1</w:t>
      </w:r>
      <w:r w:rsidR="003B6E20">
        <w:t>7</w:t>
      </w:r>
      <w:bookmarkEnd w:id="2"/>
      <w:r w:rsidRPr="00413913">
        <w:t xml:space="preserve"> </w:t>
      </w:r>
    </w:p>
    <w:p w14:paraId="2F2BC479" w14:textId="3AB632ED" w:rsidR="00413913" w:rsidRDefault="00413913" w:rsidP="00162021">
      <w:r>
        <w:t>In 201</w:t>
      </w:r>
      <w:r w:rsidR="003B6E20">
        <w:t>6</w:t>
      </w:r>
      <w:r>
        <w:t>-1</w:t>
      </w:r>
      <w:r w:rsidR="003B6E20">
        <w:t>7</w:t>
      </w:r>
      <w:r>
        <w:t>:</w:t>
      </w:r>
    </w:p>
    <w:p w14:paraId="3853E611" w14:textId="3C4317A9" w:rsidR="00A1313D" w:rsidRPr="00A1313D" w:rsidRDefault="00A1313D" w:rsidP="00437714">
      <w:pPr>
        <w:spacing w:after="60"/>
      </w:pPr>
      <w:r>
        <w:t>12.</w:t>
      </w:r>
      <w:r w:rsidR="005136B8">
        <w:t>87</w:t>
      </w:r>
      <w:r>
        <w:t xml:space="preserve"> million</w:t>
      </w:r>
      <w:r w:rsidRPr="00A1313D">
        <w:t xml:space="preserve"> tonnes of waste </w:t>
      </w:r>
      <w:r w:rsidR="00413913">
        <w:t xml:space="preserve">was </w:t>
      </w:r>
      <w:r w:rsidR="003A091E">
        <w:t>manag</w:t>
      </w:r>
      <w:r w:rsidR="003A091E" w:rsidRPr="00A1313D">
        <w:t xml:space="preserve">ed </w:t>
      </w:r>
      <w:r w:rsidRPr="00A1313D">
        <w:t>by Victoria</w:t>
      </w:r>
      <w:r w:rsidR="003A091E">
        <w:t>’s waste and resource recovery system</w:t>
      </w:r>
      <w:r w:rsidR="00512079">
        <w:t xml:space="preserve"> and of this:</w:t>
      </w:r>
    </w:p>
    <w:p w14:paraId="05ADE5DB" w14:textId="5B0E4E20" w:rsidR="00A1313D" w:rsidRPr="00A1313D" w:rsidRDefault="00512079" w:rsidP="00D01076">
      <w:pPr>
        <w:pStyle w:val="Style1"/>
      </w:pPr>
      <w:r>
        <w:t>4.</w:t>
      </w:r>
      <w:r w:rsidR="005136B8">
        <w:t>25</w:t>
      </w:r>
      <w:r>
        <w:t xml:space="preserve"> million</w:t>
      </w:r>
      <w:r w:rsidR="00A1313D" w:rsidRPr="00A1313D">
        <w:t xml:space="preserve"> tonnes </w:t>
      </w:r>
      <w:r w:rsidR="00556D02">
        <w:t xml:space="preserve">were </w:t>
      </w:r>
      <w:r w:rsidR="00A1313D" w:rsidRPr="00A1313D">
        <w:t>sent to landfill</w:t>
      </w:r>
    </w:p>
    <w:p w14:paraId="18283679" w14:textId="4219DF39" w:rsidR="00A1313D" w:rsidRPr="00A1313D" w:rsidRDefault="00512079" w:rsidP="00D01076">
      <w:pPr>
        <w:pStyle w:val="Style1"/>
      </w:pPr>
      <w:r>
        <w:t>8.</w:t>
      </w:r>
      <w:r w:rsidR="005136B8">
        <w:t>62</w:t>
      </w:r>
      <w:r>
        <w:t xml:space="preserve"> million</w:t>
      </w:r>
      <w:r w:rsidR="00A1313D" w:rsidRPr="00A1313D">
        <w:t xml:space="preserve"> tonnes </w:t>
      </w:r>
      <w:r w:rsidR="00556D02">
        <w:t xml:space="preserve">were </w:t>
      </w:r>
      <w:r w:rsidR="00A1313D" w:rsidRPr="00A1313D">
        <w:t xml:space="preserve">diverted from landfill for </w:t>
      </w:r>
      <w:r w:rsidR="008475F6">
        <w:t xml:space="preserve">reuse or </w:t>
      </w:r>
      <w:r w:rsidR="00A1313D" w:rsidRPr="00A1313D">
        <w:t>recycling</w:t>
      </w:r>
      <w:r w:rsidR="00723CC8" w:rsidRPr="00723CC8">
        <w:t xml:space="preserve"> </w:t>
      </w:r>
      <w:r w:rsidR="005136B8">
        <w:t>representing</w:t>
      </w:r>
      <w:r w:rsidR="00723CC8" w:rsidRPr="00A1313D">
        <w:t xml:space="preserve"> a </w:t>
      </w:r>
      <w:r w:rsidR="00723CC8">
        <w:t>67</w:t>
      </w:r>
      <w:r w:rsidR="00723CC8" w:rsidRPr="00A1313D">
        <w:t>%</w:t>
      </w:r>
      <w:r w:rsidR="00723CC8">
        <w:t xml:space="preserve"> </w:t>
      </w:r>
      <w:r w:rsidR="008475F6">
        <w:t xml:space="preserve">diversion </w:t>
      </w:r>
      <w:r w:rsidR="00437714">
        <w:t>rate.</w:t>
      </w:r>
    </w:p>
    <w:p w14:paraId="0C5BE4CF" w14:textId="2F2BD571" w:rsidR="007C2987" w:rsidRPr="00A1313D" w:rsidRDefault="007C2987" w:rsidP="00437714">
      <w:pPr>
        <w:spacing w:before="120" w:after="60"/>
      </w:pPr>
      <w:r w:rsidRPr="00A1313D">
        <w:t>Of the 8.</w:t>
      </w:r>
      <w:r w:rsidR="005136B8">
        <w:t>62</w:t>
      </w:r>
      <w:r w:rsidRPr="00A1313D">
        <w:t xml:space="preserve"> million tonnes of material </w:t>
      </w:r>
      <w:r w:rsidR="00A1313D" w:rsidRPr="00A1313D">
        <w:t>diverted</w:t>
      </w:r>
      <w:r w:rsidRPr="00A1313D">
        <w:t>:</w:t>
      </w:r>
    </w:p>
    <w:p w14:paraId="3A5816FF" w14:textId="0C4B34A4" w:rsidR="00A1313D" w:rsidRPr="00A1313D" w:rsidRDefault="00C959E4" w:rsidP="00D01076">
      <w:pPr>
        <w:pStyle w:val="Style1"/>
      </w:pPr>
      <w:r>
        <w:t>7</w:t>
      </w:r>
      <w:r w:rsidR="00351ED7">
        <w:t>.</w:t>
      </w:r>
      <w:r w:rsidR="005136B8">
        <w:t>50</w:t>
      </w:r>
      <w:r w:rsidR="00437714">
        <w:t xml:space="preserve"> million tonnes (</w:t>
      </w:r>
      <w:r w:rsidR="00A1313D" w:rsidRPr="00A1313D">
        <w:t>8</w:t>
      </w:r>
      <w:r w:rsidR="0094607E">
        <w:t>6</w:t>
      </w:r>
      <w:r w:rsidR="00A1313D" w:rsidRPr="00A1313D">
        <w:t>%</w:t>
      </w:r>
      <w:r w:rsidR="00437714">
        <w:t>)</w:t>
      </w:r>
      <w:r w:rsidR="00A1313D" w:rsidRPr="00A1313D">
        <w:t xml:space="preserve"> of the material remained in Victoria</w:t>
      </w:r>
    </w:p>
    <w:p w14:paraId="51707BA1" w14:textId="1A01E3A5" w:rsidR="00A1313D" w:rsidRPr="00A1313D" w:rsidRDefault="008776BA" w:rsidP="00D01076">
      <w:pPr>
        <w:pStyle w:val="Style1"/>
      </w:pPr>
      <w:r>
        <w:t>1.</w:t>
      </w:r>
      <w:r w:rsidR="0094607E">
        <w:t>21</w:t>
      </w:r>
      <w:r>
        <w:t xml:space="preserve"> million tonnes </w:t>
      </w:r>
      <w:r w:rsidR="00556D02">
        <w:t>(</w:t>
      </w:r>
      <w:r w:rsidR="008917B4">
        <w:t>1</w:t>
      </w:r>
      <w:r w:rsidR="0094607E">
        <w:t>4</w:t>
      </w:r>
      <w:r w:rsidR="00A1313D" w:rsidRPr="00A1313D">
        <w:t>%</w:t>
      </w:r>
      <w:r w:rsidR="00556D02">
        <w:t>)</w:t>
      </w:r>
      <w:r w:rsidR="00A1313D" w:rsidRPr="00A1313D">
        <w:t xml:space="preserve"> of the material was exported overseas</w:t>
      </w:r>
    </w:p>
    <w:p w14:paraId="70975D59" w14:textId="08DAFCF9" w:rsidR="00A1313D" w:rsidRPr="008917B4" w:rsidRDefault="00F31FE1" w:rsidP="00D01076">
      <w:pPr>
        <w:pStyle w:val="Style1"/>
      </w:pPr>
      <w:r>
        <w:t>No</w:t>
      </w:r>
      <w:r w:rsidR="008917B4" w:rsidRPr="00A1313D">
        <w:t xml:space="preserve"> material was </w:t>
      </w:r>
      <w:r w:rsidR="008917B4">
        <w:t xml:space="preserve">reported to have been </w:t>
      </w:r>
      <w:r w:rsidR="007C2987" w:rsidRPr="00A1313D">
        <w:t>sent interstate</w:t>
      </w:r>
      <w:r w:rsidR="00723CC8">
        <w:t>.</w:t>
      </w:r>
    </w:p>
    <w:p w14:paraId="0E7BBB00" w14:textId="224D4950" w:rsidR="008776BA" w:rsidRPr="00994CE8" w:rsidRDefault="008776BA" w:rsidP="00437714">
      <w:pPr>
        <w:spacing w:before="120" w:after="60"/>
      </w:pPr>
      <w:r>
        <w:t xml:space="preserve">Other </w:t>
      </w:r>
      <w:r w:rsidR="00C86975">
        <w:t>findings</w:t>
      </w:r>
      <w:r>
        <w:t>:</w:t>
      </w:r>
    </w:p>
    <w:p w14:paraId="55A33658" w14:textId="3B18C047" w:rsidR="00D328B3" w:rsidRDefault="00D328B3" w:rsidP="00D01076">
      <w:pPr>
        <w:pStyle w:val="Style1"/>
      </w:pPr>
      <w:r>
        <w:t>Waste per capita remained at 2.1 tonnes</w:t>
      </w:r>
    </w:p>
    <w:p w14:paraId="74D86AC6" w14:textId="7F09BC30" w:rsidR="008332A2" w:rsidRDefault="008332A2" w:rsidP="00D01076">
      <w:pPr>
        <w:pStyle w:val="Style1"/>
      </w:pPr>
      <w:r w:rsidRPr="00512079">
        <w:t xml:space="preserve">The amount of material </w:t>
      </w:r>
      <w:r w:rsidRPr="005A0D35">
        <w:t xml:space="preserve">recovered was </w:t>
      </w:r>
      <w:r w:rsidR="007E4B54" w:rsidRPr="005A0D35">
        <w:t>1</w:t>
      </w:r>
      <w:r w:rsidR="005136B8" w:rsidRPr="005A0D35">
        <w:t>.</w:t>
      </w:r>
      <w:r w:rsidR="00B8311D" w:rsidRPr="005A0D35">
        <w:t>6</w:t>
      </w:r>
      <w:r w:rsidRPr="005A0D35">
        <w:t>% more</w:t>
      </w:r>
      <w:r w:rsidRPr="00512079">
        <w:t xml:space="preserve"> than </w:t>
      </w:r>
      <w:r w:rsidR="00556D02">
        <w:t xml:space="preserve">in </w:t>
      </w:r>
      <w:r w:rsidRPr="00512079">
        <w:t>the previous year</w:t>
      </w:r>
    </w:p>
    <w:p w14:paraId="586C2BF5" w14:textId="7D1450A9" w:rsidR="00084FCD" w:rsidRDefault="00A555E7" w:rsidP="00D01076">
      <w:pPr>
        <w:pStyle w:val="Style1"/>
        <w:rPr>
          <w:lang w:val="en" w:eastAsia="en-AU"/>
        </w:rPr>
      </w:pPr>
      <w:r>
        <w:rPr>
          <w:lang w:val="en" w:eastAsia="en-AU"/>
        </w:rPr>
        <w:t>The amount of metals recovered reached 1.7 million tonnes. This is an increase of 19% from 2015-16 and the highest amount of metal recovered in Vi</w:t>
      </w:r>
      <w:r w:rsidR="00437714">
        <w:rPr>
          <w:lang w:val="en" w:eastAsia="en-AU"/>
        </w:rPr>
        <w:t>ctoria since collection started</w:t>
      </w:r>
    </w:p>
    <w:p w14:paraId="32E963EB" w14:textId="2DEE1D2F" w:rsidR="00112A53" w:rsidRPr="00112A53" w:rsidRDefault="00112A53" w:rsidP="00D01076">
      <w:pPr>
        <w:pStyle w:val="Style1"/>
      </w:pPr>
      <w:r>
        <w:rPr>
          <w:lang w:val="en" w:eastAsia="en-AU"/>
        </w:rPr>
        <w:t>T</w:t>
      </w:r>
      <w:r w:rsidRPr="00322921">
        <w:rPr>
          <w:lang w:val="en" w:eastAsia="en-AU"/>
        </w:rPr>
        <w:t xml:space="preserve">he amount of </w:t>
      </w:r>
      <w:r w:rsidR="00201D47">
        <w:rPr>
          <w:lang w:val="en" w:eastAsia="en-AU"/>
        </w:rPr>
        <w:t>r</w:t>
      </w:r>
      <w:r w:rsidR="00201D47" w:rsidRPr="00322921">
        <w:rPr>
          <w:lang w:val="en" w:eastAsia="en-AU"/>
        </w:rPr>
        <w:t xml:space="preserve">ecovered </w:t>
      </w:r>
      <w:r w:rsidRPr="00322921">
        <w:rPr>
          <w:lang w:val="en" w:eastAsia="en-AU"/>
        </w:rPr>
        <w:t xml:space="preserve">glass </w:t>
      </w:r>
      <w:r w:rsidR="00201D47">
        <w:rPr>
          <w:lang w:val="en" w:eastAsia="en-AU"/>
        </w:rPr>
        <w:t xml:space="preserve">decreased by </w:t>
      </w:r>
      <w:r w:rsidR="00A555E7">
        <w:rPr>
          <w:lang w:val="en" w:eastAsia="en-AU"/>
        </w:rPr>
        <w:t>21</w:t>
      </w:r>
      <w:r w:rsidR="00201D47">
        <w:rPr>
          <w:lang w:val="en" w:eastAsia="en-AU"/>
        </w:rPr>
        <w:t>% to</w:t>
      </w:r>
      <w:r w:rsidRPr="00322921">
        <w:rPr>
          <w:lang w:val="en" w:eastAsia="en-AU"/>
        </w:rPr>
        <w:t xml:space="preserve"> </w:t>
      </w:r>
      <w:r w:rsidRPr="00112A53">
        <w:rPr>
          <w:bCs/>
          <w:lang w:val="en" w:eastAsia="en-AU"/>
        </w:rPr>
        <w:t>1</w:t>
      </w:r>
      <w:r w:rsidR="00A555E7">
        <w:rPr>
          <w:bCs/>
          <w:lang w:val="en" w:eastAsia="en-AU"/>
        </w:rPr>
        <w:t>37</w:t>
      </w:r>
      <w:r w:rsidRPr="00112A53">
        <w:rPr>
          <w:bCs/>
          <w:lang w:val="en" w:eastAsia="en-AU"/>
        </w:rPr>
        <w:t>,000 tonnes</w:t>
      </w:r>
      <w:r>
        <w:rPr>
          <w:bCs/>
          <w:lang w:val="en" w:eastAsia="en-AU"/>
        </w:rPr>
        <w:t xml:space="preserve"> </w:t>
      </w:r>
    </w:p>
    <w:p w14:paraId="5910D2AD" w14:textId="0DE4FF37" w:rsidR="00112A53" w:rsidRPr="00112A53" w:rsidRDefault="00112A53" w:rsidP="00D01076">
      <w:pPr>
        <w:pStyle w:val="Style1"/>
      </w:pPr>
      <w:r>
        <w:rPr>
          <w:lang w:eastAsia="en-AU"/>
        </w:rPr>
        <w:t>T</w:t>
      </w:r>
      <w:r w:rsidRPr="00322921">
        <w:rPr>
          <w:lang w:val="en" w:eastAsia="en-AU"/>
        </w:rPr>
        <w:t xml:space="preserve">he amount of plastics recovered was </w:t>
      </w:r>
      <w:r w:rsidRPr="00112A53">
        <w:rPr>
          <w:bCs/>
          <w:lang w:val="en" w:eastAsia="en-AU"/>
        </w:rPr>
        <w:t>1</w:t>
      </w:r>
      <w:r w:rsidR="00A555E7">
        <w:rPr>
          <w:bCs/>
          <w:lang w:val="en" w:eastAsia="en-AU"/>
        </w:rPr>
        <w:t>31</w:t>
      </w:r>
      <w:r w:rsidRPr="00112A53">
        <w:rPr>
          <w:bCs/>
          <w:lang w:val="en" w:eastAsia="en-AU"/>
        </w:rPr>
        <w:t>,000 tonnes</w:t>
      </w:r>
      <w:r w:rsidRPr="00322921">
        <w:rPr>
          <w:b/>
          <w:bCs/>
          <w:lang w:val="en" w:eastAsia="en-AU"/>
        </w:rPr>
        <w:t xml:space="preserve"> </w:t>
      </w:r>
      <w:r>
        <w:rPr>
          <w:bCs/>
          <w:lang w:val="en" w:eastAsia="en-AU"/>
        </w:rPr>
        <w:t>or</w:t>
      </w:r>
      <w:r w:rsidRPr="00322921">
        <w:rPr>
          <w:b/>
          <w:bCs/>
          <w:lang w:val="en" w:eastAsia="en-AU"/>
        </w:rPr>
        <w:t xml:space="preserve"> </w:t>
      </w:r>
      <w:r w:rsidR="00A555E7">
        <w:rPr>
          <w:lang w:val="en" w:eastAsia="en-AU"/>
        </w:rPr>
        <w:t>12</w:t>
      </w:r>
      <w:r w:rsidRPr="00322921">
        <w:rPr>
          <w:lang w:val="en" w:eastAsia="en-AU"/>
        </w:rPr>
        <w:t>%</w:t>
      </w:r>
      <w:r>
        <w:rPr>
          <w:lang w:val="en" w:eastAsia="en-AU"/>
        </w:rPr>
        <w:t xml:space="preserve"> less than in</w:t>
      </w:r>
      <w:r w:rsidRPr="00322921">
        <w:rPr>
          <w:lang w:val="en" w:eastAsia="en-AU"/>
        </w:rPr>
        <w:t xml:space="preserve"> 201</w:t>
      </w:r>
      <w:r w:rsidR="00A555E7">
        <w:rPr>
          <w:lang w:val="en" w:eastAsia="en-AU"/>
        </w:rPr>
        <w:t>5</w:t>
      </w:r>
      <w:r>
        <w:rPr>
          <w:lang w:val="en" w:eastAsia="en-AU"/>
        </w:rPr>
        <w:t>-1</w:t>
      </w:r>
      <w:r w:rsidR="00437714">
        <w:rPr>
          <w:lang w:val="en" w:eastAsia="en-AU"/>
        </w:rPr>
        <w:t>6</w:t>
      </w:r>
    </w:p>
    <w:p w14:paraId="6D4E2157" w14:textId="06F17DE1" w:rsidR="00112A53" w:rsidRPr="00201D47" w:rsidRDefault="00112A53" w:rsidP="00D01076">
      <w:pPr>
        <w:pStyle w:val="Style1"/>
        <w:rPr>
          <w:lang w:val="en" w:eastAsia="en-AU"/>
        </w:rPr>
      </w:pPr>
      <w:r>
        <w:rPr>
          <w:lang w:val="en" w:eastAsia="en-AU"/>
        </w:rPr>
        <w:t>T</w:t>
      </w:r>
      <w:r w:rsidRPr="00112A53">
        <w:rPr>
          <w:lang w:val="en" w:eastAsia="en-AU"/>
        </w:rPr>
        <w:t xml:space="preserve">he amount of rubber recovered for reprocessing was </w:t>
      </w:r>
      <w:r w:rsidR="00A555E7">
        <w:rPr>
          <w:bCs/>
          <w:lang w:val="en" w:eastAsia="en-AU"/>
        </w:rPr>
        <w:t>41</w:t>
      </w:r>
      <w:r w:rsidRPr="00112A53">
        <w:rPr>
          <w:bCs/>
          <w:lang w:val="en" w:eastAsia="en-AU"/>
        </w:rPr>
        <w:t xml:space="preserve">,000 </w:t>
      </w:r>
      <w:r w:rsidRPr="00112A53">
        <w:rPr>
          <w:bCs/>
          <w:lang w:eastAsia="en-AU"/>
        </w:rPr>
        <w:t>tonnes</w:t>
      </w:r>
      <w:r>
        <w:rPr>
          <w:bCs/>
          <w:lang w:eastAsia="en-AU"/>
        </w:rPr>
        <w:t>. This represents a</w:t>
      </w:r>
      <w:r w:rsidRPr="00112A53">
        <w:rPr>
          <w:bCs/>
          <w:lang w:eastAsia="en-AU"/>
        </w:rPr>
        <w:t xml:space="preserve"> decrease </w:t>
      </w:r>
      <w:r w:rsidR="00723CC8">
        <w:rPr>
          <w:bCs/>
          <w:lang w:eastAsia="en-AU"/>
        </w:rPr>
        <w:t>of</w:t>
      </w:r>
      <w:r w:rsidR="00723CC8" w:rsidRPr="00112A53">
        <w:rPr>
          <w:b/>
          <w:bCs/>
          <w:lang w:eastAsia="en-AU"/>
        </w:rPr>
        <w:t xml:space="preserve"> </w:t>
      </w:r>
      <w:r w:rsidRPr="00112A53">
        <w:rPr>
          <w:lang w:val="en" w:eastAsia="en-AU"/>
        </w:rPr>
        <w:t>23% from 201</w:t>
      </w:r>
      <w:r w:rsidR="00A555E7">
        <w:rPr>
          <w:lang w:val="en" w:eastAsia="en-AU"/>
        </w:rPr>
        <w:t>5</w:t>
      </w:r>
      <w:r w:rsidRPr="00112A53">
        <w:rPr>
          <w:lang w:val="en" w:eastAsia="en-AU"/>
        </w:rPr>
        <w:t>-1</w:t>
      </w:r>
      <w:r w:rsidR="00A555E7">
        <w:rPr>
          <w:lang w:val="en" w:eastAsia="en-AU"/>
        </w:rPr>
        <w:t>6</w:t>
      </w:r>
      <w:r w:rsidRPr="00112A53">
        <w:rPr>
          <w:lang w:val="en" w:eastAsia="en-AU"/>
        </w:rPr>
        <w:t xml:space="preserve"> </w:t>
      </w:r>
    </w:p>
    <w:p w14:paraId="37F96DE1" w14:textId="2FF53874" w:rsidR="008332A2" w:rsidRPr="00444198" w:rsidRDefault="008776BA" w:rsidP="00D01076">
      <w:pPr>
        <w:pStyle w:val="Style1"/>
      </w:pPr>
      <w:r>
        <w:t xml:space="preserve">The </w:t>
      </w:r>
      <w:r w:rsidR="008332A2" w:rsidRPr="00444198">
        <w:t>amount of organics recovered for reprocessing was 1</w:t>
      </w:r>
      <w:r w:rsidR="003D2232">
        <w:t>.</w:t>
      </w:r>
      <w:r w:rsidR="00A555E7">
        <w:t>10</w:t>
      </w:r>
      <w:r w:rsidR="008332A2" w:rsidRPr="00444198">
        <w:t xml:space="preserve"> million tonnes. This </w:t>
      </w:r>
      <w:r w:rsidR="00A555E7">
        <w:t>is a 6% increase from 2015-16 and represents the</w:t>
      </w:r>
      <w:r w:rsidR="00112A53">
        <w:t xml:space="preserve"> </w:t>
      </w:r>
      <w:r w:rsidR="008332A2" w:rsidRPr="00444198">
        <w:t>highest amount of organic material recovered in Vic</w:t>
      </w:r>
      <w:r w:rsidR="00437714">
        <w:t>toria since collection started</w:t>
      </w:r>
    </w:p>
    <w:p w14:paraId="76F91CA3" w14:textId="11CCB178" w:rsidR="008332A2" w:rsidRDefault="008776BA" w:rsidP="00D01076">
      <w:pPr>
        <w:pStyle w:val="Style1"/>
      </w:pPr>
      <w:r>
        <w:t>R</w:t>
      </w:r>
      <w:r w:rsidR="008332A2" w:rsidRPr="00444198">
        <w:t xml:space="preserve">ecovered </w:t>
      </w:r>
      <w:r w:rsidR="00A555E7">
        <w:t>aggregate, masonry and soil</w:t>
      </w:r>
      <w:r w:rsidR="008332A2" w:rsidRPr="00444198">
        <w:t xml:space="preserve"> </w:t>
      </w:r>
      <w:r w:rsidR="00201D47">
        <w:t xml:space="preserve">remained </w:t>
      </w:r>
      <w:r w:rsidR="008D2967">
        <w:t xml:space="preserve">largely </w:t>
      </w:r>
      <w:r w:rsidR="00201D47">
        <w:t>unchanged at</w:t>
      </w:r>
      <w:r w:rsidR="008332A2" w:rsidRPr="00444198">
        <w:t xml:space="preserve"> </w:t>
      </w:r>
      <w:r w:rsidR="00A555E7">
        <w:t>4</w:t>
      </w:r>
      <w:r w:rsidR="008332A2" w:rsidRPr="00444198">
        <w:t>.</w:t>
      </w:r>
      <w:r w:rsidR="00A555E7">
        <w:t>1</w:t>
      </w:r>
      <w:r w:rsidR="008332A2" w:rsidRPr="00444198">
        <w:t xml:space="preserve"> million tonnes</w:t>
      </w:r>
      <w:r w:rsidR="00201D47">
        <w:t xml:space="preserve"> compared to 201</w:t>
      </w:r>
      <w:r w:rsidR="00A555E7">
        <w:t>5</w:t>
      </w:r>
      <w:r w:rsidR="00201D47">
        <w:t>-1</w:t>
      </w:r>
      <w:r w:rsidR="00A555E7">
        <w:t>6</w:t>
      </w:r>
      <w:r w:rsidR="008332A2" w:rsidRPr="00444198">
        <w:t xml:space="preserve"> </w:t>
      </w:r>
    </w:p>
    <w:p w14:paraId="3585CA2E" w14:textId="7D17EB9B" w:rsidR="00B45A2A" w:rsidRPr="00444198" w:rsidRDefault="00220C92" w:rsidP="00D01076">
      <w:pPr>
        <w:pStyle w:val="Style1"/>
      </w:pPr>
      <w:r>
        <w:t>The amount of p</w:t>
      </w:r>
      <w:r w:rsidR="00B45A2A">
        <w:t xml:space="preserve">aper and cardboard recovered </w:t>
      </w:r>
      <w:r w:rsidR="00A555E7">
        <w:t>de</w:t>
      </w:r>
      <w:r w:rsidR="00B45A2A">
        <w:t xml:space="preserve">creased by </w:t>
      </w:r>
      <w:r w:rsidR="00A555E7">
        <w:t>7</w:t>
      </w:r>
      <w:r w:rsidR="00B45A2A">
        <w:t>% to 1</w:t>
      </w:r>
      <w:r w:rsidR="00310BD9">
        <w:t>.</w:t>
      </w:r>
      <w:r w:rsidR="00A555E7">
        <w:t>44</w:t>
      </w:r>
      <w:r w:rsidR="00437714">
        <w:t xml:space="preserve"> million tonnes</w:t>
      </w:r>
    </w:p>
    <w:p w14:paraId="2C2D5E89" w14:textId="77C16C1E" w:rsidR="00444198" w:rsidRPr="00444198" w:rsidRDefault="008776BA" w:rsidP="00D01076">
      <w:pPr>
        <w:pStyle w:val="Style1"/>
      </w:pPr>
      <w:r>
        <w:t>T</w:t>
      </w:r>
      <w:r w:rsidR="00444198" w:rsidRPr="00444198">
        <w:t>he proportion of material recovered</w:t>
      </w:r>
      <w:r w:rsidR="00D328B3">
        <w:t xml:space="preserve"> and </w:t>
      </w:r>
      <w:r w:rsidR="00556D02">
        <w:t>was</w:t>
      </w:r>
      <w:r w:rsidR="00556D02" w:rsidRPr="00444198">
        <w:t xml:space="preserve"> </w:t>
      </w:r>
      <w:r w:rsidR="00444198" w:rsidRPr="00444198">
        <w:t xml:space="preserve">exported overseas </w:t>
      </w:r>
      <w:r w:rsidR="002127EE">
        <w:t>remained unchanged at</w:t>
      </w:r>
      <w:r w:rsidR="003440B6">
        <w:t xml:space="preserve"> 1,</w:t>
      </w:r>
      <w:r w:rsidR="002127EE">
        <w:t>119</w:t>
      </w:r>
      <w:r w:rsidR="003440B6">
        <w:t>,000 tonnes</w:t>
      </w:r>
      <w:r w:rsidR="00444198" w:rsidRPr="00444198">
        <w:t xml:space="preserve">. </w:t>
      </w:r>
    </w:p>
    <w:p w14:paraId="370067C3" w14:textId="18CD04B6" w:rsidR="00444198" w:rsidRPr="00437714" w:rsidRDefault="00437714" w:rsidP="00D01076">
      <w:pPr>
        <w:pStyle w:val="Style1"/>
        <w:numPr>
          <w:ilvl w:val="0"/>
          <w:numId w:val="0"/>
        </w:numPr>
        <w:ind w:left="284"/>
      </w:pPr>
      <w:r w:rsidRPr="00437714">
        <w:t>Note:</w:t>
      </w:r>
      <w:r w:rsidR="008D2967" w:rsidRPr="00437714">
        <w:t xml:space="preserve"> Th</w:t>
      </w:r>
      <w:r w:rsidR="00B36324" w:rsidRPr="00437714">
        <w:t>is data is accurate to end June 2017 – impacts of changes in China’s policy from January 2018 was not measured in this survey.</w:t>
      </w:r>
    </w:p>
    <w:p w14:paraId="67BA737F" w14:textId="03469F9E" w:rsidR="002B0889" w:rsidRDefault="002B0889">
      <w:pPr>
        <w:rPr>
          <w:rFonts w:cs="Arial"/>
          <w:sz w:val="20"/>
          <w:szCs w:val="20"/>
        </w:rPr>
      </w:pPr>
      <w:r>
        <w:rPr>
          <w:rFonts w:cs="Arial"/>
          <w:sz w:val="20"/>
          <w:szCs w:val="20"/>
        </w:rPr>
        <w:br w:type="page"/>
      </w:r>
    </w:p>
    <w:p w14:paraId="0D66F790" w14:textId="2BBF238B" w:rsidR="00C91213" w:rsidRPr="00FA62F5" w:rsidRDefault="00C91213" w:rsidP="001354FA">
      <w:pPr>
        <w:pStyle w:val="Heading2"/>
      </w:pPr>
      <w:bookmarkStart w:id="3" w:name="_Toc525308004"/>
      <w:r w:rsidRPr="00162021">
        <w:lastRenderedPageBreak/>
        <w:t xml:space="preserve">Total materials </w:t>
      </w:r>
      <w:r w:rsidR="005E6D05">
        <w:t>managed</w:t>
      </w:r>
      <w:r w:rsidR="005E6D05" w:rsidRPr="00FA62F5">
        <w:t xml:space="preserve"> </w:t>
      </w:r>
      <w:r w:rsidR="00A1313D" w:rsidRPr="00FA62F5">
        <w:t>and recovery rates</w:t>
      </w:r>
      <w:bookmarkEnd w:id="3"/>
    </w:p>
    <w:p w14:paraId="7A297F71" w14:textId="420248A1" w:rsidR="00C91213" w:rsidRDefault="00C91213" w:rsidP="00162021">
      <w:r w:rsidRPr="00C91213">
        <w:t>In 201</w:t>
      </w:r>
      <w:r w:rsidR="00A33592">
        <w:t>6</w:t>
      </w:r>
      <w:r w:rsidRPr="00C91213">
        <w:t>-1</w:t>
      </w:r>
      <w:r w:rsidR="00A33592">
        <w:t>7</w:t>
      </w:r>
      <w:r w:rsidRPr="00C91213">
        <w:t xml:space="preserve"> the amount of waste </w:t>
      </w:r>
      <w:r w:rsidR="00A03B97">
        <w:t>managed</w:t>
      </w:r>
      <w:r w:rsidR="00AC4C99">
        <w:t xml:space="preserve"> in Victoria was 12.</w:t>
      </w:r>
      <w:r w:rsidR="00A33592">
        <w:t>8</w:t>
      </w:r>
      <w:r w:rsidR="00EC78D1">
        <w:t>7</w:t>
      </w:r>
      <w:r w:rsidR="00AC4C99">
        <w:t xml:space="preserve"> million tonnes</w:t>
      </w:r>
      <w:r w:rsidR="005E6298">
        <w:t>,</w:t>
      </w:r>
      <w:r w:rsidR="00AC4C99">
        <w:t xml:space="preserve"> an increase of </w:t>
      </w:r>
      <w:r w:rsidR="00EC78D1">
        <w:t>1</w:t>
      </w:r>
      <w:r w:rsidR="008332A2">
        <w:t>.</w:t>
      </w:r>
      <w:r w:rsidR="00E77772">
        <w:t>5</w:t>
      </w:r>
      <w:r w:rsidR="008B66E1">
        <w:t>% from the previous year</w:t>
      </w:r>
      <w:r w:rsidR="00AC4C99">
        <w:t xml:space="preserve">. </w:t>
      </w:r>
      <w:r w:rsidR="00491F1C">
        <w:t xml:space="preserve">Approximately </w:t>
      </w:r>
      <w:r w:rsidR="00491F1C" w:rsidRPr="008D2967">
        <w:t>4.</w:t>
      </w:r>
      <w:r w:rsidR="00E77772" w:rsidRPr="008D2967">
        <w:t>25</w:t>
      </w:r>
      <w:r w:rsidR="00491F1C" w:rsidRPr="00C91213">
        <w:t xml:space="preserve"> million tonnes </w:t>
      </w:r>
      <w:r w:rsidR="00491F1C">
        <w:t xml:space="preserve">of waste </w:t>
      </w:r>
      <w:r w:rsidR="000F315A">
        <w:t xml:space="preserve">was </w:t>
      </w:r>
      <w:r w:rsidRPr="00C91213">
        <w:t xml:space="preserve">sent to landfill. </w:t>
      </w:r>
      <w:r w:rsidR="005E6D05" w:rsidRPr="00C91213">
        <w:t xml:space="preserve">This </w:t>
      </w:r>
      <w:r w:rsidR="005E6D05">
        <w:t>represents</w:t>
      </w:r>
      <w:r w:rsidRPr="00C91213">
        <w:t xml:space="preserve"> </w:t>
      </w:r>
      <w:r w:rsidR="00EC78D1">
        <w:t>1</w:t>
      </w:r>
      <w:r w:rsidRPr="00C91213">
        <w:t>.</w:t>
      </w:r>
      <w:r w:rsidR="00EC78D1">
        <w:t>5</w:t>
      </w:r>
      <w:r w:rsidRPr="00C91213">
        <w:t>% more than in 201</w:t>
      </w:r>
      <w:r w:rsidR="00E77772">
        <w:t>5</w:t>
      </w:r>
      <w:r w:rsidRPr="00C91213">
        <w:t>-1</w:t>
      </w:r>
      <w:r w:rsidR="00E77772">
        <w:t>6</w:t>
      </w:r>
      <w:r w:rsidR="00491F1C">
        <w:t>. T</w:t>
      </w:r>
      <w:r w:rsidRPr="00C91213">
        <w:t xml:space="preserve">he amount of waste diverted from landfill for recycling increased from </w:t>
      </w:r>
      <w:r w:rsidR="00EC78D1">
        <w:t>8</w:t>
      </w:r>
      <w:r w:rsidRPr="00C91213">
        <w:t>.</w:t>
      </w:r>
      <w:r w:rsidR="00EC78D1">
        <w:t>4</w:t>
      </w:r>
      <w:r w:rsidR="00E77772">
        <w:t>9</w:t>
      </w:r>
      <w:r w:rsidRPr="00C91213">
        <w:t xml:space="preserve"> million tonnes to 8.</w:t>
      </w:r>
      <w:r w:rsidR="009F197A">
        <w:t>62</w:t>
      </w:r>
      <w:r w:rsidRPr="00C91213">
        <w:t xml:space="preserve"> million tonnes. </w:t>
      </w:r>
    </w:p>
    <w:p w14:paraId="17104AE2" w14:textId="525DB541" w:rsidR="00181981" w:rsidRDefault="00181981" w:rsidP="00162021">
      <w:r w:rsidRPr="000C4E6B">
        <w:t xml:space="preserve">Figure </w:t>
      </w:r>
      <w:r>
        <w:t>1</w:t>
      </w:r>
      <w:r w:rsidRPr="000C4E6B">
        <w:t xml:space="preserve"> shows </w:t>
      </w:r>
      <w:r w:rsidR="00DF1A4C">
        <w:t xml:space="preserve">waste </w:t>
      </w:r>
      <w:r w:rsidR="005E6D05">
        <w:t>managed</w:t>
      </w:r>
      <w:r w:rsidR="00DF1A4C">
        <w:t>, landfilled and recovered rates in Victoria over the last 10 years.</w:t>
      </w:r>
      <w:r w:rsidR="00543E60">
        <w:t xml:space="preserve"> During this time, a direct correlation has been clearly identified between waste </w:t>
      </w:r>
      <w:r w:rsidR="00A03B97">
        <w:t>managed</w:t>
      </w:r>
      <w:r w:rsidR="00543E60">
        <w:t xml:space="preserve"> and population growth.</w:t>
      </w:r>
    </w:p>
    <w:p w14:paraId="25A620A5" w14:textId="77777777" w:rsidR="00437714" w:rsidRDefault="00437714" w:rsidP="00162021">
      <w:pPr>
        <w:pStyle w:val="Caption"/>
      </w:pPr>
      <w:bookmarkStart w:id="4" w:name="_Toc460413170"/>
      <w:bookmarkStart w:id="5" w:name="_Toc461436973"/>
      <w:bookmarkStart w:id="6" w:name="_Toc461438989"/>
      <w:bookmarkEnd w:id="4"/>
      <w:bookmarkEnd w:id="5"/>
    </w:p>
    <w:p w14:paraId="370A7130" w14:textId="4A9A89D2" w:rsidR="00D04F6B" w:rsidRPr="00162021" w:rsidRDefault="00C91213" w:rsidP="00162021">
      <w:pPr>
        <w:pStyle w:val="Caption"/>
      </w:pPr>
      <w:r w:rsidRPr="00162021">
        <w:t xml:space="preserve">Figure </w:t>
      </w:r>
      <w:r w:rsidR="00181981" w:rsidRPr="00162021">
        <w:t>1</w:t>
      </w:r>
      <w:r w:rsidRPr="00162021">
        <w:t xml:space="preserve"> Waste </w:t>
      </w:r>
      <w:r w:rsidR="00A03B97">
        <w:t>managed</w:t>
      </w:r>
      <w:r w:rsidRPr="00162021">
        <w:t>, Victoria 200</w:t>
      </w:r>
      <w:r w:rsidR="00D04F6B" w:rsidRPr="00162021">
        <w:t>7</w:t>
      </w:r>
      <w:r w:rsidRPr="00162021">
        <w:t>-0</w:t>
      </w:r>
      <w:r w:rsidR="00D04F6B" w:rsidRPr="00162021">
        <w:t>8</w:t>
      </w:r>
      <w:r w:rsidRPr="00162021">
        <w:t xml:space="preserve"> to 201</w:t>
      </w:r>
      <w:r w:rsidR="00D04F6B" w:rsidRPr="00162021">
        <w:t>6</w:t>
      </w:r>
      <w:r w:rsidRPr="00162021">
        <w:t>-1</w:t>
      </w:r>
      <w:bookmarkEnd w:id="6"/>
      <w:r w:rsidR="00D04F6B" w:rsidRPr="00162021">
        <w:t>7</w:t>
      </w:r>
    </w:p>
    <w:p w14:paraId="27DA6BFA" w14:textId="631EABDC" w:rsidR="00C91213" w:rsidRDefault="001229C1" w:rsidP="00FA62F5">
      <w:r w:rsidRPr="001229C1">
        <w:rPr>
          <w:noProof/>
          <w:lang w:eastAsia="en-AU"/>
        </w:rPr>
        <w:drawing>
          <wp:inline distT="0" distB="0" distL="0" distR="0" wp14:anchorId="0F50583D" wp14:editId="4D276A4B">
            <wp:extent cx="4431600" cy="260280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1600" cy="2602800"/>
                    </a:xfrm>
                    <a:prstGeom prst="rect">
                      <a:avLst/>
                    </a:prstGeom>
                    <a:noFill/>
                    <a:ln>
                      <a:noFill/>
                    </a:ln>
                  </pic:spPr>
                </pic:pic>
              </a:graphicData>
            </a:graphic>
          </wp:inline>
        </w:drawing>
      </w:r>
    </w:p>
    <w:p w14:paraId="125EF12E" w14:textId="77777777" w:rsidR="00B35307" w:rsidRDefault="00B35307" w:rsidP="00162021">
      <w:bookmarkStart w:id="7" w:name="_Toc460413171"/>
      <w:bookmarkStart w:id="8" w:name="_Toc461436974"/>
      <w:bookmarkStart w:id="9" w:name="_Toc461438990"/>
    </w:p>
    <w:p w14:paraId="5427A357" w14:textId="731DD281" w:rsidR="00EE32BE" w:rsidRPr="00E51390" w:rsidRDefault="00491F1C" w:rsidP="00162021">
      <w:r w:rsidRPr="00E51390">
        <w:t>In 201</w:t>
      </w:r>
      <w:r w:rsidR="00D04F6B">
        <w:t>6</w:t>
      </w:r>
      <w:r w:rsidRPr="00E51390">
        <w:t>-1</w:t>
      </w:r>
      <w:r w:rsidR="00D04F6B">
        <w:t>7</w:t>
      </w:r>
      <w:r w:rsidRPr="00E51390">
        <w:t xml:space="preserve">, Victoria’s </w:t>
      </w:r>
      <w:r w:rsidR="005E6D05">
        <w:t>diversion</w:t>
      </w:r>
      <w:r w:rsidR="005E6D05" w:rsidRPr="00E51390">
        <w:t xml:space="preserve"> </w:t>
      </w:r>
      <w:r w:rsidR="00B35307">
        <w:t xml:space="preserve">from landfill </w:t>
      </w:r>
      <w:r w:rsidR="008B66E1">
        <w:t>rate</w:t>
      </w:r>
      <w:r w:rsidRPr="00E51390">
        <w:t xml:space="preserve"> </w:t>
      </w:r>
      <w:r w:rsidR="00226E4B" w:rsidRPr="00E51390">
        <w:t xml:space="preserve">remained </w:t>
      </w:r>
      <w:r w:rsidR="00723CC8" w:rsidRPr="00E51390">
        <w:t xml:space="preserve">relatively </w:t>
      </w:r>
      <w:r w:rsidR="00226E4B" w:rsidRPr="00E51390">
        <w:t>unchanged from</w:t>
      </w:r>
      <w:r w:rsidR="008776BA" w:rsidRPr="00E51390">
        <w:t xml:space="preserve"> </w:t>
      </w:r>
      <w:r w:rsidRPr="00E51390">
        <w:t>the previous</w:t>
      </w:r>
      <w:r w:rsidR="005E6D05">
        <w:t xml:space="preserve"> year</w:t>
      </w:r>
      <w:r w:rsidR="00437714">
        <w:t>;</w:t>
      </w:r>
      <w:r w:rsidRPr="00E51390">
        <w:t xml:space="preserve"> </w:t>
      </w:r>
      <w:r w:rsidR="005E6D05">
        <w:t>diverting</w:t>
      </w:r>
      <w:r w:rsidRPr="00E51390">
        <w:t xml:space="preserve"> 8.</w:t>
      </w:r>
      <w:r w:rsidR="00D04F6B">
        <w:t>62</w:t>
      </w:r>
      <w:r w:rsidRPr="00E51390">
        <w:t xml:space="preserve"> million tonnes of materials </w:t>
      </w:r>
      <w:r w:rsidR="008B66E1">
        <w:t>at</w:t>
      </w:r>
      <w:r w:rsidRPr="00E51390">
        <w:t xml:space="preserve"> a </w:t>
      </w:r>
      <w:r w:rsidR="005E6D05">
        <w:t>diversion</w:t>
      </w:r>
      <w:r w:rsidR="005E6D05" w:rsidRPr="00E51390">
        <w:t xml:space="preserve"> </w:t>
      </w:r>
      <w:r w:rsidRPr="00E51390">
        <w:t xml:space="preserve">rate of 67%. Figure </w:t>
      </w:r>
      <w:r w:rsidR="00181981" w:rsidRPr="00E51390">
        <w:t>2</w:t>
      </w:r>
      <w:r w:rsidRPr="00E51390">
        <w:t xml:space="preserve"> shows the increase in </w:t>
      </w:r>
      <w:r w:rsidR="005E6D05">
        <w:t>diversion</w:t>
      </w:r>
      <w:r w:rsidRPr="00E51390">
        <w:t xml:space="preserve"> rate of solid waste since 200</w:t>
      </w:r>
      <w:r w:rsidR="00D04F6B">
        <w:t>7</w:t>
      </w:r>
      <w:r w:rsidRPr="00E51390">
        <w:t>-0</w:t>
      </w:r>
      <w:r w:rsidR="00D04F6B">
        <w:t>8</w:t>
      </w:r>
      <w:r w:rsidRPr="00E51390">
        <w:t xml:space="preserve">. </w:t>
      </w:r>
      <w:bookmarkStart w:id="10" w:name="_Toc461438988"/>
    </w:p>
    <w:p w14:paraId="20743564" w14:textId="228FBC71" w:rsidR="009B72B3" w:rsidRPr="00C91213" w:rsidRDefault="00437714" w:rsidP="009B72B3">
      <w:pPr>
        <w:rPr>
          <w:b/>
        </w:rPr>
      </w:pPr>
      <w:r>
        <w:t xml:space="preserve">In 2016-17 </w:t>
      </w:r>
      <w:r w:rsidR="009B72B3">
        <w:t>wa</w:t>
      </w:r>
      <w:r w:rsidR="009B72B3" w:rsidRPr="00C91213">
        <w:t xml:space="preserve">ste per capita </w:t>
      </w:r>
      <w:r w:rsidR="009B72B3">
        <w:t>remained at 2.1 tonnes</w:t>
      </w:r>
      <w:r>
        <w:t xml:space="preserve"> and th</w:t>
      </w:r>
      <w:r w:rsidR="009B72B3" w:rsidRPr="00C91213">
        <w:t xml:space="preserve">e amount of material recovered per capita </w:t>
      </w:r>
      <w:r>
        <w:t xml:space="preserve">(Table 1) also </w:t>
      </w:r>
      <w:r w:rsidR="00A73028">
        <w:t>remained</w:t>
      </w:r>
      <w:r w:rsidR="009B72B3">
        <w:t xml:space="preserve"> unchanged at </w:t>
      </w:r>
      <w:r w:rsidR="009B72B3" w:rsidRPr="00C91213">
        <w:t>1.</w:t>
      </w:r>
      <w:r>
        <w:t>4</w:t>
      </w:r>
      <w:r w:rsidR="009B72B3" w:rsidRPr="00C91213">
        <w:t xml:space="preserve"> tonnes. Waste </w:t>
      </w:r>
      <w:r w:rsidR="009B72B3">
        <w:t>managed</w:t>
      </w:r>
      <w:r w:rsidR="009B72B3" w:rsidRPr="00C91213">
        <w:t xml:space="preserve"> relative to Gross State Product (GSP) </w:t>
      </w:r>
      <w:r w:rsidR="009B72B3">
        <w:t>de</w:t>
      </w:r>
      <w:r w:rsidR="009B72B3" w:rsidRPr="00C91213">
        <w:t xml:space="preserve">creased by </w:t>
      </w:r>
      <w:r w:rsidR="009B72B3">
        <w:t>3%</w:t>
      </w:r>
      <w:r w:rsidR="009B72B3" w:rsidRPr="00C91213">
        <w:t xml:space="preserve"> in 201</w:t>
      </w:r>
      <w:r w:rsidR="009B72B3">
        <w:t>6</w:t>
      </w:r>
      <w:r w:rsidR="009B72B3" w:rsidRPr="00C91213">
        <w:t>-1</w:t>
      </w:r>
      <w:r w:rsidR="009B72B3">
        <w:t>7</w:t>
      </w:r>
      <w:r w:rsidR="009B72B3" w:rsidRPr="00C91213">
        <w:t xml:space="preserve"> to </w:t>
      </w:r>
      <w:r w:rsidR="009B72B3">
        <w:t>30</w:t>
      </w:r>
      <w:r w:rsidR="009B72B3" w:rsidRPr="00C91213">
        <w:t xml:space="preserve"> tonnes of waste </w:t>
      </w:r>
      <w:r w:rsidR="009B72B3">
        <w:t>managed</w:t>
      </w:r>
      <w:r w:rsidR="009B72B3" w:rsidRPr="00C91213">
        <w:t xml:space="preserve"> for every million dollars of GSP (Figure </w:t>
      </w:r>
      <w:r w:rsidR="009B72B3">
        <w:t>3</w:t>
      </w:r>
      <w:r w:rsidR="009B72B3" w:rsidRPr="00C91213">
        <w:t xml:space="preserve"> and Table 1).</w:t>
      </w:r>
    </w:p>
    <w:p w14:paraId="0F97E7CA" w14:textId="77777777" w:rsidR="00EE32BE" w:rsidRDefault="00EE32BE" w:rsidP="00162021"/>
    <w:p w14:paraId="25F5B019" w14:textId="77777777" w:rsidR="00EE32BE" w:rsidRDefault="00EE32BE">
      <w:pPr>
        <w:rPr>
          <w:rFonts w:eastAsia="Times New Roman" w:cs="Arial"/>
          <w:b/>
          <w:bCs/>
          <w:color w:val="000000"/>
          <w:spacing w:val="-5"/>
          <w:sz w:val="20"/>
          <w:szCs w:val="20"/>
        </w:rPr>
      </w:pPr>
      <w:r>
        <w:rPr>
          <w:rFonts w:cs="Arial"/>
        </w:rPr>
        <w:br w:type="page"/>
      </w:r>
    </w:p>
    <w:p w14:paraId="6050E791" w14:textId="510C0349" w:rsidR="00491F1C" w:rsidRDefault="00491F1C" w:rsidP="00491F1C">
      <w:pPr>
        <w:pStyle w:val="Caption"/>
        <w:keepNext/>
        <w:rPr>
          <w:rFonts w:cs="Arial"/>
        </w:rPr>
      </w:pPr>
      <w:r w:rsidRPr="00C91213">
        <w:rPr>
          <w:rFonts w:cs="Arial"/>
        </w:rPr>
        <w:lastRenderedPageBreak/>
        <w:t xml:space="preserve">Figure </w:t>
      </w:r>
      <w:r w:rsidR="00181981">
        <w:rPr>
          <w:rFonts w:cs="Arial"/>
        </w:rPr>
        <w:t>2</w:t>
      </w:r>
      <w:r>
        <w:rPr>
          <w:rFonts w:cs="Arial"/>
        </w:rPr>
        <w:t xml:space="preserve"> </w:t>
      </w:r>
      <w:r w:rsidR="005E6D05">
        <w:rPr>
          <w:rFonts w:cs="Arial"/>
        </w:rPr>
        <w:t>Diversion</w:t>
      </w:r>
      <w:r w:rsidRPr="00C91213">
        <w:rPr>
          <w:rFonts w:cs="Arial"/>
        </w:rPr>
        <w:t xml:space="preserve"> rate of solid waste, Victoria 200</w:t>
      </w:r>
      <w:r w:rsidR="00EA6DD4">
        <w:rPr>
          <w:rFonts w:cs="Arial"/>
        </w:rPr>
        <w:t>7</w:t>
      </w:r>
      <w:r w:rsidRPr="00C91213">
        <w:rPr>
          <w:rFonts w:cs="Arial"/>
        </w:rPr>
        <w:t>-0</w:t>
      </w:r>
      <w:r w:rsidR="00EA6DD4">
        <w:rPr>
          <w:rFonts w:cs="Arial"/>
        </w:rPr>
        <w:t>8</w:t>
      </w:r>
      <w:r w:rsidRPr="00C91213">
        <w:rPr>
          <w:rFonts w:cs="Arial"/>
        </w:rPr>
        <w:t xml:space="preserve"> to 201</w:t>
      </w:r>
      <w:r w:rsidR="00EA6DD4">
        <w:rPr>
          <w:rFonts w:cs="Arial"/>
        </w:rPr>
        <w:t>6</w:t>
      </w:r>
      <w:r w:rsidRPr="00C91213">
        <w:rPr>
          <w:rFonts w:cs="Arial"/>
        </w:rPr>
        <w:t>-1</w:t>
      </w:r>
      <w:bookmarkEnd w:id="10"/>
      <w:r w:rsidR="00EA6DD4">
        <w:rPr>
          <w:rFonts w:cs="Arial"/>
        </w:rPr>
        <w:t>7</w:t>
      </w:r>
    </w:p>
    <w:p w14:paraId="77E16DC4" w14:textId="2FBA4505" w:rsidR="00D04F6B" w:rsidRPr="00D04F6B" w:rsidRDefault="001229C1" w:rsidP="00C03454">
      <w:r w:rsidRPr="001229C1">
        <w:rPr>
          <w:noProof/>
          <w:lang w:eastAsia="en-AU"/>
        </w:rPr>
        <w:drawing>
          <wp:inline distT="0" distB="0" distL="0" distR="0" wp14:anchorId="0B96DA05" wp14:editId="493B8B23">
            <wp:extent cx="4269600" cy="263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9600" cy="2631600"/>
                    </a:xfrm>
                    <a:prstGeom prst="rect">
                      <a:avLst/>
                    </a:prstGeom>
                    <a:noFill/>
                    <a:ln>
                      <a:noFill/>
                    </a:ln>
                  </pic:spPr>
                </pic:pic>
              </a:graphicData>
            </a:graphic>
          </wp:inline>
        </w:drawing>
      </w:r>
    </w:p>
    <w:p w14:paraId="5D343904" w14:textId="2D5D400D" w:rsidR="00430496" w:rsidRPr="00EE504B" w:rsidRDefault="00430496" w:rsidP="00491F1C">
      <w:pPr>
        <w:rPr>
          <w:rFonts w:cs="Arial"/>
          <w:i/>
          <w:sz w:val="18"/>
          <w:szCs w:val="18"/>
        </w:rPr>
      </w:pPr>
      <w:r w:rsidRPr="00EE504B">
        <w:rPr>
          <w:rFonts w:cs="Arial"/>
          <w:i/>
          <w:sz w:val="18"/>
          <w:szCs w:val="18"/>
        </w:rPr>
        <w:t>N</w:t>
      </w:r>
      <w:r w:rsidR="00FD7842" w:rsidRPr="00EE504B">
        <w:rPr>
          <w:rFonts w:cs="Arial"/>
          <w:i/>
          <w:sz w:val="18"/>
          <w:szCs w:val="18"/>
        </w:rPr>
        <w:t>ote:</w:t>
      </w:r>
      <w:r w:rsidR="00F7347D">
        <w:rPr>
          <w:rFonts w:cs="Arial"/>
          <w:i/>
          <w:sz w:val="18"/>
          <w:szCs w:val="18"/>
        </w:rPr>
        <w:t xml:space="preserve"> Since 2014-15</w:t>
      </w:r>
      <w:r w:rsidRPr="00EE504B">
        <w:rPr>
          <w:rFonts w:cs="Arial"/>
          <w:i/>
          <w:sz w:val="18"/>
          <w:szCs w:val="18"/>
        </w:rPr>
        <w:t xml:space="preserve"> Historical landfill data has been modif</w:t>
      </w:r>
      <w:r w:rsidR="00FD7842" w:rsidRPr="00EE504B">
        <w:rPr>
          <w:rFonts w:cs="Arial"/>
          <w:i/>
          <w:sz w:val="18"/>
          <w:szCs w:val="18"/>
        </w:rPr>
        <w:t>ied</w:t>
      </w:r>
      <w:r w:rsidRPr="00EE504B">
        <w:rPr>
          <w:rFonts w:cs="Arial"/>
          <w:i/>
          <w:sz w:val="18"/>
          <w:szCs w:val="18"/>
        </w:rPr>
        <w:t xml:space="preserve"> to reflect the inclusion of the 15</w:t>
      </w:r>
      <w:r w:rsidR="00EA6DD4">
        <w:rPr>
          <w:rFonts w:cs="Arial"/>
          <w:i/>
          <w:sz w:val="18"/>
          <w:szCs w:val="18"/>
        </w:rPr>
        <w:t xml:space="preserve">% daily coverage which </w:t>
      </w:r>
      <w:r w:rsidR="00593E79">
        <w:rPr>
          <w:rFonts w:cs="Arial"/>
          <w:i/>
          <w:sz w:val="18"/>
          <w:szCs w:val="18"/>
        </w:rPr>
        <w:t xml:space="preserve">until </w:t>
      </w:r>
      <w:r w:rsidR="00593E79" w:rsidRPr="00EE504B">
        <w:rPr>
          <w:rFonts w:cs="Arial"/>
          <w:i/>
          <w:sz w:val="18"/>
          <w:szCs w:val="18"/>
        </w:rPr>
        <w:t>then</w:t>
      </w:r>
      <w:r w:rsidR="00EA6DD4">
        <w:rPr>
          <w:rFonts w:cs="Arial"/>
          <w:i/>
          <w:sz w:val="18"/>
          <w:szCs w:val="18"/>
        </w:rPr>
        <w:t xml:space="preserve"> had</w:t>
      </w:r>
      <w:r w:rsidRPr="00EE504B">
        <w:rPr>
          <w:rFonts w:cs="Arial"/>
          <w:i/>
          <w:sz w:val="18"/>
          <w:szCs w:val="18"/>
        </w:rPr>
        <w:t xml:space="preserve"> not been included in the VRIAS. This change in methodology is reflected in the recovery rate and had been used to recalculate previous year’s recovery rates to provide the trend in the above graph.</w:t>
      </w:r>
    </w:p>
    <w:p w14:paraId="3897CDDE" w14:textId="77777777" w:rsidR="00B35307" w:rsidRDefault="00B35307" w:rsidP="009F1B31">
      <w:pPr>
        <w:pStyle w:val="Caption"/>
        <w:rPr>
          <w:rFonts w:cs="Arial"/>
        </w:rPr>
      </w:pPr>
      <w:bookmarkStart w:id="11" w:name="_Toc461439090"/>
    </w:p>
    <w:p w14:paraId="0D0A9298" w14:textId="489FE16C" w:rsidR="009F1B31" w:rsidRDefault="009F1B31" w:rsidP="009F1B31">
      <w:pPr>
        <w:pStyle w:val="Caption"/>
        <w:rPr>
          <w:rFonts w:cs="Arial"/>
        </w:rPr>
      </w:pPr>
      <w:r w:rsidRPr="00C91213">
        <w:rPr>
          <w:rFonts w:cs="Arial"/>
        </w:rPr>
        <w:t xml:space="preserve">Table </w:t>
      </w:r>
      <w:r w:rsidRPr="00C91213">
        <w:rPr>
          <w:rFonts w:cs="Arial"/>
        </w:rPr>
        <w:fldChar w:fldCharType="begin"/>
      </w:r>
      <w:r w:rsidRPr="00C91213">
        <w:rPr>
          <w:rFonts w:cs="Arial"/>
        </w:rPr>
        <w:instrText xml:space="preserve"> SEQ Table \* ARABIC </w:instrText>
      </w:r>
      <w:r w:rsidRPr="00C91213">
        <w:rPr>
          <w:rFonts w:cs="Arial"/>
        </w:rPr>
        <w:fldChar w:fldCharType="separate"/>
      </w:r>
      <w:r w:rsidR="004F79B1">
        <w:rPr>
          <w:rFonts w:cs="Arial"/>
          <w:noProof/>
        </w:rPr>
        <w:t>1</w:t>
      </w:r>
      <w:r w:rsidRPr="00C91213">
        <w:rPr>
          <w:rFonts w:cs="Arial"/>
        </w:rPr>
        <w:fldChar w:fldCharType="end"/>
      </w:r>
      <w:r w:rsidRPr="00C91213">
        <w:rPr>
          <w:rFonts w:cs="Arial"/>
          <w:color w:val="auto"/>
        </w:rPr>
        <w:t xml:space="preserve"> </w:t>
      </w:r>
      <w:r w:rsidRPr="00C91213">
        <w:rPr>
          <w:rFonts w:cs="Arial"/>
        </w:rPr>
        <w:t xml:space="preserve">Total waste </w:t>
      </w:r>
      <w:r w:rsidR="00A03B97">
        <w:rPr>
          <w:rFonts w:cs="Arial"/>
        </w:rPr>
        <w:t>managed</w:t>
      </w:r>
      <w:r w:rsidRPr="00C91213">
        <w:rPr>
          <w:rFonts w:cs="Arial"/>
        </w:rPr>
        <w:t xml:space="preserve"> relative to</w:t>
      </w:r>
      <w:r>
        <w:rPr>
          <w:rFonts w:cs="Arial"/>
        </w:rPr>
        <w:t xml:space="preserve"> economic and population trends, </w:t>
      </w:r>
      <w:r w:rsidRPr="00C91213">
        <w:rPr>
          <w:rFonts w:cs="Arial"/>
        </w:rPr>
        <w:t>Victoria 200</w:t>
      </w:r>
      <w:r>
        <w:rPr>
          <w:rFonts w:cs="Arial"/>
        </w:rPr>
        <w:t>7</w:t>
      </w:r>
      <w:r w:rsidRPr="00C91213">
        <w:rPr>
          <w:rFonts w:cs="Arial"/>
        </w:rPr>
        <w:t>-0</w:t>
      </w:r>
      <w:r>
        <w:rPr>
          <w:rFonts w:cs="Arial"/>
        </w:rPr>
        <w:t>8</w:t>
      </w:r>
      <w:r w:rsidRPr="00C91213">
        <w:rPr>
          <w:rFonts w:cs="Arial"/>
        </w:rPr>
        <w:t xml:space="preserve"> to 201</w:t>
      </w:r>
      <w:r>
        <w:rPr>
          <w:rFonts w:cs="Arial"/>
        </w:rPr>
        <w:t>6</w:t>
      </w:r>
      <w:r w:rsidRPr="00C91213">
        <w:rPr>
          <w:rFonts w:cs="Arial"/>
        </w:rPr>
        <w:t>-1</w:t>
      </w:r>
      <w:bookmarkEnd w:id="11"/>
      <w:r>
        <w:rPr>
          <w:rFonts w:cs="Arial"/>
        </w:rPr>
        <w:t>7</w:t>
      </w:r>
    </w:p>
    <w:tbl>
      <w:tblPr>
        <w:tblW w:w="0" w:type="auto"/>
        <w:tblBorders>
          <w:insideH w:val="single" w:sz="4" w:space="0" w:color="7F7F7F" w:themeColor="text1" w:themeTint="80"/>
        </w:tblBorders>
        <w:tblLook w:val="04A0" w:firstRow="1" w:lastRow="0" w:firstColumn="1" w:lastColumn="0" w:noHBand="0" w:noVBand="1"/>
      </w:tblPr>
      <w:tblGrid>
        <w:gridCol w:w="1516"/>
        <w:gridCol w:w="751"/>
        <w:gridCol w:w="751"/>
        <w:gridCol w:w="751"/>
        <w:gridCol w:w="751"/>
        <w:gridCol w:w="751"/>
        <w:gridCol w:w="751"/>
        <w:gridCol w:w="751"/>
        <w:gridCol w:w="751"/>
        <w:gridCol w:w="751"/>
        <w:gridCol w:w="751"/>
      </w:tblGrid>
      <w:tr w:rsidR="00C03454" w:rsidRPr="000C6B73" w14:paraId="0F9910D7" w14:textId="77777777" w:rsidTr="00C03454">
        <w:trPr>
          <w:trHeight w:val="300"/>
        </w:trPr>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69A68272" w14:textId="227A5E73" w:rsidR="00C03454" w:rsidRPr="000C6B73" w:rsidRDefault="00C03454" w:rsidP="001847C4">
            <w:pPr>
              <w:spacing w:after="0" w:line="264" w:lineRule="auto"/>
              <w:rPr>
                <w:rFonts w:eastAsia="Times New Roman" w:cs="Arial"/>
                <w:b/>
                <w:color w:val="FFFFFF"/>
                <w:sz w:val="16"/>
                <w:szCs w:val="16"/>
                <w:lang w:eastAsia="en-AU"/>
              </w:rPr>
            </w:pP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4817BDE9"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2007-08</w:t>
            </w: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51DD7CFE"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2008-09</w:t>
            </w: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391104F3"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2009-10</w:t>
            </w: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5CF7AE99"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2010-11</w:t>
            </w: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24F218FF"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2011-12</w:t>
            </w: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76B5BA50"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2012-13</w:t>
            </w: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34B97A70"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2013-14</w:t>
            </w: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4A9AD967"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2014-15</w:t>
            </w:r>
          </w:p>
        </w:tc>
        <w:tc>
          <w:tcPr>
            <w:tcW w:w="0" w:type="auto"/>
            <w:tcBorders>
              <w:top w:val="single" w:sz="4" w:space="0" w:color="7F7F7F" w:themeColor="text1" w:themeTint="80"/>
              <w:bottom w:val="single" w:sz="4" w:space="0" w:color="7F7F7F" w:themeColor="text1" w:themeTint="80"/>
            </w:tcBorders>
            <w:shd w:val="clear" w:color="auto" w:fill="92D050"/>
            <w:vAlign w:val="center"/>
            <w:hideMark/>
          </w:tcPr>
          <w:p w14:paraId="31931F88"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2015-16</w:t>
            </w:r>
          </w:p>
        </w:tc>
        <w:tc>
          <w:tcPr>
            <w:tcW w:w="0" w:type="auto"/>
            <w:tcBorders>
              <w:top w:val="single" w:sz="4" w:space="0" w:color="7F7F7F" w:themeColor="text1" w:themeTint="80"/>
              <w:bottom w:val="single" w:sz="4" w:space="0" w:color="7F7F7F" w:themeColor="text1" w:themeTint="80"/>
            </w:tcBorders>
            <w:shd w:val="clear" w:color="auto" w:fill="92D050"/>
            <w:vAlign w:val="center"/>
          </w:tcPr>
          <w:p w14:paraId="742D7972" w14:textId="77777777" w:rsidR="00C03454" w:rsidRPr="000C6B73" w:rsidRDefault="00C03454" w:rsidP="00C03454">
            <w:pPr>
              <w:spacing w:after="0" w:line="264" w:lineRule="auto"/>
              <w:jc w:val="right"/>
              <w:rPr>
                <w:rFonts w:eastAsia="Times New Roman" w:cs="Arial"/>
                <w:b/>
                <w:color w:val="FFFFFF"/>
                <w:sz w:val="16"/>
                <w:szCs w:val="16"/>
                <w:lang w:eastAsia="en-AU"/>
              </w:rPr>
            </w:pPr>
            <w:r w:rsidRPr="000C6B73">
              <w:rPr>
                <w:rFonts w:eastAsia="Times New Roman" w:cs="Arial"/>
                <w:b/>
                <w:color w:val="FFFFFF"/>
                <w:sz w:val="16"/>
                <w:szCs w:val="16"/>
                <w:lang w:eastAsia="en-AU"/>
              </w:rPr>
              <w:t>2016-17</w:t>
            </w:r>
          </w:p>
        </w:tc>
      </w:tr>
      <w:tr w:rsidR="00C03454" w:rsidRPr="000C6B73" w14:paraId="0E7AE37D" w14:textId="77777777" w:rsidTr="000C6B73">
        <w:trPr>
          <w:trHeight w:val="300"/>
        </w:trPr>
        <w:tc>
          <w:tcPr>
            <w:tcW w:w="0" w:type="auto"/>
            <w:shd w:val="clear" w:color="auto" w:fill="auto"/>
            <w:vAlign w:val="bottom"/>
          </w:tcPr>
          <w:p w14:paraId="4FAAE236" w14:textId="77777777" w:rsidR="00C03454" w:rsidRPr="000C6B73" w:rsidRDefault="00C03454" w:rsidP="00C03454">
            <w:pPr>
              <w:spacing w:after="0" w:line="264" w:lineRule="auto"/>
              <w:rPr>
                <w:rFonts w:eastAsia="Times New Roman" w:cs="Arial"/>
                <w:sz w:val="16"/>
                <w:szCs w:val="16"/>
                <w:lang w:eastAsia="en-AU"/>
              </w:rPr>
            </w:pPr>
          </w:p>
        </w:tc>
        <w:tc>
          <w:tcPr>
            <w:tcW w:w="0" w:type="auto"/>
            <w:gridSpan w:val="10"/>
            <w:shd w:val="clear" w:color="auto" w:fill="auto"/>
            <w:noWrap/>
            <w:vAlign w:val="bottom"/>
          </w:tcPr>
          <w:p w14:paraId="292513F2" w14:textId="14328773" w:rsidR="00C03454" w:rsidRPr="000C6B73" w:rsidRDefault="00C03454" w:rsidP="00C03454">
            <w:pPr>
              <w:spacing w:after="0" w:line="264" w:lineRule="auto"/>
              <w:jc w:val="center"/>
              <w:rPr>
                <w:rFonts w:eastAsia="Times New Roman" w:cs="Arial"/>
                <w:color w:val="000000"/>
                <w:sz w:val="16"/>
                <w:szCs w:val="16"/>
                <w:lang w:eastAsia="en-AU"/>
              </w:rPr>
            </w:pPr>
            <w:r w:rsidRPr="000C6B73">
              <w:rPr>
                <w:rFonts w:eastAsia="Times New Roman" w:cs="Arial"/>
                <w:sz w:val="16"/>
                <w:szCs w:val="16"/>
                <w:lang w:eastAsia="en-AU"/>
              </w:rPr>
              <w:t>Tonnes (millions)</w:t>
            </w:r>
          </w:p>
        </w:tc>
      </w:tr>
      <w:tr w:rsidR="00C03454" w:rsidRPr="000C6B73" w14:paraId="242389E2" w14:textId="77777777" w:rsidTr="00C03454">
        <w:trPr>
          <w:trHeight w:val="300"/>
        </w:trPr>
        <w:tc>
          <w:tcPr>
            <w:tcW w:w="0" w:type="auto"/>
            <w:shd w:val="clear" w:color="auto" w:fill="auto"/>
            <w:vAlign w:val="center"/>
            <w:hideMark/>
          </w:tcPr>
          <w:p w14:paraId="08715F52" w14:textId="2B80C5DD" w:rsidR="00C03454" w:rsidRPr="000C6B73" w:rsidRDefault="00C03454" w:rsidP="00C03454">
            <w:pPr>
              <w:spacing w:after="0" w:line="264" w:lineRule="auto"/>
              <w:rPr>
                <w:rFonts w:eastAsia="Times New Roman" w:cs="Arial"/>
                <w:sz w:val="16"/>
                <w:szCs w:val="16"/>
                <w:lang w:eastAsia="en-AU"/>
              </w:rPr>
            </w:pPr>
            <w:r w:rsidRPr="000C6B73">
              <w:rPr>
                <w:rFonts w:eastAsia="Times New Roman" w:cs="Arial"/>
                <w:sz w:val="16"/>
                <w:szCs w:val="16"/>
                <w:lang w:eastAsia="en-AU"/>
              </w:rPr>
              <w:t xml:space="preserve">Waste managed </w:t>
            </w:r>
            <w:r w:rsidRPr="000C6B73">
              <w:rPr>
                <w:rFonts w:eastAsia="Times New Roman" w:cs="Arial"/>
                <w:sz w:val="16"/>
                <w:szCs w:val="16"/>
                <w:lang w:eastAsia="en-AU"/>
              </w:rPr>
              <w:br/>
              <w:t>per capita</w:t>
            </w:r>
          </w:p>
        </w:tc>
        <w:tc>
          <w:tcPr>
            <w:tcW w:w="0" w:type="auto"/>
            <w:shd w:val="clear" w:color="auto" w:fill="auto"/>
            <w:noWrap/>
            <w:vAlign w:val="bottom"/>
            <w:hideMark/>
          </w:tcPr>
          <w:p w14:paraId="5E35BE7E"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2.1</w:t>
            </w:r>
          </w:p>
        </w:tc>
        <w:tc>
          <w:tcPr>
            <w:tcW w:w="0" w:type="auto"/>
            <w:shd w:val="clear" w:color="auto" w:fill="auto"/>
            <w:noWrap/>
            <w:vAlign w:val="bottom"/>
            <w:hideMark/>
          </w:tcPr>
          <w:p w14:paraId="4ED9DEFC"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2.0</w:t>
            </w:r>
          </w:p>
        </w:tc>
        <w:tc>
          <w:tcPr>
            <w:tcW w:w="0" w:type="auto"/>
            <w:shd w:val="clear" w:color="auto" w:fill="auto"/>
            <w:noWrap/>
            <w:vAlign w:val="bottom"/>
            <w:hideMark/>
          </w:tcPr>
          <w:p w14:paraId="174C5166"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2.2</w:t>
            </w:r>
          </w:p>
        </w:tc>
        <w:tc>
          <w:tcPr>
            <w:tcW w:w="0" w:type="auto"/>
            <w:shd w:val="clear" w:color="auto" w:fill="auto"/>
            <w:noWrap/>
            <w:vAlign w:val="bottom"/>
            <w:hideMark/>
          </w:tcPr>
          <w:p w14:paraId="65DB8673"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2.3</w:t>
            </w:r>
          </w:p>
        </w:tc>
        <w:tc>
          <w:tcPr>
            <w:tcW w:w="0" w:type="auto"/>
            <w:shd w:val="clear" w:color="auto" w:fill="auto"/>
            <w:noWrap/>
            <w:vAlign w:val="bottom"/>
            <w:hideMark/>
          </w:tcPr>
          <w:p w14:paraId="31C1E629"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2.2</w:t>
            </w:r>
          </w:p>
        </w:tc>
        <w:tc>
          <w:tcPr>
            <w:tcW w:w="0" w:type="auto"/>
            <w:shd w:val="clear" w:color="auto" w:fill="auto"/>
            <w:noWrap/>
            <w:vAlign w:val="bottom"/>
            <w:hideMark/>
          </w:tcPr>
          <w:p w14:paraId="76A77A73"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2.1</w:t>
            </w:r>
          </w:p>
        </w:tc>
        <w:tc>
          <w:tcPr>
            <w:tcW w:w="0" w:type="auto"/>
            <w:shd w:val="clear" w:color="auto" w:fill="auto"/>
            <w:noWrap/>
            <w:vAlign w:val="bottom"/>
            <w:hideMark/>
          </w:tcPr>
          <w:p w14:paraId="12117987"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2.0</w:t>
            </w:r>
          </w:p>
        </w:tc>
        <w:tc>
          <w:tcPr>
            <w:tcW w:w="0" w:type="auto"/>
            <w:shd w:val="clear" w:color="auto" w:fill="auto"/>
            <w:noWrap/>
            <w:vAlign w:val="bottom"/>
            <w:hideMark/>
          </w:tcPr>
          <w:p w14:paraId="436FEB29"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2.1</w:t>
            </w:r>
          </w:p>
        </w:tc>
        <w:tc>
          <w:tcPr>
            <w:tcW w:w="0" w:type="auto"/>
            <w:shd w:val="clear" w:color="auto" w:fill="auto"/>
            <w:noWrap/>
            <w:vAlign w:val="bottom"/>
            <w:hideMark/>
          </w:tcPr>
          <w:p w14:paraId="379D69CC"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2.1</w:t>
            </w:r>
          </w:p>
        </w:tc>
        <w:tc>
          <w:tcPr>
            <w:tcW w:w="0" w:type="auto"/>
            <w:vAlign w:val="bottom"/>
          </w:tcPr>
          <w:p w14:paraId="2CF09226"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2.1</w:t>
            </w:r>
          </w:p>
        </w:tc>
      </w:tr>
      <w:tr w:rsidR="00C03454" w:rsidRPr="000C6B73" w14:paraId="2617731A" w14:textId="77777777" w:rsidTr="00C03454">
        <w:trPr>
          <w:trHeight w:val="300"/>
        </w:trPr>
        <w:tc>
          <w:tcPr>
            <w:tcW w:w="0" w:type="auto"/>
            <w:tcBorders>
              <w:bottom w:val="single" w:sz="4" w:space="0" w:color="7F7F7F" w:themeColor="text1" w:themeTint="80"/>
            </w:tcBorders>
            <w:shd w:val="clear" w:color="auto" w:fill="auto"/>
            <w:vAlign w:val="center"/>
            <w:hideMark/>
          </w:tcPr>
          <w:p w14:paraId="6112DF79" w14:textId="74ED8310" w:rsidR="00C03454" w:rsidRPr="000C6B73" w:rsidRDefault="00C03454" w:rsidP="00C03454">
            <w:pPr>
              <w:spacing w:after="0" w:line="264" w:lineRule="auto"/>
              <w:rPr>
                <w:rFonts w:eastAsia="Times New Roman" w:cs="Arial"/>
                <w:sz w:val="16"/>
                <w:szCs w:val="16"/>
                <w:lang w:eastAsia="en-AU"/>
              </w:rPr>
            </w:pPr>
            <w:r w:rsidRPr="000C6B73">
              <w:rPr>
                <w:rFonts w:eastAsia="Times New Roman" w:cs="Arial"/>
                <w:sz w:val="16"/>
                <w:szCs w:val="16"/>
                <w:lang w:eastAsia="en-AU"/>
              </w:rPr>
              <w:t xml:space="preserve">Waste managed </w:t>
            </w:r>
            <w:r w:rsidRPr="000C6B73">
              <w:rPr>
                <w:rFonts w:eastAsia="Times New Roman" w:cs="Arial"/>
                <w:sz w:val="16"/>
                <w:szCs w:val="16"/>
                <w:lang w:eastAsia="en-AU"/>
              </w:rPr>
              <w:br/>
              <w:t>per $million GSP</w:t>
            </w:r>
          </w:p>
        </w:tc>
        <w:tc>
          <w:tcPr>
            <w:tcW w:w="0" w:type="auto"/>
            <w:tcBorders>
              <w:bottom w:val="single" w:sz="4" w:space="0" w:color="7F7F7F" w:themeColor="text1" w:themeTint="80"/>
            </w:tcBorders>
            <w:shd w:val="clear" w:color="auto" w:fill="auto"/>
            <w:noWrap/>
            <w:vAlign w:val="bottom"/>
            <w:hideMark/>
          </w:tcPr>
          <w:p w14:paraId="1A52D98C"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38.7</w:t>
            </w:r>
          </w:p>
        </w:tc>
        <w:tc>
          <w:tcPr>
            <w:tcW w:w="0" w:type="auto"/>
            <w:tcBorders>
              <w:bottom w:val="single" w:sz="4" w:space="0" w:color="7F7F7F" w:themeColor="text1" w:themeTint="80"/>
            </w:tcBorders>
            <w:shd w:val="clear" w:color="auto" w:fill="auto"/>
            <w:noWrap/>
            <w:vAlign w:val="bottom"/>
            <w:hideMark/>
          </w:tcPr>
          <w:p w14:paraId="77708043"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37.5</w:t>
            </w:r>
          </w:p>
        </w:tc>
        <w:tc>
          <w:tcPr>
            <w:tcW w:w="0" w:type="auto"/>
            <w:tcBorders>
              <w:bottom w:val="single" w:sz="4" w:space="0" w:color="7F7F7F" w:themeColor="text1" w:themeTint="80"/>
            </w:tcBorders>
            <w:shd w:val="clear" w:color="auto" w:fill="auto"/>
            <w:noWrap/>
            <w:vAlign w:val="bottom"/>
            <w:hideMark/>
          </w:tcPr>
          <w:p w14:paraId="31F57138"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38.8</w:t>
            </w:r>
          </w:p>
        </w:tc>
        <w:tc>
          <w:tcPr>
            <w:tcW w:w="0" w:type="auto"/>
            <w:tcBorders>
              <w:bottom w:val="single" w:sz="4" w:space="0" w:color="7F7F7F" w:themeColor="text1" w:themeTint="80"/>
            </w:tcBorders>
            <w:shd w:val="clear" w:color="auto" w:fill="auto"/>
            <w:noWrap/>
            <w:vAlign w:val="bottom"/>
            <w:hideMark/>
          </w:tcPr>
          <w:p w14:paraId="300533F5"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38.8</w:t>
            </w:r>
          </w:p>
        </w:tc>
        <w:tc>
          <w:tcPr>
            <w:tcW w:w="0" w:type="auto"/>
            <w:tcBorders>
              <w:bottom w:val="single" w:sz="4" w:space="0" w:color="7F7F7F" w:themeColor="text1" w:themeTint="80"/>
            </w:tcBorders>
            <w:shd w:val="clear" w:color="auto" w:fill="auto"/>
            <w:noWrap/>
            <w:vAlign w:val="bottom"/>
            <w:hideMark/>
          </w:tcPr>
          <w:p w14:paraId="52A703D6"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36.3</w:t>
            </w:r>
          </w:p>
        </w:tc>
        <w:tc>
          <w:tcPr>
            <w:tcW w:w="0" w:type="auto"/>
            <w:tcBorders>
              <w:bottom w:val="single" w:sz="4" w:space="0" w:color="7F7F7F" w:themeColor="text1" w:themeTint="80"/>
            </w:tcBorders>
            <w:shd w:val="clear" w:color="auto" w:fill="auto"/>
            <w:noWrap/>
            <w:vAlign w:val="bottom"/>
            <w:hideMark/>
          </w:tcPr>
          <w:p w14:paraId="6C4B0DAB"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34.7</w:t>
            </w:r>
          </w:p>
        </w:tc>
        <w:tc>
          <w:tcPr>
            <w:tcW w:w="0" w:type="auto"/>
            <w:tcBorders>
              <w:bottom w:val="single" w:sz="4" w:space="0" w:color="7F7F7F" w:themeColor="text1" w:themeTint="80"/>
            </w:tcBorders>
            <w:shd w:val="clear" w:color="auto" w:fill="auto"/>
            <w:noWrap/>
            <w:vAlign w:val="bottom"/>
            <w:hideMark/>
          </w:tcPr>
          <w:p w14:paraId="16584CAA"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32.6</w:t>
            </w:r>
          </w:p>
        </w:tc>
        <w:tc>
          <w:tcPr>
            <w:tcW w:w="0" w:type="auto"/>
            <w:tcBorders>
              <w:bottom w:val="single" w:sz="4" w:space="0" w:color="7F7F7F" w:themeColor="text1" w:themeTint="80"/>
            </w:tcBorders>
            <w:shd w:val="clear" w:color="auto" w:fill="auto"/>
            <w:noWrap/>
            <w:vAlign w:val="bottom"/>
            <w:hideMark/>
          </w:tcPr>
          <w:p w14:paraId="5481CCAE"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33.2</w:t>
            </w:r>
          </w:p>
        </w:tc>
        <w:tc>
          <w:tcPr>
            <w:tcW w:w="0" w:type="auto"/>
            <w:tcBorders>
              <w:bottom w:val="single" w:sz="4" w:space="0" w:color="7F7F7F" w:themeColor="text1" w:themeTint="80"/>
            </w:tcBorders>
            <w:shd w:val="clear" w:color="auto" w:fill="auto"/>
            <w:noWrap/>
            <w:vAlign w:val="bottom"/>
            <w:hideMark/>
          </w:tcPr>
          <w:p w14:paraId="12960E86"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31.8</w:t>
            </w:r>
          </w:p>
        </w:tc>
        <w:tc>
          <w:tcPr>
            <w:tcW w:w="0" w:type="auto"/>
            <w:tcBorders>
              <w:bottom w:val="single" w:sz="4" w:space="0" w:color="7F7F7F" w:themeColor="text1" w:themeTint="80"/>
            </w:tcBorders>
            <w:vAlign w:val="bottom"/>
          </w:tcPr>
          <w:p w14:paraId="21B7DFF5"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30</w:t>
            </w:r>
          </w:p>
        </w:tc>
      </w:tr>
      <w:tr w:rsidR="00C03454" w:rsidRPr="000C6B73" w14:paraId="59939F39" w14:textId="77777777" w:rsidTr="00C03454">
        <w:trPr>
          <w:trHeight w:val="300"/>
        </w:trPr>
        <w:tc>
          <w:tcPr>
            <w:tcW w:w="0" w:type="auto"/>
            <w:tcBorders>
              <w:top w:val="single" w:sz="4" w:space="0" w:color="7F7F7F" w:themeColor="text1" w:themeTint="80"/>
              <w:bottom w:val="single" w:sz="4" w:space="0" w:color="auto"/>
            </w:tcBorders>
            <w:shd w:val="clear" w:color="auto" w:fill="auto"/>
            <w:vAlign w:val="center"/>
            <w:hideMark/>
          </w:tcPr>
          <w:p w14:paraId="0C8045DE" w14:textId="25C329AF" w:rsidR="00C03454" w:rsidRPr="000C6B73" w:rsidRDefault="00C03454" w:rsidP="00C03454">
            <w:pPr>
              <w:spacing w:after="0" w:line="264" w:lineRule="auto"/>
              <w:rPr>
                <w:rFonts w:eastAsia="Times New Roman" w:cs="Arial"/>
                <w:sz w:val="16"/>
                <w:szCs w:val="16"/>
                <w:lang w:eastAsia="en-AU"/>
              </w:rPr>
            </w:pPr>
            <w:r w:rsidRPr="000C6B73">
              <w:rPr>
                <w:rFonts w:eastAsia="Times New Roman" w:cs="Arial"/>
                <w:sz w:val="16"/>
                <w:szCs w:val="16"/>
                <w:lang w:eastAsia="en-AU"/>
              </w:rPr>
              <w:t>Total Waste Managed</w:t>
            </w:r>
          </w:p>
        </w:tc>
        <w:tc>
          <w:tcPr>
            <w:tcW w:w="0" w:type="auto"/>
            <w:tcBorders>
              <w:top w:val="single" w:sz="4" w:space="0" w:color="7F7F7F" w:themeColor="text1" w:themeTint="80"/>
              <w:bottom w:val="single" w:sz="4" w:space="0" w:color="auto"/>
            </w:tcBorders>
            <w:shd w:val="clear" w:color="auto" w:fill="auto"/>
            <w:noWrap/>
            <w:vAlign w:val="bottom"/>
            <w:hideMark/>
          </w:tcPr>
          <w:p w14:paraId="4F525EBB"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11.0</w:t>
            </w:r>
          </w:p>
        </w:tc>
        <w:tc>
          <w:tcPr>
            <w:tcW w:w="0" w:type="auto"/>
            <w:tcBorders>
              <w:top w:val="single" w:sz="4" w:space="0" w:color="7F7F7F" w:themeColor="text1" w:themeTint="80"/>
              <w:bottom w:val="single" w:sz="4" w:space="0" w:color="auto"/>
            </w:tcBorders>
            <w:shd w:val="clear" w:color="auto" w:fill="auto"/>
            <w:noWrap/>
            <w:vAlign w:val="bottom"/>
            <w:hideMark/>
          </w:tcPr>
          <w:p w14:paraId="260916EF"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11.0</w:t>
            </w:r>
          </w:p>
        </w:tc>
        <w:tc>
          <w:tcPr>
            <w:tcW w:w="0" w:type="auto"/>
            <w:tcBorders>
              <w:top w:val="single" w:sz="4" w:space="0" w:color="7F7F7F" w:themeColor="text1" w:themeTint="80"/>
              <w:bottom w:val="single" w:sz="4" w:space="0" w:color="auto"/>
            </w:tcBorders>
            <w:shd w:val="clear" w:color="auto" w:fill="auto"/>
            <w:noWrap/>
            <w:vAlign w:val="bottom"/>
            <w:hideMark/>
          </w:tcPr>
          <w:p w14:paraId="45C190FC"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12.1</w:t>
            </w:r>
          </w:p>
        </w:tc>
        <w:tc>
          <w:tcPr>
            <w:tcW w:w="0" w:type="auto"/>
            <w:tcBorders>
              <w:top w:val="single" w:sz="4" w:space="0" w:color="7F7F7F" w:themeColor="text1" w:themeTint="80"/>
              <w:bottom w:val="single" w:sz="4" w:space="0" w:color="auto"/>
            </w:tcBorders>
            <w:shd w:val="clear" w:color="auto" w:fill="auto"/>
            <w:noWrap/>
            <w:vAlign w:val="bottom"/>
            <w:hideMark/>
          </w:tcPr>
          <w:p w14:paraId="2DE3FC4C"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12.7</w:t>
            </w:r>
          </w:p>
        </w:tc>
        <w:tc>
          <w:tcPr>
            <w:tcW w:w="0" w:type="auto"/>
            <w:tcBorders>
              <w:top w:val="single" w:sz="4" w:space="0" w:color="7F7F7F" w:themeColor="text1" w:themeTint="80"/>
              <w:bottom w:val="single" w:sz="4" w:space="0" w:color="auto"/>
            </w:tcBorders>
            <w:shd w:val="clear" w:color="auto" w:fill="auto"/>
            <w:noWrap/>
            <w:vAlign w:val="bottom"/>
            <w:hideMark/>
          </w:tcPr>
          <w:p w14:paraId="1E52C6E7"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12.3</w:t>
            </w:r>
          </w:p>
        </w:tc>
        <w:tc>
          <w:tcPr>
            <w:tcW w:w="0" w:type="auto"/>
            <w:tcBorders>
              <w:top w:val="single" w:sz="4" w:space="0" w:color="7F7F7F" w:themeColor="text1" w:themeTint="80"/>
              <w:bottom w:val="single" w:sz="4" w:space="0" w:color="auto"/>
            </w:tcBorders>
            <w:shd w:val="clear" w:color="auto" w:fill="auto"/>
            <w:noWrap/>
            <w:vAlign w:val="bottom"/>
            <w:hideMark/>
          </w:tcPr>
          <w:p w14:paraId="68A556D8"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12.0</w:t>
            </w:r>
          </w:p>
        </w:tc>
        <w:tc>
          <w:tcPr>
            <w:tcW w:w="0" w:type="auto"/>
            <w:tcBorders>
              <w:top w:val="single" w:sz="4" w:space="0" w:color="7F7F7F" w:themeColor="text1" w:themeTint="80"/>
              <w:bottom w:val="single" w:sz="4" w:space="0" w:color="auto"/>
            </w:tcBorders>
            <w:shd w:val="clear" w:color="auto" w:fill="auto"/>
            <w:noWrap/>
            <w:vAlign w:val="bottom"/>
            <w:hideMark/>
          </w:tcPr>
          <w:p w14:paraId="2A018EE3"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11.8</w:t>
            </w:r>
          </w:p>
        </w:tc>
        <w:tc>
          <w:tcPr>
            <w:tcW w:w="0" w:type="auto"/>
            <w:tcBorders>
              <w:top w:val="single" w:sz="4" w:space="0" w:color="7F7F7F" w:themeColor="text1" w:themeTint="80"/>
              <w:bottom w:val="single" w:sz="4" w:space="0" w:color="auto"/>
            </w:tcBorders>
            <w:shd w:val="clear" w:color="auto" w:fill="auto"/>
            <w:noWrap/>
            <w:vAlign w:val="bottom"/>
            <w:hideMark/>
          </w:tcPr>
          <w:p w14:paraId="18D35BF4"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12.5</w:t>
            </w:r>
          </w:p>
        </w:tc>
        <w:tc>
          <w:tcPr>
            <w:tcW w:w="0" w:type="auto"/>
            <w:tcBorders>
              <w:top w:val="single" w:sz="4" w:space="0" w:color="7F7F7F" w:themeColor="text1" w:themeTint="80"/>
              <w:bottom w:val="single" w:sz="4" w:space="0" w:color="auto"/>
            </w:tcBorders>
            <w:shd w:val="clear" w:color="auto" w:fill="auto"/>
            <w:noWrap/>
            <w:vAlign w:val="bottom"/>
            <w:hideMark/>
          </w:tcPr>
          <w:p w14:paraId="7F7B7009" w14:textId="77777777"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12.7</w:t>
            </w:r>
          </w:p>
        </w:tc>
        <w:tc>
          <w:tcPr>
            <w:tcW w:w="0" w:type="auto"/>
            <w:tcBorders>
              <w:top w:val="single" w:sz="4" w:space="0" w:color="7F7F7F" w:themeColor="text1" w:themeTint="80"/>
              <w:bottom w:val="single" w:sz="4" w:space="0" w:color="auto"/>
            </w:tcBorders>
            <w:vAlign w:val="bottom"/>
          </w:tcPr>
          <w:p w14:paraId="3D8605A7" w14:textId="03173DED" w:rsidR="00C03454" w:rsidRPr="000C6B73" w:rsidRDefault="00C03454" w:rsidP="00C03454">
            <w:pPr>
              <w:spacing w:after="0" w:line="264" w:lineRule="auto"/>
              <w:jc w:val="right"/>
              <w:rPr>
                <w:rFonts w:eastAsia="Times New Roman" w:cs="Arial"/>
                <w:color w:val="000000"/>
                <w:sz w:val="16"/>
                <w:szCs w:val="16"/>
                <w:lang w:eastAsia="en-AU"/>
              </w:rPr>
            </w:pPr>
            <w:r w:rsidRPr="000C6B73">
              <w:rPr>
                <w:rFonts w:eastAsia="Times New Roman" w:cs="Arial"/>
                <w:color w:val="000000"/>
                <w:sz w:val="16"/>
                <w:szCs w:val="16"/>
                <w:lang w:eastAsia="en-AU"/>
              </w:rPr>
              <w:t>12.9</w:t>
            </w:r>
          </w:p>
        </w:tc>
      </w:tr>
    </w:tbl>
    <w:p w14:paraId="2DFFF030" w14:textId="258EDB4A" w:rsidR="00C03454" w:rsidRDefault="00C03454" w:rsidP="00C91213">
      <w:pPr>
        <w:pStyle w:val="Caption"/>
        <w:keepNext/>
        <w:rPr>
          <w:rFonts w:cs="Arial"/>
        </w:rPr>
      </w:pPr>
    </w:p>
    <w:p w14:paraId="747F753B" w14:textId="77777777" w:rsidR="000C6B73" w:rsidRPr="000C6B73" w:rsidRDefault="000C6B73" w:rsidP="000C6B73"/>
    <w:p w14:paraId="18DD62E6" w14:textId="79A0EF0E" w:rsidR="00C91213" w:rsidRDefault="00C91213" w:rsidP="00C91213">
      <w:pPr>
        <w:pStyle w:val="Caption"/>
        <w:keepNext/>
        <w:rPr>
          <w:rFonts w:cs="Arial"/>
        </w:rPr>
      </w:pPr>
      <w:r w:rsidRPr="00C91213">
        <w:rPr>
          <w:rFonts w:cs="Arial"/>
        </w:rPr>
        <w:t xml:space="preserve">Figure </w:t>
      </w:r>
      <w:r w:rsidR="0096621C">
        <w:rPr>
          <w:rFonts w:cs="Arial"/>
        </w:rPr>
        <w:t>3</w:t>
      </w:r>
      <w:r w:rsidRPr="00C91213">
        <w:rPr>
          <w:rFonts w:cs="Arial"/>
        </w:rPr>
        <w:t xml:space="preserve"> Total waste </w:t>
      </w:r>
      <w:r w:rsidR="005E6D05">
        <w:rPr>
          <w:rFonts w:cs="Arial"/>
        </w:rPr>
        <w:t>managed</w:t>
      </w:r>
      <w:r w:rsidR="005E6D05" w:rsidRPr="00C91213">
        <w:rPr>
          <w:rFonts w:cs="Arial"/>
        </w:rPr>
        <w:t xml:space="preserve"> </w:t>
      </w:r>
      <w:r w:rsidRPr="00C91213">
        <w:rPr>
          <w:rFonts w:cs="Arial"/>
        </w:rPr>
        <w:t>relative to economic and population trends, Victoria 200</w:t>
      </w:r>
      <w:r w:rsidR="00EA6DD4">
        <w:rPr>
          <w:rFonts w:cs="Arial"/>
        </w:rPr>
        <w:t>7</w:t>
      </w:r>
      <w:r w:rsidRPr="00C91213">
        <w:rPr>
          <w:rFonts w:cs="Arial"/>
        </w:rPr>
        <w:t>-0</w:t>
      </w:r>
      <w:r w:rsidR="00EA6DD4">
        <w:rPr>
          <w:rFonts w:cs="Arial"/>
        </w:rPr>
        <w:t>8</w:t>
      </w:r>
      <w:r w:rsidRPr="00C91213">
        <w:rPr>
          <w:rFonts w:cs="Arial"/>
        </w:rPr>
        <w:t xml:space="preserve"> to 201</w:t>
      </w:r>
      <w:r w:rsidR="00EA6DD4">
        <w:rPr>
          <w:rFonts w:cs="Arial"/>
        </w:rPr>
        <w:t>6</w:t>
      </w:r>
      <w:r w:rsidRPr="00C91213">
        <w:rPr>
          <w:rFonts w:cs="Arial"/>
        </w:rPr>
        <w:t>-</w:t>
      </w:r>
      <w:bookmarkEnd w:id="7"/>
      <w:bookmarkEnd w:id="8"/>
      <w:bookmarkEnd w:id="9"/>
      <w:r w:rsidR="00F7347D">
        <w:rPr>
          <w:rFonts w:cs="Arial"/>
        </w:rPr>
        <w:t>1</w:t>
      </w:r>
      <w:r w:rsidR="00EA6DD4">
        <w:rPr>
          <w:rFonts w:cs="Arial"/>
        </w:rPr>
        <w:t>7</w:t>
      </w:r>
    </w:p>
    <w:p w14:paraId="191C6841" w14:textId="106E2365" w:rsidR="0056477A" w:rsidRDefault="001229C1" w:rsidP="0056477A">
      <w:r w:rsidRPr="001229C1">
        <w:rPr>
          <w:noProof/>
          <w:lang w:eastAsia="en-AU"/>
        </w:rPr>
        <w:drawing>
          <wp:inline distT="0" distB="0" distL="0" distR="0" wp14:anchorId="6F8986F8" wp14:editId="717BC107">
            <wp:extent cx="4485600" cy="25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5600" cy="2595600"/>
                    </a:xfrm>
                    <a:prstGeom prst="rect">
                      <a:avLst/>
                    </a:prstGeom>
                    <a:noFill/>
                    <a:ln>
                      <a:noFill/>
                    </a:ln>
                  </pic:spPr>
                </pic:pic>
              </a:graphicData>
            </a:graphic>
          </wp:inline>
        </w:drawing>
      </w:r>
    </w:p>
    <w:p w14:paraId="3A83EA61" w14:textId="5870F725" w:rsidR="00DB6C3E" w:rsidRDefault="00DB6C3E">
      <w:pPr>
        <w:rPr>
          <w:rFonts w:cs="Arial"/>
          <w:sz w:val="20"/>
          <w:szCs w:val="20"/>
        </w:rPr>
      </w:pPr>
      <w:r>
        <w:rPr>
          <w:rFonts w:cs="Arial"/>
          <w:sz w:val="20"/>
          <w:szCs w:val="20"/>
        </w:rPr>
        <w:br w:type="page"/>
      </w:r>
    </w:p>
    <w:p w14:paraId="045A9420" w14:textId="739A12C1" w:rsidR="00C91213" w:rsidRPr="00491F1C" w:rsidRDefault="00C91213" w:rsidP="001354FA">
      <w:pPr>
        <w:pStyle w:val="Heading2"/>
      </w:pPr>
      <w:bookmarkStart w:id="12" w:name="_Toc461439633"/>
      <w:bookmarkStart w:id="13" w:name="_Toc525308005"/>
      <w:r w:rsidRPr="00491F1C">
        <w:lastRenderedPageBreak/>
        <w:t xml:space="preserve">Composition of </w:t>
      </w:r>
      <w:r w:rsidR="00715C03">
        <w:t xml:space="preserve">recovered </w:t>
      </w:r>
      <w:r w:rsidRPr="00491F1C">
        <w:t>material</w:t>
      </w:r>
      <w:bookmarkEnd w:id="12"/>
      <w:bookmarkEnd w:id="13"/>
    </w:p>
    <w:p w14:paraId="21F14A12" w14:textId="5359375A" w:rsidR="00C91213" w:rsidRPr="00C91213" w:rsidRDefault="00C91213" w:rsidP="00D947E9">
      <w:r w:rsidRPr="00C91213">
        <w:t>The types of solid material recovered for reprocessing in 201</w:t>
      </w:r>
      <w:r w:rsidR="001F26D4">
        <w:t>6</w:t>
      </w:r>
      <w:r w:rsidRPr="00C91213">
        <w:t>-1</w:t>
      </w:r>
      <w:r w:rsidR="001F26D4">
        <w:t>7</w:t>
      </w:r>
      <w:r w:rsidRPr="00C91213">
        <w:t xml:space="preserve"> is presented in Figure </w:t>
      </w:r>
      <w:r w:rsidR="0096621C">
        <w:t>4</w:t>
      </w:r>
      <w:r w:rsidRPr="00C91213">
        <w:t xml:space="preserve">. </w:t>
      </w:r>
      <w:r w:rsidRPr="00C91213">
        <w:rPr>
          <w:i/>
        </w:rPr>
        <w:t>Aggregates, masonry &amp; soil</w:t>
      </w:r>
      <w:r w:rsidRPr="00C91213">
        <w:t xml:space="preserve"> accounted for 4</w:t>
      </w:r>
      <w:r w:rsidR="001F26D4">
        <w:t>7</w:t>
      </w:r>
      <w:r w:rsidRPr="00C91213">
        <w:t>% of all material recovered for reprocessing by weight</w:t>
      </w:r>
      <w:r w:rsidR="00491F1C">
        <w:t xml:space="preserve"> and </w:t>
      </w:r>
      <w:r w:rsidR="0095212B">
        <w:rPr>
          <w:i/>
        </w:rPr>
        <w:t>m</w:t>
      </w:r>
      <w:r w:rsidRPr="00C91213">
        <w:rPr>
          <w:i/>
        </w:rPr>
        <w:t xml:space="preserve">etal </w:t>
      </w:r>
      <w:r w:rsidRPr="00C91213">
        <w:t xml:space="preserve">and </w:t>
      </w:r>
      <w:r w:rsidR="0095212B" w:rsidRPr="0095212B">
        <w:rPr>
          <w:i/>
        </w:rPr>
        <w:t>paper / c</w:t>
      </w:r>
      <w:r w:rsidRPr="0095212B">
        <w:rPr>
          <w:i/>
        </w:rPr>
        <w:t>ardboard</w:t>
      </w:r>
      <w:r w:rsidRPr="00C91213">
        <w:t xml:space="preserve"> accounted for </w:t>
      </w:r>
      <w:r w:rsidR="001F26D4">
        <w:t>20</w:t>
      </w:r>
      <w:r w:rsidRPr="00C91213">
        <w:t>% and 1</w:t>
      </w:r>
      <w:r w:rsidR="001F26D4">
        <w:t>7</w:t>
      </w:r>
      <w:r w:rsidRPr="00C91213">
        <w:t>% respectively.</w:t>
      </w:r>
    </w:p>
    <w:p w14:paraId="6552E2DB" w14:textId="25E7D755" w:rsidR="005F43C6" w:rsidRDefault="00C91213" w:rsidP="005F43C6">
      <w:pPr>
        <w:pStyle w:val="Caption"/>
        <w:keepNext/>
        <w:rPr>
          <w:rFonts w:cs="Arial"/>
          <w:color w:val="auto"/>
        </w:rPr>
      </w:pPr>
      <w:bookmarkStart w:id="14" w:name="_Toc460413172"/>
      <w:bookmarkStart w:id="15" w:name="_Toc461436975"/>
      <w:bookmarkStart w:id="16" w:name="_Toc461438991"/>
      <w:r w:rsidRPr="00C91213">
        <w:rPr>
          <w:rFonts w:cs="Arial"/>
          <w:color w:val="auto"/>
        </w:rPr>
        <w:t xml:space="preserve">Figure </w:t>
      </w:r>
      <w:r w:rsidR="0096621C">
        <w:rPr>
          <w:rFonts w:cs="Arial"/>
          <w:color w:val="auto"/>
        </w:rPr>
        <w:t>4</w:t>
      </w:r>
      <w:r w:rsidRPr="00C91213">
        <w:rPr>
          <w:rFonts w:cs="Arial"/>
        </w:rPr>
        <w:t xml:space="preserve"> </w:t>
      </w:r>
      <w:r w:rsidRPr="00C91213">
        <w:rPr>
          <w:rFonts w:cs="Arial"/>
          <w:color w:val="auto"/>
        </w:rPr>
        <w:t>Composition of material recovered for reprocessing (by weight), Victoria 201</w:t>
      </w:r>
      <w:r w:rsidR="001F26D4">
        <w:rPr>
          <w:rFonts w:cs="Arial"/>
          <w:color w:val="auto"/>
        </w:rPr>
        <w:t>6</w:t>
      </w:r>
      <w:r w:rsidRPr="00C91213">
        <w:rPr>
          <w:rFonts w:cs="Arial"/>
          <w:color w:val="auto"/>
        </w:rPr>
        <w:t>-1</w:t>
      </w:r>
      <w:bookmarkEnd w:id="14"/>
      <w:bookmarkEnd w:id="15"/>
      <w:bookmarkEnd w:id="16"/>
      <w:r w:rsidR="001F26D4">
        <w:rPr>
          <w:rFonts w:cs="Arial"/>
          <w:color w:val="auto"/>
        </w:rPr>
        <w:t>7</w:t>
      </w:r>
    </w:p>
    <w:p w14:paraId="2C62C746" w14:textId="3E12C07F" w:rsidR="00386BA3" w:rsidRDefault="001229C1" w:rsidP="00E339DB">
      <w:pPr>
        <w:jc w:val="center"/>
      </w:pPr>
      <w:r w:rsidRPr="001229C1">
        <w:rPr>
          <w:noProof/>
          <w:lang w:eastAsia="en-AU"/>
        </w:rPr>
        <w:drawing>
          <wp:inline distT="0" distB="0" distL="0" distR="0" wp14:anchorId="099AD367" wp14:editId="31AE61F9">
            <wp:extent cx="4100400" cy="23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0400" cy="2325600"/>
                    </a:xfrm>
                    <a:prstGeom prst="rect">
                      <a:avLst/>
                    </a:prstGeom>
                    <a:noFill/>
                    <a:ln>
                      <a:noFill/>
                    </a:ln>
                  </pic:spPr>
                </pic:pic>
              </a:graphicData>
            </a:graphic>
          </wp:inline>
        </w:drawing>
      </w:r>
    </w:p>
    <w:p w14:paraId="3576FDF7" w14:textId="618FE03E" w:rsidR="00C91213" w:rsidRDefault="00C91213" w:rsidP="00D947E9">
      <w:r w:rsidRPr="00C91213">
        <w:t>A summary of material recovered in Victoria for reprocessing in 201</w:t>
      </w:r>
      <w:r w:rsidR="001F26D4">
        <w:t>6</w:t>
      </w:r>
      <w:r w:rsidRPr="00C91213">
        <w:t>-1</w:t>
      </w:r>
      <w:r w:rsidR="001F26D4">
        <w:t>7</w:t>
      </w:r>
      <w:r w:rsidRPr="00C91213">
        <w:t xml:space="preserve"> is shown in Table 2.</w:t>
      </w:r>
    </w:p>
    <w:p w14:paraId="679A97C4" w14:textId="77777777" w:rsidR="000C6B73" w:rsidRPr="00C91213" w:rsidRDefault="000C6B73" w:rsidP="00D947E9"/>
    <w:p w14:paraId="79D07A5F" w14:textId="4AFA075F" w:rsidR="00C91213" w:rsidRDefault="00C91213" w:rsidP="000254B0">
      <w:pPr>
        <w:pStyle w:val="Caption"/>
        <w:keepNext/>
        <w:rPr>
          <w:rFonts w:cs="Arial"/>
          <w:color w:val="auto"/>
        </w:rPr>
      </w:pPr>
      <w:bookmarkStart w:id="17" w:name="_Toc460413178"/>
      <w:bookmarkStart w:id="18" w:name="_Toc461439091"/>
      <w:r w:rsidRPr="00C91213">
        <w:rPr>
          <w:rFonts w:cs="Arial"/>
        </w:rPr>
        <w:t xml:space="preserve">Table </w:t>
      </w:r>
      <w:r w:rsidRPr="00C91213">
        <w:rPr>
          <w:rFonts w:cs="Arial"/>
        </w:rPr>
        <w:fldChar w:fldCharType="begin"/>
      </w:r>
      <w:r w:rsidRPr="00C91213">
        <w:rPr>
          <w:rFonts w:cs="Arial"/>
        </w:rPr>
        <w:instrText xml:space="preserve"> SEQ Table \* ARABIC </w:instrText>
      </w:r>
      <w:r w:rsidRPr="00C91213">
        <w:rPr>
          <w:rFonts w:cs="Arial"/>
        </w:rPr>
        <w:fldChar w:fldCharType="separate"/>
      </w:r>
      <w:r w:rsidR="004F79B1">
        <w:rPr>
          <w:rFonts w:cs="Arial"/>
          <w:noProof/>
        </w:rPr>
        <w:t>2</w:t>
      </w:r>
      <w:r w:rsidRPr="00C91213">
        <w:rPr>
          <w:rFonts w:cs="Arial"/>
        </w:rPr>
        <w:fldChar w:fldCharType="end"/>
      </w:r>
      <w:r w:rsidRPr="00C91213">
        <w:rPr>
          <w:rFonts w:cs="Arial"/>
        </w:rPr>
        <w:t xml:space="preserve"> </w:t>
      </w:r>
      <w:r w:rsidRPr="00C91213">
        <w:rPr>
          <w:rFonts w:cs="Arial"/>
          <w:color w:val="auto"/>
        </w:rPr>
        <w:t>Total material types recovered for reprocessing, Victoria 201</w:t>
      </w:r>
      <w:r w:rsidR="001F26D4">
        <w:rPr>
          <w:rFonts w:cs="Arial"/>
          <w:color w:val="auto"/>
        </w:rPr>
        <w:t>6</w:t>
      </w:r>
      <w:r w:rsidRPr="00C91213">
        <w:rPr>
          <w:rFonts w:cs="Arial"/>
          <w:color w:val="auto"/>
        </w:rPr>
        <w:t>-1</w:t>
      </w:r>
      <w:r w:rsidR="001F26D4">
        <w:rPr>
          <w:rFonts w:cs="Arial"/>
          <w:color w:val="auto"/>
        </w:rPr>
        <w:t>7</w:t>
      </w:r>
      <w:r w:rsidRPr="00C91213">
        <w:rPr>
          <w:rFonts w:cs="Arial"/>
          <w:color w:val="auto"/>
        </w:rPr>
        <w:t xml:space="preserve"> and 20</w:t>
      </w:r>
      <w:r w:rsidR="00DD1C4B">
        <w:rPr>
          <w:rFonts w:cs="Arial"/>
          <w:color w:val="auto"/>
        </w:rPr>
        <w:t>1</w:t>
      </w:r>
      <w:r w:rsidR="001F26D4">
        <w:rPr>
          <w:rFonts w:cs="Arial"/>
          <w:color w:val="auto"/>
        </w:rPr>
        <w:t>5</w:t>
      </w:r>
      <w:r w:rsidRPr="00C91213">
        <w:rPr>
          <w:rFonts w:cs="Arial"/>
          <w:color w:val="auto"/>
        </w:rPr>
        <w:t>-1</w:t>
      </w:r>
      <w:bookmarkEnd w:id="17"/>
      <w:bookmarkEnd w:id="18"/>
      <w:r w:rsidR="001F26D4">
        <w:rPr>
          <w:rFonts w:cs="Arial"/>
          <w:color w:val="auto"/>
        </w:rPr>
        <w:t>6</w:t>
      </w:r>
    </w:p>
    <w:tbl>
      <w:tblPr>
        <w:tblW w:w="9072" w:type="dxa"/>
        <w:jc w:val="center"/>
        <w:tblBorders>
          <w:insideH w:val="single" w:sz="4" w:space="0" w:color="7F7F7F" w:themeColor="text1" w:themeTint="80"/>
        </w:tblBorders>
        <w:tblLook w:val="0600" w:firstRow="0" w:lastRow="0" w:firstColumn="0" w:lastColumn="0" w:noHBand="1" w:noVBand="1"/>
      </w:tblPr>
      <w:tblGrid>
        <w:gridCol w:w="2835"/>
        <w:gridCol w:w="2256"/>
        <w:gridCol w:w="2257"/>
        <w:gridCol w:w="1724"/>
      </w:tblGrid>
      <w:tr w:rsidR="00AF7AB8" w:rsidRPr="000C6B73" w14:paraId="33050A35" w14:textId="77777777" w:rsidTr="00107CD9">
        <w:trPr>
          <w:trHeight w:val="546"/>
          <w:jc w:val="center"/>
        </w:trPr>
        <w:tc>
          <w:tcPr>
            <w:tcW w:w="2835" w:type="dxa"/>
            <w:tcBorders>
              <w:top w:val="single" w:sz="4" w:space="0" w:color="7F7F7F" w:themeColor="text1" w:themeTint="80"/>
              <w:bottom w:val="single" w:sz="4" w:space="0" w:color="7F7F7F" w:themeColor="text1" w:themeTint="80"/>
            </w:tcBorders>
            <w:shd w:val="clear" w:color="auto" w:fill="92D050"/>
            <w:vAlign w:val="bottom"/>
            <w:hideMark/>
          </w:tcPr>
          <w:p w14:paraId="27C2483A" w14:textId="132C7F47" w:rsidR="00AF7AB8" w:rsidRPr="000C6B73" w:rsidRDefault="00AF7AB8" w:rsidP="00FA62F5">
            <w:pPr>
              <w:ind w:left="32"/>
              <w:rPr>
                <w:rFonts w:eastAsia="Times New Roman" w:cs="Arial"/>
                <w:b/>
                <w:color w:val="FFFFFF"/>
                <w:sz w:val="16"/>
                <w:szCs w:val="16"/>
                <w:lang w:eastAsia="en-AU"/>
              </w:rPr>
            </w:pPr>
            <w:r w:rsidRPr="000C6B73">
              <w:rPr>
                <w:rFonts w:eastAsia="Times New Roman" w:cs="Arial"/>
                <w:b/>
                <w:color w:val="FFFFFF"/>
                <w:sz w:val="16"/>
                <w:szCs w:val="16"/>
                <w:lang w:eastAsia="en-AU"/>
              </w:rPr>
              <w:t>Material Recovered</w:t>
            </w:r>
          </w:p>
        </w:tc>
        <w:tc>
          <w:tcPr>
            <w:tcW w:w="2256" w:type="dxa"/>
            <w:tcBorders>
              <w:top w:val="single" w:sz="4" w:space="0" w:color="7F7F7F" w:themeColor="text1" w:themeTint="80"/>
              <w:bottom w:val="single" w:sz="4" w:space="0" w:color="7F7F7F" w:themeColor="text1" w:themeTint="80"/>
            </w:tcBorders>
            <w:shd w:val="clear" w:color="auto" w:fill="92D050"/>
            <w:vAlign w:val="bottom"/>
            <w:hideMark/>
          </w:tcPr>
          <w:p w14:paraId="6359A426" w14:textId="6F8A7A41" w:rsidR="00AF7AB8" w:rsidRPr="000C6B73" w:rsidRDefault="00AF7AB8" w:rsidP="00FA62F5">
            <w:pPr>
              <w:spacing w:after="0" w:line="240" w:lineRule="auto"/>
              <w:ind w:left="-961" w:right="176" w:firstLine="961"/>
              <w:jc w:val="right"/>
              <w:rPr>
                <w:rFonts w:eastAsia="Times New Roman" w:cs="Arial"/>
                <w:b/>
                <w:color w:val="FFFFFF"/>
                <w:sz w:val="16"/>
                <w:szCs w:val="16"/>
                <w:lang w:eastAsia="en-AU"/>
              </w:rPr>
            </w:pPr>
            <w:r w:rsidRPr="000C6B73">
              <w:rPr>
                <w:rFonts w:eastAsia="Times New Roman" w:cs="Arial"/>
                <w:b/>
                <w:color w:val="FFFFFF"/>
                <w:sz w:val="16"/>
                <w:szCs w:val="16"/>
                <w:lang w:eastAsia="en-AU"/>
              </w:rPr>
              <w:t>201</w:t>
            </w:r>
            <w:r w:rsidR="001F26D4" w:rsidRPr="000C6B73">
              <w:rPr>
                <w:rFonts w:eastAsia="Times New Roman" w:cs="Arial"/>
                <w:b/>
                <w:color w:val="FFFFFF"/>
                <w:sz w:val="16"/>
                <w:szCs w:val="16"/>
                <w:lang w:eastAsia="en-AU"/>
              </w:rPr>
              <w:t>6</w:t>
            </w:r>
            <w:r w:rsidRPr="000C6B73">
              <w:rPr>
                <w:rFonts w:eastAsia="Times New Roman" w:cs="Arial"/>
                <w:b/>
                <w:color w:val="FFFFFF"/>
                <w:sz w:val="16"/>
                <w:szCs w:val="16"/>
                <w:lang w:eastAsia="en-AU"/>
              </w:rPr>
              <w:t>-1</w:t>
            </w:r>
            <w:r w:rsidR="001F26D4" w:rsidRPr="000C6B73">
              <w:rPr>
                <w:rFonts w:eastAsia="Times New Roman" w:cs="Arial"/>
                <w:b/>
                <w:color w:val="FFFFFF"/>
                <w:sz w:val="16"/>
                <w:szCs w:val="16"/>
                <w:lang w:eastAsia="en-AU"/>
              </w:rPr>
              <w:t>7</w:t>
            </w:r>
            <w:r w:rsidRPr="000C6B73">
              <w:rPr>
                <w:rFonts w:eastAsia="Times New Roman" w:cs="Arial"/>
                <w:b/>
                <w:color w:val="FFFFFF"/>
                <w:sz w:val="16"/>
                <w:szCs w:val="16"/>
                <w:lang w:eastAsia="en-AU"/>
              </w:rPr>
              <w:br/>
              <w:t>(tonnes)</w:t>
            </w:r>
          </w:p>
        </w:tc>
        <w:tc>
          <w:tcPr>
            <w:tcW w:w="2257" w:type="dxa"/>
            <w:tcBorders>
              <w:top w:val="single" w:sz="4" w:space="0" w:color="7F7F7F" w:themeColor="text1" w:themeTint="80"/>
              <w:bottom w:val="single" w:sz="4" w:space="0" w:color="7F7F7F" w:themeColor="text1" w:themeTint="80"/>
            </w:tcBorders>
            <w:shd w:val="clear" w:color="auto" w:fill="92D050"/>
            <w:vAlign w:val="bottom"/>
            <w:hideMark/>
          </w:tcPr>
          <w:p w14:paraId="00FB1FCC" w14:textId="5857888B" w:rsidR="00AF7AB8" w:rsidRPr="000C6B73" w:rsidRDefault="00AF7AB8" w:rsidP="00FA62F5">
            <w:pPr>
              <w:spacing w:after="0" w:line="240" w:lineRule="auto"/>
              <w:ind w:left="-961" w:right="175" w:firstLine="961"/>
              <w:jc w:val="right"/>
              <w:rPr>
                <w:rFonts w:eastAsia="Times New Roman" w:cs="Arial"/>
                <w:b/>
                <w:color w:val="FFFFFF"/>
                <w:sz w:val="16"/>
                <w:szCs w:val="16"/>
                <w:lang w:eastAsia="en-AU"/>
              </w:rPr>
            </w:pPr>
            <w:r w:rsidRPr="000C6B73">
              <w:rPr>
                <w:rFonts w:eastAsia="Times New Roman" w:cs="Arial"/>
                <w:b/>
                <w:color w:val="FFFFFF"/>
                <w:sz w:val="16"/>
                <w:szCs w:val="16"/>
                <w:lang w:eastAsia="en-AU"/>
              </w:rPr>
              <w:t>201</w:t>
            </w:r>
            <w:r w:rsidR="001F26D4" w:rsidRPr="000C6B73">
              <w:rPr>
                <w:rFonts w:eastAsia="Times New Roman" w:cs="Arial"/>
                <w:b/>
                <w:color w:val="FFFFFF"/>
                <w:sz w:val="16"/>
                <w:szCs w:val="16"/>
                <w:lang w:eastAsia="en-AU"/>
              </w:rPr>
              <w:t>5</w:t>
            </w:r>
            <w:r w:rsidRPr="000C6B73">
              <w:rPr>
                <w:rFonts w:eastAsia="Times New Roman" w:cs="Arial"/>
                <w:b/>
                <w:color w:val="FFFFFF"/>
                <w:sz w:val="16"/>
                <w:szCs w:val="16"/>
                <w:lang w:eastAsia="en-AU"/>
              </w:rPr>
              <w:t>-1</w:t>
            </w:r>
            <w:r w:rsidR="001F26D4" w:rsidRPr="000C6B73">
              <w:rPr>
                <w:rFonts w:eastAsia="Times New Roman" w:cs="Arial"/>
                <w:b/>
                <w:color w:val="FFFFFF"/>
                <w:sz w:val="16"/>
                <w:szCs w:val="16"/>
                <w:lang w:eastAsia="en-AU"/>
              </w:rPr>
              <w:t>6</w:t>
            </w:r>
            <w:r w:rsidRPr="000C6B73">
              <w:rPr>
                <w:rFonts w:eastAsia="Times New Roman" w:cs="Arial"/>
                <w:b/>
                <w:color w:val="FFFFFF"/>
                <w:sz w:val="16"/>
                <w:szCs w:val="16"/>
                <w:lang w:eastAsia="en-AU"/>
              </w:rPr>
              <w:br/>
              <w:t>(tonnes)</w:t>
            </w:r>
          </w:p>
        </w:tc>
        <w:tc>
          <w:tcPr>
            <w:tcW w:w="1724" w:type="dxa"/>
            <w:tcBorders>
              <w:top w:val="single" w:sz="4" w:space="0" w:color="7F7F7F" w:themeColor="text1" w:themeTint="80"/>
              <w:bottom w:val="single" w:sz="4" w:space="0" w:color="7F7F7F" w:themeColor="text1" w:themeTint="80"/>
            </w:tcBorders>
            <w:shd w:val="clear" w:color="auto" w:fill="92D050"/>
            <w:vAlign w:val="bottom"/>
            <w:hideMark/>
          </w:tcPr>
          <w:p w14:paraId="14938D7C" w14:textId="77777777" w:rsidR="00961672" w:rsidRPr="000C6B73" w:rsidRDefault="00AF7AB8" w:rsidP="00FA62F5">
            <w:pPr>
              <w:spacing w:after="0" w:line="240" w:lineRule="auto"/>
              <w:ind w:left="-961" w:right="175" w:firstLine="961"/>
              <w:jc w:val="right"/>
              <w:rPr>
                <w:rFonts w:eastAsia="Times New Roman" w:cs="Arial"/>
                <w:b/>
                <w:color w:val="FFFFFF"/>
                <w:sz w:val="16"/>
                <w:szCs w:val="16"/>
                <w:lang w:eastAsia="en-AU"/>
              </w:rPr>
            </w:pPr>
            <w:r w:rsidRPr="000C6B73">
              <w:rPr>
                <w:rFonts w:eastAsia="Times New Roman" w:cs="Arial"/>
                <w:b/>
                <w:color w:val="FFFFFF"/>
                <w:sz w:val="16"/>
                <w:szCs w:val="16"/>
                <w:lang w:eastAsia="en-AU"/>
              </w:rPr>
              <w:t>Change since</w:t>
            </w:r>
          </w:p>
          <w:p w14:paraId="3CFF8E5B" w14:textId="0BD556DC" w:rsidR="00AF7AB8" w:rsidRPr="000C6B73" w:rsidRDefault="00AF7AB8" w:rsidP="00FA62F5">
            <w:pPr>
              <w:spacing w:after="0" w:line="240" w:lineRule="auto"/>
              <w:ind w:left="-961" w:right="175" w:firstLine="961"/>
              <w:jc w:val="right"/>
              <w:rPr>
                <w:rFonts w:eastAsia="Times New Roman" w:cs="Arial"/>
                <w:b/>
                <w:color w:val="FFFFFF"/>
                <w:sz w:val="16"/>
                <w:szCs w:val="16"/>
                <w:lang w:eastAsia="en-AU"/>
              </w:rPr>
            </w:pPr>
            <w:r w:rsidRPr="000C6B73">
              <w:rPr>
                <w:rFonts w:eastAsia="Times New Roman" w:cs="Arial"/>
                <w:b/>
                <w:color w:val="FFFFFF"/>
                <w:sz w:val="16"/>
                <w:szCs w:val="16"/>
                <w:lang w:eastAsia="en-AU"/>
              </w:rPr>
              <w:t xml:space="preserve"> 201</w:t>
            </w:r>
            <w:r w:rsidR="001F26D4" w:rsidRPr="000C6B73">
              <w:rPr>
                <w:rFonts w:eastAsia="Times New Roman" w:cs="Arial"/>
                <w:b/>
                <w:color w:val="FFFFFF"/>
                <w:sz w:val="16"/>
                <w:szCs w:val="16"/>
                <w:lang w:eastAsia="en-AU"/>
              </w:rPr>
              <w:t>5</w:t>
            </w:r>
            <w:r w:rsidRPr="000C6B73">
              <w:rPr>
                <w:rFonts w:eastAsia="Times New Roman" w:cs="Arial"/>
                <w:b/>
                <w:color w:val="FFFFFF"/>
                <w:sz w:val="16"/>
                <w:szCs w:val="16"/>
                <w:lang w:eastAsia="en-AU"/>
              </w:rPr>
              <w:t>-1</w:t>
            </w:r>
            <w:r w:rsidR="001F26D4" w:rsidRPr="000C6B73">
              <w:rPr>
                <w:rFonts w:eastAsia="Times New Roman" w:cs="Arial"/>
                <w:b/>
                <w:color w:val="FFFFFF"/>
                <w:sz w:val="16"/>
                <w:szCs w:val="16"/>
                <w:lang w:eastAsia="en-AU"/>
              </w:rPr>
              <w:t>6</w:t>
            </w:r>
          </w:p>
        </w:tc>
      </w:tr>
      <w:tr w:rsidR="001F26D4" w:rsidRPr="000C6B73" w14:paraId="390DC23F" w14:textId="77777777" w:rsidTr="00107CD9">
        <w:trPr>
          <w:trHeight w:val="397"/>
          <w:jc w:val="center"/>
        </w:trPr>
        <w:tc>
          <w:tcPr>
            <w:tcW w:w="2835" w:type="dxa"/>
            <w:tcBorders>
              <w:top w:val="single" w:sz="4" w:space="0" w:color="7F7F7F" w:themeColor="text1" w:themeTint="80"/>
            </w:tcBorders>
            <w:shd w:val="clear" w:color="auto" w:fill="auto"/>
            <w:noWrap/>
            <w:vAlign w:val="bottom"/>
            <w:hideMark/>
          </w:tcPr>
          <w:p w14:paraId="63656DB1" w14:textId="0CD92339" w:rsidR="001F26D4" w:rsidRPr="000C6B73" w:rsidRDefault="001F26D4" w:rsidP="008F2232">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Aggregates, masonry &amp; soil</w:t>
            </w:r>
          </w:p>
        </w:tc>
        <w:tc>
          <w:tcPr>
            <w:tcW w:w="2256" w:type="dxa"/>
            <w:tcBorders>
              <w:top w:val="single" w:sz="4" w:space="0" w:color="7F7F7F" w:themeColor="text1" w:themeTint="80"/>
            </w:tcBorders>
            <w:shd w:val="clear" w:color="auto" w:fill="auto"/>
            <w:noWrap/>
            <w:vAlign w:val="bottom"/>
            <w:hideMark/>
          </w:tcPr>
          <w:p w14:paraId="452E025B" w14:textId="7F097F10" w:rsidR="001F26D4" w:rsidRPr="000C6B73" w:rsidRDefault="001F26D4" w:rsidP="008F2232">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4,067,526 </w:t>
            </w:r>
          </w:p>
        </w:tc>
        <w:tc>
          <w:tcPr>
            <w:tcW w:w="2257" w:type="dxa"/>
            <w:tcBorders>
              <w:top w:val="single" w:sz="4" w:space="0" w:color="7F7F7F" w:themeColor="text1" w:themeTint="80"/>
            </w:tcBorders>
            <w:shd w:val="clear" w:color="auto" w:fill="auto"/>
            <w:noWrap/>
            <w:vAlign w:val="bottom"/>
            <w:hideMark/>
          </w:tcPr>
          <w:p w14:paraId="111D3BD9" w14:textId="63D0A6E5" w:rsidR="001F26D4" w:rsidRPr="000C6B73" w:rsidRDefault="001F26D4" w:rsidP="008F2232">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4,093,270 </w:t>
            </w:r>
          </w:p>
        </w:tc>
        <w:tc>
          <w:tcPr>
            <w:tcW w:w="1724" w:type="dxa"/>
            <w:tcBorders>
              <w:top w:val="single" w:sz="4" w:space="0" w:color="7F7F7F" w:themeColor="text1" w:themeTint="80"/>
            </w:tcBorders>
            <w:shd w:val="clear" w:color="auto" w:fill="auto"/>
            <w:noWrap/>
            <w:vAlign w:val="bottom"/>
            <w:hideMark/>
          </w:tcPr>
          <w:p w14:paraId="298D9EB1" w14:textId="5DCD8BB3" w:rsidR="001F26D4" w:rsidRPr="000C6B73" w:rsidRDefault="00B8311D" w:rsidP="008F2232">
            <w:pPr>
              <w:spacing w:before="20" w:after="20" w:line="240" w:lineRule="auto"/>
              <w:ind w:left="-961" w:right="323"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-1</w:t>
            </w:r>
            <w:r w:rsidR="001F26D4" w:rsidRPr="000C6B73">
              <w:rPr>
                <w:rFonts w:eastAsia="Times New Roman" w:cs="Arial"/>
                <w:color w:val="000000"/>
                <w:sz w:val="16"/>
                <w:szCs w:val="16"/>
                <w:lang w:eastAsia="en-AU"/>
              </w:rPr>
              <w:t>%</w:t>
            </w:r>
          </w:p>
        </w:tc>
      </w:tr>
      <w:tr w:rsidR="001F26D4" w:rsidRPr="000C6B73" w14:paraId="68513D32" w14:textId="77777777" w:rsidTr="00B300C1">
        <w:trPr>
          <w:trHeight w:val="397"/>
          <w:jc w:val="center"/>
        </w:trPr>
        <w:tc>
          <w:tcPr>
            <w:tcW w:w="2835" w:type="dxa"/>
            <w:shd w:val="clear" w:color="auto" w:fill="auto"/>
            <w:noWrap/>
            <w:vAlign w:val="bottom"/>
            <w:hideMark/>
          </w:tcPr>
          <w:p w14:paraId="5FE1AB79" w14:textId="2631DC3F" w:rsidR="001F26D4" w:rsidRPr="000C6B73" w:rsidRDefault="001F26D4" w:rsidP="008F2232">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Glass</w:t>
            </w:r>
          </w:p>
        </w:tc>
        <w:tc>
          <w:tcPr>
            <w:tcW w:w="2256" w:type="dxa"/>
            <w:shd w:val="clear" w:color="auto" w:fill="auto"/>
            <w:noWrap/>
            <w:vAlign w:val="bottom"/>
            <w:hideMark/>
          </w:tcPr>
          <w:p w14:paraId="6F7C30D3" w14:textId="17FC45FC" w:rsidR="001F26D4" w:rsidRPr="000C6B73" w:rsidRDefault="00452EBD" w:rsidP="008F2232">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137,318</w:t>
            </w:r>
            <w:r w:rsidR="001F26D4" w:rsidRPr="000C6B73">
              <w:rPr>
                <w:rFonts w:eastAsia="Times New Roman" w:cs="Arial"/>
                <w:color w:val="000000"/>
                <w:sz w:val="16"/>
                <w:szCs w:val="16"/>
                <w:lang w:eastAsia="en-AU"/>
              </w:rPr>
              <w:t xml:space="preserve"> </w:t>
            </w:r>
          </w:p>
        </w:tc>
        <w:tc>
          <w:tcPr>
            <w:tcW w:w="2257" w:type="dxa"/>
            <w:shd w:val="clear" w:color="auto" w:fill="auto"/>
            <w:noWrap/>
            <w:vAlign w:val="bottom"/>
            <w:hideMark/>
          </w:tcPr>
          <w:p w14:paraId="0A69EFC3" w14:textId="41A1FAAB" w:rsidR="001F26D4" w:rsidRPr="000C6B73" w:rsidRDefault="001F26D4" w:rsidP="008F2232">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173,189 </w:t>
            </w:r>
          </w:p>
        </w:tc>
        <w:tc>
          <w:tcPr>
            <w:tcW w:w="1724" w:type="dxa"/>
            <w:shd w:val="clear" w:color="auto" w:fill="auto"/>
            <w:noWrap/>
            <w:vAlign w:val="bottom"/>
            <w:hideMark/>
          </w:tcPr>
          <w:p w14:paraId="1D1FCEE7" w14:textId="52AA3F43" w:rsidR="001F26D4" w:rsidRPr="000C6B73" w:rsidRDefault="001F26D4" w:rsidP="008F2232">
            <w:pPr>
              <w:spacing w:before="20" w:after="20" w:line="240" w:lineRule="auto"/>
              <w:ind w:left="-961" w:right="323"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w:t>
            </w:r>
            <w:r w:rsidR="00B8311D" w:rsidRPr="000C6B73">
              <w:rPr>
                <w:rFonts w:eastAsia="Times New Roman" w:cs="Arial"/>
                <w:color w:val="000000"/>
                <w:sz w:val="16"/>
                <w:szCs w:val="16"/>
                <w:lang w:eastAsia="en-AU"/>
              </w:rPr>
              <w:t>21</w:t>
            </w:r>
            <w:r w:rsidRPr="000C6B73">
              <w:rPr>
                <w:rFonts w:eastAsia="Times New Roman" w:cs="Arial"/>
                <w:color w:val="000000"/>
                <w:sz w:val="16"/>
                <w:szCs w:val="16"/>
                <w:lang w:eastAsia="en-AU"/>
              </w:rPr>
              <w:t>%</w:t>
            </w:r>
          </w:p>
        </w:tc>
      </w:tr>
      <w:tr w:rsidR="001F26D4" w:rsidRPr="000C6B73" w14:paraId="414FA748" w14:textId="77777777" w:rsidTr="00B300C1">
        <w:trPr>
          <w:trHeight w:val="397"/>
          <w:jc w:val="center"/>
        </w:trPr>
        <w:tc>
          <w:tcPr>
            <w:tcW w:w="2835" w:type="dxa"/>
            <w:shd w:val="clear" w:color="auto" w:fill="auto"/>
            <w:noWrap/>
            <w:vAlign w:val="bottom"/>
            <w:hideMark/>
          </w:tcPr>
          <w:p w14:paraId="0FA599BC" w14:textId="485D641E" w:rsidR="001F26D4" w:rsidRPr="000C6B73" w:rsidRDefault="001F26D4" w:rsidP="008F2232">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Metal</w:t>
            </w:r>
          </w:p>
        </w:tc>
        <w:tc>
          <w:tcPr>
            <w:tcW w:w="2256" w:type="dxa"/>
            <w:shd w:val="clear" w:color="auto" w:fill="auto"/>
            <w:noWrap/>
            <w:vAlign w:val="bottom"/>
            <w:hideMark/>
          </w:tcPr>
          <w:p w14:paraId="5F076A5B" w14:textId="724A477E" w:rsidR="001F26D4" w:rsidRPr="000C6B73" w:rsidRDefault="001F26D4" w:rsidP="008F2232">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1,</w:t>
            </w:r>
            <w:r w:rsidR="00452EBD" w:rsidRPr="000C6B73">
              <w:rPr>
                <w:rFonts w:eastAsia="Times New Roman" w:cs="Arial"/>
                <w:color w:val="000000"/>
                <w:sz w:val="16"/>
                <w:szCs w:val="16"/>
                <w:lang w:eastAsia="en-AU"/>
              </w:rPr>
              <w:t>699</w:t>
            </w:r>
            <w:r w:rsidRPr="000C6B73">
              <w:rPr>
                <w:rFonts w:eastAsia="Times New Roman" w:cs="Arial"/>
                <w:color w:val="000000"/>
                <w:sz w:val="16"/>
                <w:szCs w:val="16"/>
                <w:lang w:eastAsia="en-AU"/>
              </w:rPr>
              <w:t>,</w:t>
            </w:r>
            <w:r w:rsidR="00452EBD" w:rsidRPr="000C6B73">
              <w:rPr>
                <w:rFonts w:eastAsia="Times New Roman" w:cs="Arial"/>
                <w:color w:val="000000"/>
                <w:sz w:val="16"/>
                <w:szCs w:val="16"/>
                <w:lang w:eastAsia="en-AU"/>
              </w:rPr>
              <w:t>132</w:t>
            </w:r>
            <w:r w:rsidRPr="000C6B73">
              <w:rPr>
                <w:rFonts w:eastAsia="Times New Roman" w:cs="Arial"/>
                <w:color w:val="000000"/>
                <w:sz w:val="16"/>
                <w:szCs w:val="16"/>
                <w:lang w:eastAsia="en-AU"/>
              </w:rPr>
              <w:t xml:space="preserve"> </w:t>
            </w:r>
          </w:p>
        </w:tc>
        <w:tc>
          <w:tcPr>
            <w:tcW w:w="2257" w:type="dxa"/>
            <w:shd w:val="clear" w:color="auto" w:fill="auto"/>
            <w:noWrap/>
            <w:vAlign w:val="bottom"/>
            <w:hideMark/>
          </w:tcPr>
          <w:p w14:paraId="3A881394" w14:textId="53AFB937" w:rsidR="001F26D4" w:rsidRPr="000C6B73" w:rsidRDefault="001F26D4" w:rsidP="008F2232">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1,424,726 </w:t>
            </w:r>
          </w:p>
        </w:tc>
        <w:tc>
          <w:tcPr>
            <w:tcW w:w="1724" w:type="dxa"/>
            <w:shd w:val="clear" w:color="auto" w:fill="auto"/>
            <w:noWrap/>
            <w:vAlign w:val="bottom"/>
            <w:hideMark/>
          </w:tcPr>
          <w:p w14:paraId="1163EB89" w14:textId="534042A8" w:rsidR="001F26D4" w:rsidRPr="000C6B73" w:rsidRDefault="001F26D4" w:rsidP="008F2232">
            <w:pPr>
              <w:spacing w:before="20" w:after="20" w:line="240" w:lineRule="auto"/>
              <w:ind w:left="-961" w:right="323"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1</w:t>
            </w:r>
            <w:r w:rsidR="00B8311D" w:rsidRPr="000C6B73">
              <w:rPr>
                <w:rFonts w:eastAsia="Times New Roman" w:cs="Arial"/>
                <w:color w:val="000000"/>
                <w:sz w:val="16"/>
                <w:szCs w:val="16"/>
                <w:lang w:eastAsia="en-AU"/>
              </w:rPr>
              <w:t>9</w:t>
            </w:r>
            <w:r w:rsidRPr="000C6B73">
              <w:rPr>
                <w:rFonts w:eastAsia="Times New Roman" w:cs="Arial"/>
                <w:color w:val="000000"/>
                <w:sz w:val="16"/>
                <w:szCs w:val="16"/>
                <w:lang w:eastAsia="en-AU"/>
              </w:rPr>
              <w:t>%</w:t>
            </w:r>
          </w:p>
        </w:tc>
      </w:tr>
      <w:tr w:rsidR="001F26D4" w:rsidRPr="000C6B73" w14:paraId="54A77F0C" w14:textId="77777777" w:rsidTr="00B300C1">
        <w:trPr>
          <w:trHeight w:val="397"/>
          <w:jc w:val="center"/>
        </w:trPr>
        <w:tc>
          <w:tcPr>
            <w:tcW w:w="2835" w:type="dxa"/>
            <w:shd w:val="clear" w:color="auto" w:fill="auto"/>
            <w:noWrap/>
            <w:vAlign w:val="bottom"/>
            <w:hideMark/>
          </w:tcPr>
          <w:p w14:paraId="27D15E0F" w14:textId="0B0C0A4D" w:rsidR="001F26D4" w:rsidRPr="000C6B73" w:rsidRDefault="001F26D4" w:rsidP="008F2232">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Organic</w:t>
            </w:r>
          </w:p>
        </w:tc>
        <w:tc>
          <w:tcPr>
            <w:tcW w:w="2256" w:type="dxa"/>
            <w:shd w:val="clear" w:color="auto" w:fill="auto"/>
            <w:noWrap/>
            <w:vAlign w:val="bottom"/>
            <w:hideMark/>
          </w:tcPr>
          <w:p w14:paraId="26122451" w14:textId="28C4C997" w:rsidR="001F26D4" w:rsidRPr="000C6B73" w:rsidRDefault="001F26D4" w:rsidP="008F2232">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1,0</w:t>
            </w:r>
            <w:r w:rsidR="00452EBD" w:rsidRPr="000C6B73">
              <w:rPr>
                <w:rFonts w:eastAsia="Times New Roman" w:cs="Arial"/>
                <w:color w:val="000000"/>
                <w:sz w:val="16"/>
                <w:szCs w:val="16"/>
                <w:lang w:eastAsia="en-AU"/>
              </w:rPr>
              <w:t>9</w:t>
            </w:r>
            <w:r w:rsidRPr="000C6B73">
              <w:rPr>
                <w:rFonts w:eastAsia="Times New Roman" w:cs="Arial"/>
                <w:color w:val="000000"/>
                <w:sz w:val="16"/>
                <w:szCs w:val="16"/>
                <w:lang w:eastAsia="en-AU"/>
              </w:rPr>
              <w:t>5,</w:t>
            </w:r>
            <w:r w:rsidR="00452EBD" w:rsidRPr="000C6B73">
              <w:rPr>
                <w:rFonts w:eastAsia="Times New Roman" w:cs="Arial"/>
                <w:color w:val="000000"/>
                <w:sz w:val="16"/>
                <w:szCs w:val="16"/>
                <w:lang w:eastAsia="en-AU"/>
              </w:rPr>
              <w:t>832</w:t>
            </w:r>
            <w:r w:rsidRPr="000C6B73">
              <w:rPr>
                <w:rFonts w:eastAsia="Times New Roman" w:cs="Arial"/>
                <w:color w:val="000000"/>
                <w:sz w:val="16"/>
                <w:szCs w:val="16"/>
                <w:lang w:eastAsia="en-AU"/>
              </w:rPr>
              <w:t xml:space="preserve"> </w:t>
            </w:r>
          </w:p>
        </w:tc>
        <w:tc>
          <w:tcPr>
            <w:tcW w:w="2257" w:type="dxa"/>
            <w:shd w:val="clear" w:color="auto" w:fill="auto"/>
            <w:noWrap/>
            <w:vAlign w:val="bottom"/>
            <w:hideMark/>
          </w:tcPr>
          <w:p w14:paraId="2107FA1D" w14:textId="0ECC37ED" w:rsidR="001F26D4" w:rsidRPr="000C6B73" w:rsidRDefault="001F26D4" w:rsidP="008F2232">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1,035,354 </w:t>
            </w:r>
          </w:p>
        </w:tc>
        <w:tc>
          <w:tcPr>
            <w:tcW w:w="1724" w:type="dxa"/>
            <w:shd w:val="clear" w:color="auto" w:fill="auto"/>
            <w:noWrap/>
            <w:vAlign w:val="bottom"/>
            <w:hideMark/>
          </w:tcPr>
          <w:p w14:paraId="4A12F756" w14:textId="52A598F8" w:rsidR="001F26D4" w:rsidRPr="000C6B73" w:rsidRDefault="00B8311D" w:rsidP="008F2232">
            <w:pPr>
              <w:spacing w:before="20" w:after="20" w:line="240" w:lineRule="auto"/>
              <w:ind w:left="-961" w:right="323"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6</w:t>
            </w:r>
            <w:r w:rsidR="001F26D4" w:rsidRPr="000C6B73">
              <w:rPr>
                <w:rFonts w:eastAsia="Times New Roman" w:cs="Arial"/>
                <w:color w:val="000000"/>
                <w:sz w:val="16"/>
                <w:szCs w:val="16"/>
                <w:lang w:eastAsia="en-AU"/>
              </w:rPr>
              <w:t>%</w:t>
            </w:r>
          </w:p>
        </w:tc>
      </w:tr>
      <w:tr w:rsidR="001F26D4" w:rsidRPr="000C6B73" w14:paraId="7901E648" w14:textId="77777777" w:rsidTr="00B300C1">
        <w:trPr>
          <w:trHeight w:val="397"/>
          <w:jc w:val="center"/>
        </w:trPr>
        <w:tc>
          <w:tcPr>
            <w:tcW w:w="2835" w:type="dxa"/>
            <w:shd w:val="clear" w:color="auto" w:fill="auto"/>
            <w:noWrap/>
            <w:vAlign w:val="bottom"/>
            <w:hideMark/>
          </w:tcPr>
          <w:p w14:paraId="38C1E346" w14:textId="0DF4D5BF" w:rsidR="001F26D4" w:rsidRPr="000C6B73" w:rsidRDefault="001F26D4" w:rsidP="008F2232">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 xml:space="preserve">Paper / cardboard </w:t>
            </w:r>
          </w:p>
        </w:tc>
        <w:tc>
          <w:tcPr>
            <w:tcW w:w="2256" w:type="dxa"/>
            <w:shd w:val="clear" w:color="auto" w:fill="auto"/>
            <w:noWrap/>
            <w:vAlign w:val="bottom"/>
            <w:hideMark/>
          </w:tcPr>
          <w:p w14:paraId="0138CE33" w14:textId="70D2E373" w:rsidR="001F26D4" w:rsidRPr="000C6B73" w:rsidRDefault="001F26D4" w:rsidP="008F2232">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1,</w:t>
            </w:r>
            <w:r w:rsidR="00452EBD" w:rsidRPr="000C6B73">
              <w:rPr>
                <w:rFonts w:eastAsia="Times New Roman" w:cs="Arial"/>
                <w:color w:val="000000"/>
                <w:sz w:val="16"/>
                <w:szCs w:val="16"/>
                <w:lang w:eastAsia="en-AU"/>
              </w:rPr>
              <w:t>44</w:t>
            </w:r>
            <w:r w:rsidRPr="000C6B73">
              <w:rPr>
                <w:rFonts w:eastAsia="Times New Roman" w:cs="Arial"/>
                <w:color w:val="000000"/>
                <w:sz w:val="16"/>
                <w:szCs w:val="16"/>
                <w:lang w:eastAsia="en-AU"/>
              </w:rPr>
              <w:t>5,</w:t>
            </w:r>
            <w:r w:rsidR="00452EBD" w:rsidRPr="000C6B73">
              <w:rPr>
                <w:rFonts w:eastAsia="Times New Roman" w:cs="Arial"/>
                <w:color w:val="000000"/>
                <w:sz w:val="16"/>
                <w:szCs w:val="16"/>
                <w:lang w:eastAsia="en-AU"/>
              </w:rPr>
              <w:t>332</w:t>
            </w:r>
            <w:r w:rsidRPr="000C6B73">
              <w:rPr>
                <w:rFonts w:eastAsia="Times New Roman" w:cs="Arial"/>
                <w:color w:val="000000"/>
                <w:sz w:val="16"/>
                <w:szCs w:val="16"/>
                <w:lang w:eastAsia="en-AU"/>
              </w:rPr>
              <w:t xml:space="preserve"> </w:t>
            </w:r>
          </w:p>
        </w:tc>
        <w:tc>
          <w:tcPr>
            <w:tcW w:w="2257" w:type="dxa"/>
            <w:shd w:val="clear" w:color="auto" w:fill="auto"/>
            <w:noWrap/>
            <w:vAlign w:val="bottom"/>
            <w:hideMark/>
          </w:tcPr>
          <w:p w14:paraId="7B4B1EDD" w14:textId="0E4D53E4" w:rsidR="001F26D4" w:rsidRPr="000C6B73" w:rsidRDefault="001F26D4" w:rsidP="008F2232">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1,550,708 </w:t>
            </w:r>
          </w:p>
        </w:tc>
        <w:tc>
          <w:tcPr>
            <w:tcW w:w="1724" w:type="dxa"/>
            <w:shd w:val="clear" w:color="auto" w:fill="auto"/>
            <w:noWrap/>
            <w:vAlign w:val="bottom"/>
            <w:hideMark/>
          </w:tcPr>
          <w:p w14:paraId="0BEC082A" w14:textId="556B02E6" w:rsidR="001F26D4" w:rsidRPr="000C6B73" w:rsidRDefault="00B8311D" w:rsidP="008F2232">
            <w:pPr>
              <w:spacing w:before="20" w:after="20" w:line="240" w:lineRule="auto"/>
              <w:ind w:left="-961" w:right="323"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-7</w:t>
            </w:r>
            <w:r w:rsidR="001F26D4" w:rsidRPr="000C6B73">
              <w:rPr>
                <w:rFonts w:eastAsia="Times New Roman" w:cs="Arial"/>
                <w:color w:val="000000"/>
                <w:sz w:val="16"/>
                <w:szCs w:val="16"/>
                <w:lang w:eastAsia="en-AU"/>
              </w:rPr>
              <w:t>%</w:t>
            </w:r>
          </w:p>
        </w:tc>
      </w:tr>
      <w:tr w:rsidR="001F26D4" w:rsidRPr="000C6B73" w14:paraId="26F8CF5B" w14:textId="77777777" w:rsidTr="00B300C1">
        <w:trPr>
          <w:trHeight w:val="397"/>
          <w:jc w:val="center"/>
        </w:trPr>
        <w:tc>
          <w:tcPr>
            <w:tcW w:w="2835" w:type="dxa"/>
            <w:shd w:val="clear" w:color="auto" w:fill="auto"/>
            <w:noWrap/>
            <w:vAlign w:val="bottom"/>
            <w:hideMark/>
          </w:tcPr>
          <w:p w14:paraId="58EC4CBE" w14:textId="4903D715" w:rsidR="001F26D4" w:rsidRPr="000C6B73" w:rsidRDefault="001F26D4" w:rsidP="008F2232">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 xml:space="preserve">Plastic </w:t>
            </w:r>
          </w:p>
        </w:tc>
        <w:tc>
          <w:tcPr>
            <w:tcW w:w="2256" w:type="dxa"/>
            <w:shd w:val="clear" w:color="auto" w:fill="auto"/>
            <w:noWrap/>
            <w:vAlign w:val="bottom"/>
            <w:hideMark/>
          </w:tcPr>
          <w:p w14:paraId="7C490723" w14:textId="6AF0073B" w:rsidR="001F26D4" w:rsidRPr="000C6B73" w:rsidRDefault="001F26D4" w:rsidP="008F2232">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1</w:t>
            </w:r>
            <w:r w:rsidR="00452EBD" w:rsidRPr="000C6B73">
              <w:rPr>
                <w:rFonts w:eastAsia="Times New Roman" w:cs="Arial"/>
                <w:color w:val="000000"/>
                <w:sz w:val="16"/>
                <w:szCs w:val="16"/>
                <w:lang w:eastAsia="en-AU"/>
              </w:rPr>
              <w:t>30,6</w:t>
            </w:r>
            <w:r w:rsidR="008856B0" w:rsidRPr="000C6B73">
              <w:rPr>
                <w:rFonts w:eastAsia="Times New Roman" w:cs="Arial"/>
                <w:color w:val="000000"/>
                <w:sz w:val="16"/>
                <w:szCs w:val="16"/>
                <w:lang w:eastAsia="en-AU"/>
              </w:rPr>
              <w:t>95</w:t>
            </w:r>
          </w:p>
        </w:tc>
        <w:tc>
          <w:tcPr>
            <w:tcW w:w="2257" w:type="dxa"/>
            <w:shd w:val="clear" w:color="auto" w:fill="auto"/>
            <w:noWrap/>
            <w:vAlign w:val="bottom"/>
            <w:hideMark/>
          </w:tcPr>
          <w:p w14:paraId="18A3BC0F" w14:textId="2DCB561D" w:rsidR="001F26D4" w:rsidRPr="000C6B73" w:rsidRDefault="001F26D4" w:rsidP="008F2232">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149,128 </w:t>
            </w:r>
          </w:p>
        </w:tc>
        <w:tc>
          <w:tcPr>
            <w:tcW w:w="1724" w:type="dxa"/>
            <w:shd w:val="clear" w:color="auto" w:fill="auto"/>
            <w:noWrap/>
            <w:vAlign w:val="bottom"/>
            <w:hideMark/>
          </w:tcPr>
          <w:p w14:paraId="5C72461E" w14:textId="06026E64" w:rsidR="001F26D4" w:rsidRPr="000C6B73" w:rsidRDefault="001F26D4" w:rsidP="008F2232">
            <w:pPr>
              <w:spacing w:before="20" w:after="20" w:line="240" w:lineRule="auto"/>
              <w:ind w:left="-961" w:right="323"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w:t>
            </w:r>
            <w:r w:rsidR="00B8311D" w:rsidRPr="000C6B73">
              <w:rPr>
                <w:rFonts w:eastAsia="Times New Roman" w:cs="Arial"/>
                <w:color w:val="000000"/>
                <w:sz w:val="16"/>
                <w:szCs w:val="16"/>
                <w:lang w:eastAsia="en-AU"/>
              </w:rPr>
              <w:t>12</w:t>
            </w:r>
            <w:r w:rsidRPr="000C6B73">
              <w:rPr>
                <w:rFonts w:eastAsia="Times New Roman" w:cs="Arial"/>
                <w:color w:val="000000"/>
                <w:sz w:val="16"/>
                <w:szCs w:val="16"/>
                <w:lang w:eastAsia="en-AU"/>
              </w:rPr>
              <w:t>%</w:t>
            </w:r>
          </w:p>
        </w:tc>
      </w:tr>
      <w:tr w:rsidR="001F26D4" w:rsidRPr="000C6B73" w14:paraId="3B04CC38" w14:textId="77777777" w:rsidTr="00B300C1">
        <w:trPr>
          <w:trHeight w:val="397"/>
          <w:jc w:val="center"/>
        </w:trPr>
        <w:tc>
          <w:tcPr>
            <w:tcW w:w="2835" w:type="dxa"/>
            <w:shd w:val="clear" w:color="auto" w:fill="auto"/>
            <w:noWrap/>
            <w:vAlign w:val="bottom"/>
            <w:hideMark/>
          </w:tcPr>
          <w:p w14:paraId="3237A376" w14:textId="76909049" w:rsidR="001F26D4" w:rsidRPr="000C6B73" w:rsidRDefault="001F26D4" w:rsidP="008F2232">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Rubber</w:t>
            </w:r>
          </w:p>
        </w:tc>
        <w:tc>
          <w:tcPr>
            <w:tcW w:w="2256" w:type="dxa"/>
            <w:shd w:val="clear" w:color="auto" w:fill="auto"/>
            <w:noWrap/>
            <w:vAlign w:val="bottom"/>
            <w:hideMark/>
          </w:tcPr>
          <w:p w14:paraId="1B86B1B2" w14:textId="64DAAC8C" w:rsidR="001F26D4" w:rsidRPr="000C6B73" w:rsidRDefault="00452EBD" w:rsidP="008F2232">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41</w:t>
            </w:r>
            <w:r w:rsidR="001F26D4" w:rsidRPr="000C6B73">
              <w:rPr>
                <w:rFonts w:eastAsia="Times New Roman" w:cs="Arial"/>
                <w:color w:val="000000"/>
                <w:sz w:val="16"/>
                <w:szCs w:val="16"/>
                <w:lang w:eastAsia="en-AU"/>
              </w:rPr>
              <w:t>,</w:t>
            </w:r>
            <w:r w:rsidRPr="000C6B73">
              <w:rPr>
                <w:rFonts w:eastAsia="Times New Roman" w:cs="Arial"/>
                <w:color w:val="000000"/>
                <w:sz w:val="16"/>
                <w:szCs w:val="16"/>
                <w:lang w:eastAsia="en-AU"/>
              </w:rPr>
              <w:t>438</w:t>
            </w:r>
            <w:r w:rsidR="001F26D4" w:rsidRPr="000C6B73">
              <w:rPr>
                <w:rFonts w:eastAsia="Times New Roman" w:cs="Arial"/>
                <w:color w:val="000000"/>
                <w:sz w:val="16"/>
                <w:szCs w:val="16"/>
                <w:lang w:eastAsia="en-AU"/>
              </w:rPr>
              <w:t xml:space="preserve"> </w:t>
            </w:r>
          </w:p>
        </w:tc>
        <w:tc>
          <w:tcPr>
            <w:tcW w:w="2257" w:type="dxa"/>
            <w:shd w:val="clear" w:color="auto" w:fill="auto"/>
            <w:noWrap/>
            <w:vAlign w:val="bottom"/>
            <w:hideMark/>
          </w:tcPr>
          <w:p w14:paraId="195BCC9D" w14:textId="386CC142" w:rsidR="001F26D4" w:rsidRPr="000C6B73" w:rsidRDefault="001F26D4" w:rsidP="008F2232">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53,672 </w:t>
            </w:r>
          </w:p>
        </w:tc>
        <w:tc>
          <w:tcPr>
            <w:tcW w:w="1724" w:type="dxa"/>
            <w:shd w:val="clear" w:color="auto" w:fill="auto"/>
            <w:noWrap/>
            <w:vAlign w:val="bottom"/>
            <w:hideMark/>
          </w:tcPr>
          <w:p w14:paraId="71C5596E" w14:textId="23CFF07A" w:rsidR="001F26D4" w:rsidRPr="000C6B73" w:rsidRDefault="00B8311D" w:rsidP="008F2232">
            <w:pPr>
              <w:spacing w:before="20" w:after="20" w:line="240" w:lineRule="auto"/>
              <w:ind w:left="-961" w:right="323"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w:t>
            </w:r>
            <w:r w:rsidR="001F26D4" w:rsidRPr="000C6B73">
              <w:rPr>
                <w:rFonts w:eastAsia="Times New Roman" w:cs="Arial"/>
                <w:color w:val="000000"/>
                <w:sz w:val="16"/>
                <w:szCs w:val="16"/>
                <w:lang w:eastAsia="en-AU"/>
              </w:rPr>
              <w:t>23%</w:t>
            </w:r>
          </w:p>
        </w:tc>
      </w:tr>
      <w:tr w:rsidR="001F26D4" w:rsidRPr="000C6B73" w14:paraId="3B3C086F" w14:textId="77777777" w:rsidTr="00B300C1">
        <w:trPr>
          <w:trHeight w:val="397"/>
          <w:jc w:val="center"/>
        </w:trPr>
        <w:tc>
          <w:tcPr>
            <w:tcW w:w="2835" w:type="dxa"/>
            <w:shd w:val="clear" w:color="auto" w:fill="auto"/>
            <w:noWrap/>
            <w:vAlign w:val="bottom"/>
            <w:hideMark/>
          </w:tcPr>
          <w:p w14:paraId="421B528A" w14:textId="77158BC4" w:rsidR="001F26D4" w:rsidRPr="000C6B73" w:rsidRDefault="001F26D4" w:rsidP="00786AE1">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Textile</w:t>
            </w:r>
          </w:p>
        </w:tc>
        <w:tc>
          <w:tcPr>
            <w:tcW w:w="2256" w:type="dxa"/>
            <w:shd w:val="clear" w:color="auto" w:fill="auto"/>
            <w:noWrap/>
            <w:vAlign w:val="bottom"/>
            <w:hideMark/>
          </w:tcPr>
          <w:p w14:paraId="2D3A5BF0" w14:textId="5CFA264C" w:rsidR="001F26D4" w:rsidRPr="000C6B73" w:rsidRDefault="00452EBD" w:rsidP="00786AE1">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3</w:t>
            </w:r>
            <w:r w:rsidR="001F26D4" w:rsidRPr="000C6B73">
              <w:rPr>
                <w:rFonts w:eastAsia="Times New Roman" w:cs="Arial"/>
                <w:color w:val="000000"/>
                <w:sz w:val="16"/>
                <w:szCs w:val="16"/>
                <w:lang w:eastAsia="en-AU"/>
              </w:rPr>
              <w:t>,</w:t>
            </w:r>
            <w:r w:rsidRPr="000C6B73">
              <w:rPr>
                <w:rFonts w:eastAsia="Times New Roman" w:cs="Arial"/>
                <w:color w:val="000000"/>
                <w:sz w:val="16"/>
                <w:szCs w:val="16"/>
                <w:lang w:eastAsia="en-AU"/>
              </w:rPr>
              <w:t>464</w:t>
            </w:r>
          </w:p>
        </w:tc>
        <w:tc>
          <w:tcPr>
            <w:tcW w:w="2257" w:type="dxa"/>
            <w:shd w:val="clear" w:color="auto" w:fill="auto"/>
            <w:noWrap/>
            <w:vAlign w:val="bottom"/>
            <w:hideMark/>
          </w:tcPr>
          <w:p w14:paraId="32E5DDEE" w14:textId="686BE075" w:rsidR="001F26D4" w:rsidRPr="000C6B73" w:rsidRDefault="001F26D4" w:rsidP="00786AE1">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 xml:space="preserve">2,034 </w:t>
            </w:r>
          </w:p>
        </w:tc>
        <w:tc>
          <w:tcPr>
            <w:tcW w:w="1724" w:type="dxa"/>
            <w:shd w:val="clear" w:color="auto" w:fill="auto"/>
            <w:noWrap/>
            <w:vAlign w:val="bottom"/>
            <w:hideMark/>
          </w:tcPr>
          <w:p w14:paraId="377FC1D6" w14:textId="123D1C56" w:rsidR="001F26D4" w:rsidRPr="000C6B73" w:rsidRDefault="001F26D4" w:rsidP="00786AE1">
            <w:pPr>
              <w:spacing w:before="20" w:after="20" w:line="240" w:lineRule="auto"/>
              <w:ind w:left="-961" w:right="323"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w:t>
            </w:r>
            <w:r w:rsidR="00B8311D" w:rsidRPr="000C6B73">
              <w:rPr>
                <w:rFonts w:eastAsia="Times New Roman" w:cs="Arial"/>
                <w:color w:val="000000"/>
                <w:sz w:val="16"/>
                <w:szCs w:val="16"/>
                <w:lang w:eastAsia="en-AU"/>
              </w:rPr>
              <w:t>70</w:t>
            </w:r>
            <w:r w:rsidRPr="000C6B73">
              <w:rPr>
                <w:rFonts w:eastAsia="Times New Roman" w:cs="Arial"/>
                <w:color w:val="000000"/>
                <w:sz w:val="16"/>
                <w:szCs w:val="16"/>
                <w:lang w:eastAsia="en-AU"/>
              </w:rPr>
              <w:t>%</w:t>
            </w:r>
          </w:p>
        </w:tc>
      </w:tr>
      <w:tr w:rsidR="001F26D4" w:rsidRPr="000C6B73" w14:paraId="27B10AFA" w14:textId="77777777" w:rsidTr="00107CD9">
        <w:trPr>
          <w:trHeight w:val="397"/>
          <w:jc w:val="center"/>
        </w:trPr>
        <w:tc>
          <w:tcPr>
            <w:tcW w:w="2835" w:type="dxa"/>
            <w:tcBorders>
              <w:bottom w:val="single" w:sz="4" w:space="0" w:color="7F7F7F" w:themeColor="text1" w:themeTint="80"/>
            </w:tcBorders>
            <w:shd w:val="clear" w:color="auto" w:fill="auto"/>
            <w:noWrap/>
            <w:vAlign w:val="bottom"/>
          </w:tcPr>
          <w:p w14:paraId="1FA9E544" w14:textId="0756572B" w:rsidR="001F26D4" w:rsidRPr="000C6B73" w:rsidRDefault="001F26D4" w:rsidP="008F2232">
            <w:pPr>
              <w:spacing w:before="20" w:after="20" w:line="240" w:lineRule="auto"/>
              <w:ind w:left="32"/>
              <w:rPr>
                <w:rFonts w:eastAsia="Times New Roman" w:cs="Arial"/>
                <w:color w:val="000000"/>
                <w:sz w:val="16"/>
                <w:szCs w:val="16"/>
                <w:lang w:eastAsia="en-AU"/>
              </w:rPr>
            </w:pPr>
            <w:r w:rsidRPr="000C6B73">
              <w:rPr>
                <w:rFonts w:eastAsia="Times New Roman" w:cs="Arial"/>
                <w:color w:val="000000"/>
                <w:sz w:val="16"/>
                <w:szCs w:val="16"/>
                <w:lang w:eastAsia="en-AU"/>
              </w:rPr>
              <w:t>Other</w:t>
            </w:r>
          </w:p>
        </w:tc>
        <w:tc>
          <w:tcPr>
            <w:tcW w:w="2256" w:type="dxa"/>
            <w:tcBorders>
              <w:bottom w:val="single" w:sz="4" w:space="0" w:color="7F7F7F" w:themeColor="text1" w:themeTint="80"/>
            </w:tcBorders>
            <w:shd w:val="clear" w:color="auto" w:fill="auto"/>
            <w:noWrap/>
            <w:vAlign w:val="bottom"/>
          </w:tcPr>
          <w:p w14:paraId="53CD1733" w14:textId="5648DFAE" w:rsidR="001F26D4" w:rsidRPr="000C6B73" w:rsidRDefault="00452EBD" w:rsidP="008F2232">
            <w:pPr>
              <w:spacing w:before="20" w:after="20" w:line="240" w:lineRule="auto"/>
              <w:ind w:left="-961" w:right="176"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0</w:t>
            </w:r>
            <w:r w:rsidR="001F26D4" w:rsidRPr="000C6B73">
              <w:rPr>
                <w:rFonts w:eastAsia="Times New Roman" w:cs="Arial"/>
                <w:color w:val="000000"/>
                <w:sz w:val="16"/>
                <w:szCs w:val="16"/>
                <w:lang w:eastAsia="en-AU"/>
              </w:rPr>
              <w:t xml:space="preserve"> </w:t>
            </w:r>
          </w:p>
        </w:tc>
        <w:tc>
          <w:tcPr>
            <w:tcW w:w="2257" w:type="dxa"/>
            <w:tcBorders>
              <w:bottom w:val="single" w:sz="4" w:space="0" w:color="7F7F7F" w:themeColor="text1" w:themeTint="80"/>
            </w:tcBorders>
            <w:shd w:val="clear" w:color="auto" w:fill="auto"/>
            <w:noWrap/>
            <w:vAlign w:val="bottom"/>
          </w:tcPr>
          <w:p w14:paraId="7DFFF3E3" w14:textId="0887924A" w:rsidR="001F26D4" w:rsidRPr="000C6B73" w:rsidRDefault="001F26D4" w:rsidP="008F2232">
            <w:pPr>
              <w:spacing w:before="20" w:after="20" w:line="240" w:lineRule="auto"/>
              <w:ind w:left="-961" w:right="175" w:firstLine="961"/>
              <w:jc w:val="right"/>
              <w:rPr>
                <w:rFonts w:eastAsia="Times New Roman" w:cs="Arial"/>
                <w:color w:val="000000"/>
                <w:sz w:val="16"/>
                <w:szCs w:val="16"/>
                <w:lang w:eastAsia="en-AU"/>
              </w:rPr>
            </w:pPr>
            <w:r w:rsidRPr="000C6B73">
              <w:rPr>
                <w:rFonts w:eastAsia="Times New Roman" w:cs="Arial"/>
                <w:color w:val="000000"/>
                <w:sz w:val="16"/>
                <w:szCs w:val="16"/>
                <w:lang w:eastAsia="en-AU"/>
              </w:rPr>
              <w:t>6,369</w:t>
            </w:r>
            <w:r w:rsidR="00523FFA" w:rsidRPr="000C6B73">
              <w:rPr>
                <w:rStyle w:val="FootnoteReference"/>
                <w:rFonts w:eastAsia="Times New Roman" w:cs="Arial"/>
                <w:color w:val="000000"/>
                <w:sz w:val="16"/>
                <w:szCs w:val="16"/>
                <w:lang w:eastAsia="en-AU"/>
              </w:rPr>
              <w:footnoteReference w:id="3"/>
            </w:r>
            <w:r w:rsidRPr="000C6B73">
              <w:rPr>
                <w:rFonts w:eastAsia="Times New Roman" w:cs="Arial"/>
                <w:color w:val="000000"/>
                <w:sz w:val="16"/>
                <w:szCs w:val="16"/>
                <w:lang w:eastAsia="en-AU"/>
              </w:rPr>
              <w:t xml:space="preserve"> </w:t>
            </w:r>
          </w:p>
        </w:tc>
        <w:tc>
          <w:tcPr>
            <w:tcW w:w="1724" w:type="dxa"/>
            <w:tcBorders>
              <w:bottom w:val="single" w:sz="4" w:space="0" w:color="7F7F7F" w:themeColor="text1" w:themeTint="80"/>
            </w:tcBorders>
            <w:shd w:val="clear" w:color="auto" w:fill="auto"/>
            <w:noWrap/>
            <w:vAlign w:val="bottom"/>
          </w:tcPr>
          <w:p w14:paraId="5F3C4F0A" w14:textId="468FE726" w:rsidR="001F26D4" w:rsidRPr="000C6B73" w:rsidRDefault="001F26D4" w:rsidP="008F2232">
            <w:pPr>
              <w:pStyle w:val="ListParagraph"/>
              <w:spacing w:before="20" w:after="20" w:line="240" w:lineRule="auto"/>
              <w:ind w:left="-961" w:right="323" w:firstLine="961"/>
              <w:jc w:val="right"/>
              <w:rPr>
                <w:rFonts w:eastAsia="Times New Roman" w:cs="Arial"/>
                <w:color w:val="000000"/>
                <w:sz w:val="16"/>
                <w:szCs w:val="16"/>
                <w:lang w:eastAsia="en-AU"/>
              </w:rPr>
            </w:pPr>
          </w:p>
        </w:tc>
      </w:tr>
      <w:tr w:rsidR="001F26D4" w:rsidRPr="000C6B73" w14:paraId="63B6CD35" w14:textId="77777777" w:rsidTr="00107CD9">
        <w:trPr>
          <w:trHeight w:val="397"/>
          <w:jc w:val="center"/>
        </w:trPr>
        <w:tc>
          <w:tcPr>
            <w:tcW w:w="2835" w:type="dxa"/>
            <w:tcBorders>
              <w:top w:val="single" w:sz="4" w:space="0" w:color="7F7F7F" w:themeColor="text1" w:themeTint="80"/>
              <w:bottom w:val="single" w:sz="4" w:space="0" w:color="7F7F7F" w:themeColor="text1" w:themeTint="80"/>
            </w:tcBorders>
            <w:shd w:val="clear" w:color="auto" w:fill="E7E6E6" w:themeFill="background2"/>
            <w:noWrap/>
            <w:vAlign w:val="bottom"/>
            <w:hideMark/>
          </w:tcPr>
          <w:p w14:paraId="091C4E10" w14:textId="7CDAA905" w:rsidR="001F26D4" w:rsidRPr="000C6B73" w:rsidRDefault="001F26D4" w:rsidP="008F2232">
            <w:pPr>
              <w:spacing w:before="20" w:after="20" w:line="240" w:lineRule="auto"/>
              <w:ind w:left="32"/>
              <w:rPr>
                <w:rFonts w:eastAsia="Times New Roman" w:cs="Arial"/>
                <w:b/>
                <w:color w:val="000000"/>
                <w:sz w:val="16"/>
                <w:szCs w:val="16"/>
                <w:lang w:eastAsia="en-AU"/>
              </w:rPr>
            </w:pPr>
            <w:r w:rsidRPr="000C6B73">
              <w:rPr>
                <w:rFonts w:eastAsia="Times New Roman" w:cs="Arial"/>
                <w:b/>
                <w:color w:val="000000"/>
                <w:sz w:val="16"/>
                <w:szCs w:val="16"/>
                <w:lang w:eastAsia="en-AU"/>
              </w:rPr>
              <w:t>Total recovered</w:t>
            </w:r>
          </w:p>
        </w:tc>
        <w:tc>
          <w:tcPr>
            <w:tcW w:w="2256" w:type="dxa"/>
            <w:tcBorders>
              <w:top w:val="single" w:sz="4" w:space="0" w:color="7F7F7F" w:themeColor="text1" w:themeTint="80"/>
              <w:bottom w:val="single" w:sz="4" w:space="0" w:color="7F7F7F" w:themeColor="text1" w:themeTint="80"/>
            </w:tcBorders>
            <w:shd w:val="clear" w:color="auto" w:fill="E7E6E6" w:themeFill="background2"/>
            <w:noWrap/>
            <w:vAlign w:val="bottom"/>
            <w:hideMark/>
          </w:tcPr>
          <w:p w14:paraId="1DEB7715" w14:textId="59ABCBDA" w:rsidR="001F26D4" w:rsidRPr="000C6B73" w:rsidRDefault="001F26D4" w:rsidP="008F2232">
            <w:pPr>
              <w:spacing w:before="20" w:after="20" w:line="240" w:lineRule="auto"/>
              <w:ind w:left="-961" w:right="176" w:firstLine="961"/>
              <w:jc w:val="right"/>
              <w:rPr>
                <w:rFonts w:eastAsia="Times New Roman" w:cs="Arial"/>
                <w:b/>
                <w:color w:val="000000"/>
                <w:sz w:val="16"/>
                <w:szCs w:val="16"/>
                <w:lang w:eastAsia="en-AU"/>
              </w:rPr>
            </w:pPr>
            <w:r w:rsidRPr="000C6B73">
              <w:rPr>
                <w:rFonts w:eastAsia="Times New Roman" w:cs="Arial"/>
                <w:b/>
                <w:color w:val="000000"/>
                <w:sz w:val="16"/>
                <w:szCs w:val="16"/>
                <w:lang w:eastAsia="en-AU"/>
              </w:rPr>
              <w:t>8,</w:t>
            </w:r>
            <w:r w:rsidR="00452EBD" w:rsidRPr="000C6B73">
              <w:rPr>
                <w:rFonts w:eastAsia="Times New Roman" w:cs="Arial"/>
                <w:b/>
                <w:color w:val="000000"/>
                <w:sz w:val="16"/>
                <w:szCs w:val="16"/>
                <w:lang w:eastAsia="en-AU"/>
              </w:rPr>
              <w:t>620</w:t>
            </w:r>
            <w:r w:rsidRPr="000C6B73">
              <w:rPr>
                <w:rFonts w:eastAsia="Times New Roman" w:cs="Arial"/>
                <w:b/>
                <w:color w:val="000000"/>
                <w:sz w:val="16"/>
                <w:szCs w:val="16"/>
                <w:lang w:eastAsia="en-AU"/>
              </w:rPr>
              <w:t>,</w:t>
            </w:r>
            <w:r w:rsidR="00452EBD" w:rsidRPr="000C6B73">
              <w:rPr>
                <w:rFonts w:eastAsia="Times New Roman" w:cs="Arial"/>
                <w:b/>
                <w:color w:val="000000"/>
                <w:sz w:val="16"/>
                <w:szCs w:val="16"/>
                <w:lang w:eastAsia="en-AU"/>
              </w:rPr>
              <w:t>7</w:t>
            </w:r>
            <w:r w:rsidR="008856B0" w:rsidRPr="000C6B73">
              <w:rPr>
                <w:rFonts w:eastAsia="Times New Roman" w:cs="Arial"/>
                <w:b/>
                <w:color w:val="000000"/>
                <w:sz w:val="16"/>
                <w:szCs w:val="16"/>
                <w:lang w:eastAsia="en-AU"/>
              </w:rPr>
              <w:t>37</w:t>
            </w:r>
          </w:p>
        </w:tc>
        <w:tc>
          <w:tcPr>
            <w:tcW w:w="2257" w:type="dxa"/>
            <w:tcBorders>
              <w:top w:val="single" w:sz="4" w:space="0" w:color="7F7F7F" w:themeColor="text1" w:themeTint="80"/>
              <w:bottom w:val="single" w:sz="4" w:space="0" w:color="7F7F7F" w:themeColor="text1" w:themeTint="80"/>
            </w:tcBorders>
            <w:shd w:val="clear" w:color="auto" w:fill="E7E6E6" w:themeFill="background2"/>
            <w:noWrap/>
            <w:vAlign w:val="bottom"/>
            <w:hideMark/>
          </w:tcPr>
          <w:p w14:paraId="6D442E1A" w14:textId="1CBE105B" w:rsidR="001F26D4" w:rsidRPr="000C6B73" w:rsidRDefault="001F26D4" w:rsidP="008F2232">
            <w:pPr>
              <w:spacing w:before="20" w:after="20" w:line="240" w:lineRule="auto"/>
              <w:ind w:left="-961" w:right="175" w:firstLine="961"/>
              <w:jc w:val="right"/>
              <w:rPr>
                <w:rFonts w:eastAsia="Times New Roman" w:cs="Arial"/>
                <w:b/>
                <w:color w:val="000000"/>
                <w:sz w:val="16"/>
                <w:szCs w:val="16"/>
                <w:lang w:eastAsia="en-AU"/>
              </w:rPr>
            </w:pPr>
            <w:r w:rsidRPr="000C6B73">
              <w:rPr>
                <w:rFonts w:eastAsia="Times New Roman" w:cs="Arial"/>
                <w:b/>
                <w:color w:val="000000"/>
                <w:sz w:val="16"/>
                <w:szCs w:val="16"/>
                <w:lang w:eastAsia="en-AU"/>
              </w:rPr>
              <w:t>8,488,450</w:t>
            </w:r>
          </w:p>
        </w:tc>
        <w:tc>
          <w:tcPr>
            <w:tcW w:w="1724" w:type="dxa"/>
            <w:tcBorders>
              <w:top w:val="single" w:sz="4" w:space="0" w:color="7F7F7F" w:themeColor="text1" w:themeTint="80"/>
              <w:bottom w:val="single" w:sz="4" w:space="0" w:color="7F7F7F" w:themeColor="text1" w:themeTint="80"/>
            </w:tcBorders>
            <w:shd w:val="clear" w:color="auto" w:fill="E7E6E6" w:themeFill="background2"/>
            <w:noWrap/>
            <w:vAlign w:val="bottom"/>
            <w:hideMark/>
          </w:tcPr>
          <w:p w14:paraId="6BA9949A" w14:textId="4B5301C8" w:rsidR="001F26D4" w:rsidRPr="000C6B73" w:rsidRDefault="001F26D4" w:rsidP="008F2232">
            <w:pPr>
              <w:spacing w:before="20" w:after="20" w:line="240" w:lineRule="auto"/>
              <w:ind w:left="-961" w:right="175" w:firstLine="961"/>
              <w:jc w:val="right"/>
              <w:rPr>
                <w:rFonts w:eastAsia="Times New Roman" w:cs="Arial"/>
                <w:b/>
                <w:color w:val="000000"/>
                <w:sz w:val="16"/>
                <w:szCs w:val="16"/>
                <w:lang w:eastAsia="en-AU"/>
              </w:rPr>
            </w:pPr>
            <w:r w:rsidRPr="000C6B73">
              <w:rPr>
                <w:rFonts w:eastAsia="Times New Roman" w:cs="Arial"/>
                <w:b/>
                <w:color w:val="000000"/>
                <w:sz w:val="16"/>
                <w:szCs w:val="16"/>
                <w:lang w:eastAsia="en-AU"/>
              </w:rPr>
              <w:t>1</w:t>
            </w:r>
            <w:r w:rsidR="00B8311D" w:rsidRPr="000C6B73">
              <w:rPr>
                <w:rFonts w:eastAsia="Times New Roman" w:cs="Arial"/>
                <w:b/>
                <w:color w:val="000000"/>
                <w:sz w:val="16"/>
                <w:szCs w:val="16"/>
                <w:lang w:eastAsia="en-AU"/>
              </w:rPr>
              <w:t>.6</w:t>
            </w:r>
            <w:r w:rsidRPr="000C6B73">
              <w:rPr>
                <w:rFonts w:eastAsia="Times New Roman" w:cs="Arial"/>
                <w:b/>
                <w:color w:val="000000"/>
                <w:sz w:val="16"/>
                <w:szCs w:val="16"/>
                <w:lang w:eastAsia="en-AU"/>
              </w:rPr>
              <w:t>%</w:t>
            </w:r>
          </w:p>
        </w:tc>
      </w:tr>
    </w:tbl>
    <w:p w14:paraId="42163B90" w14:textId="511B34CC" w:rsidR="00945888" w:rsidRDefault="00945888" w:rsidP="00945888"/>
    <w:p w14:paraId="1BC552A6" w14:textId="3D4B470D" w:rsidR="000C6B73" w:rsidRDefault="000C6B73" w:rsidP="00945888"/>
    <w:p w14:paraId="0BF19C83" w14:textId="77777777" w:rsidR="000C6B73" w:rsidRPr="00945888" w:rsidRDefault="000C6B73" w:rsidP="00945888"/>
    <w:p w14:paraId="2B3322B8" w14:textId="5FD86F8A" w:rsidR="00C91213" w:rsidRPr="00945888" w:rsidRDefault="00C91213" w:rsidP="00945888">
      <w:pPr>
        <w:pStyle w:val="ReportCaptions"/>
        <w:jc w:val="center"/>
        <w:rPr>
          <w:rFonts w:cs="Arial"/>
          <w:b w:val="0"/>
          <w:color w:val="auto"/>
          <w:sz w:val="20"/>
        </w:rPr>
      </w:pPr>
    </w:p>
    <w:p w14:paraId="2A7ABFEE" w14:textId="09CDEAE8" w:rsidR="00491F1C" w:rsidRDefault="00491F1C" w:rsidP="00437714">
      <w:pPr>
        <w:spacing w:after="60"/>
      </w:pPr>
      <w:r>
        <w:t>In 201</w:t>
      </w:r>
      <w:r w:rsidR="008856B0">
        <w:t>6</w:t>
      </w:r>
      <w:r>
        <w:t>-1</w:t>
      </w:r>
      <w:r w:rsidR="008856B0">
        <w:t>7</w:t>
      </w:r>
      <w:r>
        <w:t>, the recovery of:</w:t>
      </w:r>
    </w:p>
    <w:p w14:paraId="44F9F37D" w14:textId="3EBB9324" w:rsidR="00491F1C" w:rsidRDefault="00C91213" w:rsidP="00D01076">
      <w:pPr>
        <w:pStyle w:val="Style1"/>
      </w:pPr>
      <w:r w:rsidRPr="00C91213">
        <w:rPr>
          <w:i/>
        </w:rPr>
        <w:t>Aggregates, masonry &amp; soil</w:t>
      </w:r>
      <w:r w:rsidRPr="00C91213">
        <w:t xml:space="preserve"> material </w:t>
      </w:r>
      <w:r w:rsidR="00867FF5">
        <w:t>de</w:t>
      </w:r>
      <w:r w:rsidRPr="00C91213">
        <w:t xml:space="preserve">creased by </w:t>
      </w:r>
      <w:r w:rsidR="00867FF5">
        <w:t>1</w:t>
      </w:r>
      <w:r w:rsidRPr="00C91213">
        <w:t>%</w:t>
      </w:r>
      <w:r w:rsidR="00491F1C">
        <w:t xml:space="preserve"> to</w:t>
      </w:r>
      <w:r w:rsidRPr="00C91213">
        <w:t xml:space="preserve"> </w:t>
      </w:r>
      <w:r w:rsidR="00523199">
        <w:t>4</w:t>
      </w:r>
      <w:r w:rsidRPr="00C91213">
        <w:t>.</w:t>
      </w:r>
      <w:r w:rsidR="00D8441F">
        <w:t>07</w:t>
      </w:r>
      <w:r w:rsidR="00D8441F" w:rsidRPr="00C91213">
        <w:t xml:space="preserve"> </w:t>
      </w:r>
      <w:r w:rsidRPr="00C91213">
        <w:t>million tonnes.</w:t>
      </w:r>
    </w:p>
    <w:p w14:paraId="39DC0C15" w14:textId="0B1EC9B7" w:rsidR="00523199" w:rsidRDefault="00523199" w:rsidP="00D01076">
      <w:pPr>
        <w:pStyle w:val="Style1"/>
      </w:pPr>
      <w:r w:rsidRPr="00491F1C">
        <w:rPr>
          <w:i/>
        </w:rPr>
        <w:t>Metal</w:t>
      </w:r>
      <w:r w:rsidRPr="00491F1C">
        <w:t xml:space="preserve"> </w:t>
      </w:r>
      <w:r>
        <w:t>in</w:t>
      </w:r>
      <w:r w:rsidRPr="00491F1C">
        <w:t xml:space="preserve">creased </w:t>
      </w:r>
      <w:r>
        <w:t>by</w:t>
      </w:r>
      <w:r w:rsidRPr="00491F1C">
        <w:t xml:space="preserve"> </w:t>
      </w:r>
      <w:r>
        <w:t>1</w:t>
      </w:r>
      <w:r w:rsidR="00867FF5">
        <w:t>9</w:t>
      </w:r>
      <w:r w:rsidRPr="00491F1C">
        <w:t>% to</w:t>
      </w:r>
      <w:r>
        <w:t xml:space="preserve"> </w:t>
      </w:r>
      <w:r w:rsidRPr="00491F1C">
        <w:t>1.</w:t>
      </w:r>
      <w:r w:rsidR="00867FF5">
        <w:t>70</w:t>
      </w:r>
      <w:r w:rsidRPr="00491F1C">
        <w:t xml:space="preserve"> million tonnes. </w:t>
      </w:r>
    </w:p>
    <w:p w14:paraId="6E084DDE" w14:textId="23A2C3D9" w:rsidR="00523199" w:rsidRDefault="00523199" w:rsidP="00D01076">
      <w:pPr>
        <w:pStyle w:val="Style1"/>
      </w:pPr>
      <w:r>
        <w:rPr>
          <w:i/>
        </w:rPr>
        <w:t xml:space="preserve">Glass </w:t>
      </w:r>
      <w:r>
        <w:t xml:space="preserve">decreased by </w:t>
      </w:r>
      <w:r w:rsidR="00867FF5">
        <w:t>2</w:t>
      </w:r>
      <w:r>
        <w:t>1% to 1</w:t>
      </w:r>
      <w:r w:rsidR="00867FF5">
        <w:t>3</w:t>
      </w:r>
      <w:r>
        <w:t>7,000 tonnes.</w:t>
      </w:r>
    </w:p>
    <w:p w14:paraId="6542A8C8" w14:textId="77D827D9" w:rsidR="00867FF5" w:rsidRDefault="00867FF5" w:rsidP="00D01076">
      <w:pPr>
        <w:pStyle w:val="Style1"/>
      </w:pPr>
      <w:r>
        <w:rPr>
          <w:i/>
        </w:rPr>
        <w:t xml:space="preserve">Paper / cardboard </w:t>
      </w:r>
      <w:r w:rsidRPr="00867FF5">
        <w:t>decreased by 7% to 1.</w:t>
      </w:r>
      <w:r w:rsidR="00D8441F" w:rsidRPr="00867FF5">
        <w:t>4</w:t>
      </w:r>
      <w:r w:rsidR="00D8441F">
        <w:t>5</w:t>
      </w:r>
      <w:r w:rsidR="00D8441F" w:rsidRPr="00867FF5">
        <w:t xml:space="preserve"> </w:t>
      </w:r>
      <w:r w:rsidRPr="00867FF5">
        <w:t>million tonnes</w:t>
      </w:r>
      <w:r>
        <w:t>.</w:t>
      </w:r>
    </w:p>
    <w:p w14:paraId="08F64D5B" w14:textId="7509BFDB" w:rsidR="00C91213" w:rsidRDefault="00523199" w:rsidP="00D01076">
      <w:pPr>
        <w:pStyle w:val="Style1"/>
      </w:pPr>
      <w:r>
        <w:rPr>
          <w:i/>
        </w:rPr>
        <w:t>Plastic</w:t>
      </w:r>
      <w:r w:rsidR="00C91213" w:rsidRPr="00D36446">
        <w:t xml:space="preserve"> </w:t>
      </w:r>
      <w:r>
        <w:t>de</w:t>
      </w:r>
      <w:r w:rsidR="00D36446">
        <w:t xml:space="preserve">creased by </w:t>
      </w:r>
      <w:r w:rsidR="00867FF5">
        <w:t>12</w:t>
      </w:r>
      <w:r>
        <w:t>% to 1</w:t>
      </w:r>
      <w:r w:rsidR="00867FF5">
        <w:t>31</w:t>
      </w:r>
      <w:r>
        <w:t>,000</w:t>
      </w:r>
      <w:r w:rsidR="00D36446">
        <w:t xml:space="preserve"> tonnes. </w:t>
      </w:r>
    </w:p>
    <w:p w14:paraId="2290B878" w14:textId="513B7F59" w:rsidR="00D36446" w:rsidRPr="00D36446" w:rsidRDefault="00523199" w:rsidP="00D01076">
      <w:pPr>
        <w:pStyle w:val="Style1"/>
        <w:rPr>
          <w:sz w:val="20"/>
        </w:rPr>
      </w:pPr>
      <w:r w:rsidRPr="008D2967">
        <w:rPr>
          <w:i/>
          <w:szCs w:val="22"/>
        </w:rPr>
        <w:t xml:space="preserve">Rubber </w:t>
      </w:r>
      <w:r w:rsidRPr="008D2967">
        <w:t>decreased by 23</w:t>
      </w:r>
      <w:r w:rsidR="00D36446" w:rsidRPr="008D2967">
        <w:t xml:space="preserve">% to </w:t>
      </w:r>
      <w:r w:rsidR="00867FF5" w:rsidRPr="008D2967">
        <w:t>41,000</w:t>
      </w:r>
      <w:r w:rsidR="00D36446" w:rsidRPr="008D2967">
        <w:t xml:space="preserve"> tonnes.</w:t>
      </w:r>
      <w:r w:rsidR="00D36446" w:rsidRPr="00D36446">
        <w:rPr>
          <w:sz w:val="20"/>
        </w:rPr>
        <w:t xml:space="preserve"> </w:t>
      </w:r>
    </w:p>
    <w:p w14:paraId="3B42C93B" w14:textId="0FB016A8" w:rsidR="00C12941" w:rsidRDefault="00C91213" w:rsidP="00437714">
      <w:pPr>
        <w:spacing w:before="120" w:after="60"/>
        <w:rPr>
          <w:i/>
        </w:rPr>
      </w:pPr>
      <w:r w:rsidRPr="00C91213">
        <w:t xml:space="preserve">Table 3 shows that </w:t>
      </w:r>
      <w:r w:rsidR="007C199D">
        <w:t xml:space="preserve">the recovery </w:t>
      </w:r>
      <w:r w:rsidR="007C199D" w:rsidRPr="00062AE1">
        <w:t xml:space="preserve">of most material categories have increased considerably </w:t>
      </w:r>
      <w:r w:rsidRPr="00062AE1">
        <w:t xml:space="preserve">over the past </w:t>
      </w:r>
      <w:r w:rsidR="00C12941" w:rsidRPr="00062AE1">
        <w:t>10</w:t>
      </w:r>
      <w:r w:rsidRPr="00062AE1">
        <w:t xml:space="preserve"> years, </w:t>
      </w:r>
      <w:r w:rsidR="007C199D" w:rsidRPr="00062AE1">
        <w:t>with the</w:t>
      </w:r>
      <w:r w:rsidRPr="00062AE1">
        <w:t xml:space="preserve"> exceptions </w:t>
      </w:r>
      <w:r w:rsidR="007C199D" w:rsidRPr="00062AE1">
        <w:t>being</w:t>
      </w:r>
      <w:r w:rsidRPr="00062AE1">
        <w:t xml:space="preserve"> the recovery of</w:t>
      </w:r>
      <w:r w:rsidR="00062AE1">
        <w:t xml:space="preserve"> </w:t>
      </w:r>
      <w:r w:rsidR="0095212B">
        <w:t>g</w:t>
      </w:r>
      <w:r w:rsidR="00062AE1" w:rsidRPr="00062AE1">
        <w:rPr>
          <w:i/>
        </w:rPr>
        <w:t>lass</w:t>
      </w:r>
      <w:r w:rsidR="00C12941" w:rsidRPr="00062AE1">
        <w:rPr>
          <w:i/>
        </w:rPr>
        <w:t>:</w:t>
      </w:r>
      <w:r w:rsidRPr="00062AE1">
        <w:rPr>
          <w:i/>
        </w:rPr>
        <w:t xml:space="preserve"> </w:t>
      </w:r>
    </w:p>
    <w:p w14:paraId="6346D96E" w14:textId="30D27663" w:rsidR="007D30C0" w:rsidRDefault="003A424D" w:rsidP="00D01076">
      <w:pPr>
        <w:pStyle w:val="Style1"/>
      </w:pPr>
      <w:r w:rsidRPr="00321076">
        <w:t>The</w:t>
      </w:r>
      <w:r w:rsidR="00105C0D">
        <w:t xml:space="preserve"> total</w:t>
      </w:r>
      <w:r w:rsidRPr="00321076">
        <w:t xml:space="preserve"> amount of </w:t>
      </w:r>
      <w:r w:rsidR="0095212B">
        <w:t>materials</w:t>
      </w:r>
      <w:r w:rsidRPr="00321076">
        <w:t xml:space="preserve"> re</w:t>
      </w:r>
      <w:r w:rsidR="00321076" w:rsidRPr="00321076">
        <w:t>co</w:t>
      </w:r>
      <w:r w:rsidRPr="00321076">
        <w:t xml:space="preserve">vered in Victoria </w:t>
      </w:r>
      <w:r w:rsidR="00321076" w:rsidRPr="00321076">
        <w:t xml:space="preserve">in </w:t>
      </w:r>
      <w:r w:rsidR="00867FF5">
        <w:t>2016-17</w:t>
      </w:r>
      <w:r w:rsidRPr="00321076">
        <w:t xml:space="preserve"> is 2</w:t>
      </w:r>
      <w:r w:rsidR="00EA0196">
        <w:t>.</w:t>
      </w:r>
      <w:r w:rsidR="00867FF5">
        <w:t>34</w:t>
      </w:r>
      <w:r w:rsidR="00EA0196">
        <w:t xml:space="preserve"> million</w:t>
      </w:r>
      <w:r w:rsidR="00EA0196" w:rsidRPr="00321076">
        <w:t xml:space="preserve"> </w:t>
      </w:r>
      <w:r w:rsidRPr="00321076">
        <w:t>tonnes higher than in 200</w:t>
      </w:r>
      <w:r w:rsidR="00867FF5">
        <w:t>7</w:t>
      </w:r>
      <w:r w:rsidRPr="00321076">
        <w:t>-0</w:t>
      </w:r>
      <w:r w:rsidR="00867FF5">
        <w:t>8</w:t>
      </w:r>
      <w:r w:rsidRPr="00321076">
        <w:t>. This is an increase of 3</w:t>
      </w:r>
      <w:r w:rsidR="00867FF5">
        <w:t>7</w:t>
      </w:r>
      <w:r w:rsidRPr="00321076">
        <w:t>%.</w:t>
      </w:r>
    </w:p>
    <w:p w14:paraId="508ADE7C" w14:textId="02C1CEBC" w:rsidR="00062AE1" w:rsidRPr="00321076" w:rsidRDefault="00062AE1" w:rsidP="00D01076">
      <w:pPr>
        <w:pStyle w:val="Style1"/>
      </w:pPr>
      <w:r w:rsidRPr="00321076">
        <w:t>20</w:t>
      </w:r>
      <w:r w:rsidR="00867FF5">
        <w:t>16</w:t>
      </w:r>
      <w:r w:rsidRPr="00321076">
        <w:t>-</w:t>
      </w:r>
      <w:r w:rsidR="00867FF5">
        <w:t>1</w:t>
      </w:r>
      <w:r w:rsidRPr="00321076">
        <w:t xml:space="preserve">7 was the year with the </w:t>
      </w:r>
      <w:r w:rsidR="00867FF5">
        <w:t>lowest</w:t>
      </w:r>
      <w:r w:rsidRPr="00321076">
        <w:t xml:space="preserve"> reported </w:t>
      </w:r>
      <w:r w:rsidR="0095212B" w:rsidRPr="0095212B">
        <w:rPr>
          <w:i/>
        </w:rPr>
        <w:t>g</w:t>
      </w:r>
      <w:r w:rsidRPr="0095212B">
        <w:rPr>
          <w:i/>
        </w:rPr>
        <w:t>la</w:t>
      </w:r>
      <w:r w:rsidRPr="00321076">
        <w:rPr>
          <w:i/>
        </w:rPr>
        <w:t>ss</w:t>
      </w:r>
      <w:r w:rsidRPr="00321076">
        <w:t xml:space="preserve"> recovered in Victoria</w:t>
      </w:r>
      <w:r w:rsidR="007D30C0" w:rsidRPr="00321076">
        <w:t xml:space="preserve"> since records began</w:t>
      </w:r>
      <w:r w:rsidRPr="00321076">
        <w:t xml:space="preserve">. </w:t>
      </w:r>
      <w:r w:rsidR="007D30C0" w:rsidRPr="00321076">
        <w:t xml:space="preserve">Over the past 10 years, the total amount of </w:t>
      </w:r>
      <w:r w:rsidR="0095212B">
        <w:t>g</w:t>
      </w:r>
      <w:r w:rsidR="007D30C0" w:rsidRPr="0095212B">
        <w:rPr>
          <w:i/>
        </w:rPr>
        <w:t xml:space="preserve">lass </w:t>
      </w:r>
      <w:r w:rsidR="007D30C0" w:rsidRPr="00321076">
        <w:t>recovered ha</w:t>
      </w:r>
      <w:r w:rsidR="00867FF5">
        <w:t xml:space="preserve">d fluctuated between </w:t>
      </w:r>
      <w:r w:rsidR="007D30C0" w:rsidRPr="00321076">
        <w:t>150</w:t>
      </w:r>
      <w:r w:rsidR="00321076">
        <w:t>,000</w:t>
      </w:r>
      <w:r w:rsidR="007D30C0" w:rsidRPr="00321076">
        <w:t xml:space="preserve"> and 200</w:t>
      </w:r>
      <w:r w:rsidR="00321076">
        <w:t>,000</w:t>
      </w:r>
      <w:r w:rsidR="00867FF5">
        <w:t xml:space="preserve"> tonnes until 2016-17</w:t>
      </w:r>
      <w:r w:rsidR="00B35307">
        <w:t>,</w:t>
      </w:r>
      <w:r w:rsidR="00867FF5">
        <w:t xml:space="preserve"> when it dropp</w:t>
      </w:r>
      <w:r w:rsidR="00B35307">
        <w:t>ed below 150,000 tonnes</w:t>
      </w:r>
      <w:r w:rsidR="007D30C0" w:rsidRPr="00321076">
        <w:t>.</w:t>
      </w:r>
    </w:p>
    <w:p w14:paraId="6DE13BF6" w14:textId="2E858048" w:rsidR="00C12941" w:rsidRDefault="0095212B" w:rsidP="00D01076">
      <w:pPr>
        <w:pStyle w:val="Style1"/>
      </w:pPr>
      <w:r>
        <w:rPr>
          <w:i/>
        </w:rPr>
        <w:t>Paper and c</w:t>
      </w:r>
      <w:r w:rsidR="007D30C0">
        <w:rPr>
          <w:i/>
        </w:rPr>
        <w:t>ardboard</w:t>
      </w:r>
      <w:r w:rsidR="00B35307">
        <w:rPr>
          <w:i/>
        </w:rPr>
        <w:t xml:space="preserve"> </w:t>
      </w:r>
      <w:r w:rsidR="00B35307" w:rsidRPr="00B35307">
        <w:t>and</w:t>
      </w:r>
      <w:r>
        <w:rPr>
          <w:i/>
        </w:rPr>
        <w:t xml:space="preserve"> r</w:t>
      </w:r>
      <w:r w:rsidR="007D30C0">
        <w:rPr>
          <w:i/>
        </w:rPr>
        <w:t xml:space="preserve">ubber </w:t>
      </w:r>
      <w:r w:rsidR="00867FF5" w:rsidRPr="0095212B">
        <w:t>recovery</w:t>
      </w:r>
      <w:r w:rsidR="00867FF5">
        <w:t xml:space="preserve"> have </w:t>
      </w:r>
      <w:r w:rsidR="00405DE3">
        <w:t xml:space="preserve">increased by more than 50% </w:t>
      </w:r>
      <w:r w:rsidR="007D30C0">
        <w:t>in the past 10 years</w:t>
      </w:r>
      <w:r w:rsidR="00405DE3">
        <w:t xml:space="preserve"> and organics by 80%.</w:t>
      </w:r>
    </w:p>
    <w:p w14:paraId="61396A59" w14:textId="77777777" w:rsidR="00D95A31" w:rsidRDefault="00D95A31" w:rsidP="00D01076">
      <w:pPr>
        <w:pStyle w:val="ListBullet"/>
      </w:pPr>
    </w:p>
    <w:p w14:paraId="38E0E88A" w14:textId="64C2E175" w:rsidR="00C91213" w:rsidRPr="00420443" w:rsidRDefault="00C91213" w:rsidP="00420443">
      <w:pPr>
        <w:pStyle w:val="Caption"/>
      </w:pPr>
      <w:bookmarkStart w:id="19" w:name="_Toc460413179"/>
      <w:bookmarkStart w:id="20" w:name="_Toc461439092"/>
      <w:r w:rsidRPr="00420443">
        <w:t xml:space="preserve">Table </w:t>
      </w:r>
      <w:r w:rsidR="00AC0BF2">
        <w:rPr>
          <w:noProof/>
        </w:rPr>
        <w:fldChar w:fldCharType="begin"/>
      </w:r>
      <w:r w:rsidR="00AC0BF2">
        <w:rPr>
          <w:noProof/>
        </w:rPr>
        <w:instrText xml:space="preserve"> SEQ Table \* ARABIC </w:instrText>
      </w:r>
      <w:r w:rsidR="00AC0BF2">
        <w:rPr>
          <w:noProof/>
        </w:rPr>
        <w:fldChar w:fldCharType="separate"/>
      </w:r>
      <w:r w:rsidR="004F79B1">
        <w:rPr>
          <w:noProof/>
        </w:rPr>
        <w:t>3</w:t>
      </w:r>
      <w:r w:rsidR="00AC0BF2">
        <w:rPr>
          <w:noProof/>
        </w:rPr>
        <w:fldChar w:fldCharType="end"/>
      </w:r>
      <w:r w:rsidRPr="00420443">
        <w:t xml:space="preserve"> Total material types recovered for reprocessing, Victoria 201</w:t>
      </w:r>
      <w:r w:rsidR="008856B0" w:rsidRPr="00420443">
        <w:t>6</w:t>
      </w:r>
      <w:r w:rsidRPr="00420443">
        <w:t>-1</w:t>
      </w:r>
      <w:r w:rsidR="008856B0" w:rsidRPr="00420443">
        <w:t>7</w:t>
      </w:r>
      <w:r w:rsidRPr="00420443">
        <w:t xml:space="preserve"> and 200</w:t>
      </w:r>
      <w:r w:rsidR="008856B0" w:rsidRPr="00420443">
        <w:t>7</w:t>
      </w:r>
      <w:r w:rsidRPr="00420443">
        <w:t>-0</w:t>
      </w:r>
      <w:bookmarkEnd w:id="19"/>
      <w:bookmarkEnd w:id="20"/>
      <w:r w:rsidR="008856B0" w:rsidRPr="00420443">
        <w:t>8</w:t>
      </w:r>
    </w:p>
    <w:tbl>
      <w:tblPr>
        <w:tblW w:w="9072" w:type="dxa"/>
        <w:jc w:val="center"/>
        <w:tblBorders>
          <w:insideH w:val="single" w:sz="4" w:space="0" w:color="7F7F7F" w:themeColor="text1" w:themeTint="80"/>
        </w:tblBorders>
        <w:tblLook w:val="04A0" w:firstRow="1" w:lastRow="0" w:firstColumn="1" w:lastColumn="0" w:noHBand="0" w:noVBand="1"/>
      </w:tblPr>
      <w:tblGrid>
        <w:gridCol w:w="3119"/>
        <w:gridCol w:w="1900"/>
        <w:gridCol w:w="1701"/>
        <w:gridCol w:w="2352"/>
      </w:tblGrid>
      <w:tr w:rsidR="00523FFA" w:rsidRPr="000C6B73" w14:paraId="746FC4A5" w14:textId="77777777" w:rsidTr="000C6B73">
        <w:trPr>
          <w:trHeight w:val="621"/>
          <w:jc w:val="center"/>
        </w:trPr>
        <w:tc>
          <w:tcPr>
            <w:tcW w:w="3119" w:type="dxa"/>
            <w:tcBorders>
              <w:top w:val="single" w:sz="4" w:space="0" w:color="auto"/>
              <w:bottom w:val="single" w:sz="4" w:space="0" w:color="7F7F7F" w:themeColor="text1" w:themeTint="80"/>
            </w:tcBorders>
            <w:shd w:val="clear" w:color="auto" w:fill="92D050"/>
            <w:noWrap/>
            <w:vAlign w:val="bottom"/>
            <w:hideMark/>
          </w:tcPr>
          <w:p w14:paraId="751A69D2" w14:textId="77777777" w:rsidR="00523FFA" w:rsidRPr="000C6B73" w:rsidRDefault="00523FFA" w:rsidP="00EA0196">
            <w:pPr>
              <w:rPr>
                <w:rFonts w:eastAsia="Times New Roman" w:cs="Arial"/>
                <w:b/>
                <w:color w:val="FFFFFF"/>
                <w:sz w:val="16"/>
                <w:szCs w:val="16"/>
                <w:lang w:eastAsia="en-AU"/>
              </w:rPr>
            </w:pPr>
            <w:r w:rsidRPr="000C6B73">
              <w:rPr>
                <w:rFonts w:eastAsia="Times New Roman" w:cs="Arial"/>
                <w:b/>
                <w:color w:val="FFFFFF"/>
                <w:sz w:val="16"/>
                <w:szCs w:val="16"/>
                <w:lang w:eastAsia="en-AU"/>
              </w:rPr>
              <w:t>Material Type</w:t>
            </w:r>
          </w:p>
        </w:tc>
        <w:tc>
          <w:tcPr>
            <w:tcW w:w="1900" w:type="dxa"/>
            <w:tcBorders>
              <w:top w:val="single" w:sz="4" w:space="0" w:color="auto"/>
              <w:bottom w:val="single" w:sz="4" w:space="0" w:color="7F7F7F" w:themeColor="text1" w:themeTint="80"/>
            </w:tcBorders>
            <w:shd w:val="clear" w:color="auto" w:fill="92D050"/>
            <w:vAlign w:val="bottom"/>
            <w:hideMark/>
          </w:tcPr>
          <w:p w14:paraId="4B82F6EE" w14:textId="77777777" w:rsidR="00523FFA" w:rsidRPr="000C6B73" w:rsidRDefault="00523FFA" w:rsidP="00EA0196">
            <w:pPr>
              <w:spacing w:after="0" w:line="240" w:lineRule="auto"/>
              <w:ind w:right="317"/>
              <w:jc w:val="right"/>
              <w:rPr>
                <w:rFonts w:eastAsia="Times New Roman" w:cs="Arial"/>
                <w:b/>
                <w:color w:val="FFFFFF"/>
                <w:sz w:val="16"/>
                <w:szCs w:val="16"/>
                <w:lang w:eastAsia="en-AU"/>
              </w:rPr>
            </w:pPr>
            <w:r w:rsidRPr="000C6B73">
              <w:rPr>
                <w:rFonts w:eastAsia="Times New Roman" w:cs="Arial"/>
                <w:b/>
                <w:color w:val="FFFFFF"/>
                <w:sz w:val="16"/>
                <w:szCs w:val="16"/>
                <w:lang w:eastAsia="en-AU"/>
              </w:rPr>
              <w:t xml:space="preserve">Total recovery in Victoria </w:t>
            </w:r>
          </w:p>
          <w:p w14:paraId="115A81FF" w14:textId="36DCB11A" w:rsidR="00523FFA" w:rsidRPr="000C6B73" w:rsidRDefault="00523FFA" w:rsidP="00EA0196">
            <w:pPr>
              <w:spacing w:after="0" w:line="240" w:lineRule="auto"/>
              <w:ind w:right="317"/>
              <w:jc w:val="right"/>
              <w:rPr>
                <w:rFonts w:eastAsia="Times New Roman" w:cs="Arial"/>
                <w:b/>
                <w:color w:val="FFFFFF"/>
                <w:sz w:val="16"/>
                <w:szCs w:val="16"/>
                <w:lang w:eastAsia="en-AU"/>
              </w:rPr>
            </w:pPr>
            <w:r w:rsidRPr="000C6B73">
              <w:rPr>
                <w:rFonts w:eastAsia="Times New Roman" w:cs="Arial"/>
                <w:b/>
                <w:color w:val="FFFFFF"/>
                <w:sz w:val="16"/>
                <w:szCs w:val="16"/>
                <w:lang w:eastAsia="en-AU"/>
              </w:rPr>
              <w:t>2016-17</w:t>
            </w:r>
          </w:p>
        </w:tc>
        <w:tc>
          <w:tcPr>
            <w:tcW w:w="1701" w:type="dxa"/>
            <w:tcBorders>
              <w:top w:val="single" w:sz="4" w:space="0" w:color="auto"/>
              <w:bottom w:val="single" w:sz="4" w:space="0" w:color="7F7F7F" w:themeColor="text1" w:themeTint="80"/>
            </w:tcBorders>
            <w:shd w:val="clear" w:color="auto" w:fill="92D050"/>
            <w:vAlign w:val="bottom"/>
            <w:hideMark/>
          </w:tcPr>
          <w:p w14:paraId="0EA11F04" w14:textId="77777777" w:rsidR="00523FFA" w:rsidRPr="000C6B73" w:rsidRDefault="00523FFA" w:rsidP="00EA0196">
            <w:pPr>
              <w:spacing w:after="0" w:line="240" w:lineRule="auto"/>
              <w:ind w:right="168"/>
              <w:jc w:val="right"/>
              <w:rPr>
                <w:rFonts w:eastAsia="Times New Roman" w:cs="Arial"/>
                <w:b/>
                <w:color w:val="FFFFFF"/>
                <w:sz w:val="16"/>
                <w:szCs w:val="16"/>
                <w:lang w:eastAsia="en-AU"/>
              </w:rPr>
            </w:pPr>
            <w:r w:rsidRPr="000C6B73">
              <w:rPr>
                <w:rFonts w:eastAsia="Times New Roman" w:cs="Arial"/>
                <w:b/>
                <w:color w:val="FFFFFF"/>
                <w:sz w:val="16"/>
                <w:szCs w:val="16"/>
                <w:lang w:eastAsia="en-AU"/>
              </w:rPr>
              <w:t xml:space="preserve">Total recovery in Victoria </w:t>
            </w:r>
          </w:p>
          <w:p w14:paraId="5839CBE8" w14:textId="440F00DE" w:rsidR="00523FFA" w:rsidRPr="000C6B73" w:rsidRDefault="00523FFA" w:rsidP="00EA0196">
            <w:pPr>
              <w:spacing w:after="0" w:line="240" w:lineRule="auto"/>
              <w:ind w:right="168"/>
              <w:jc w:val="right"/>
              <w:rPr>
                <w:rFonts w:eastAsia="Times New Roman" w:cs="Arial"/>
                <w:b/>
                <w:color w:val="FFFFFF"/>
                <w:sz w:val="16"/>
                <w:szCs w:val="16"/>
                <w:lang w:eastAsia="en-AU"/>
              </w:rPr>
            </w:pPr>
            <w:r w:rsidRPr="000C6B73">
              <w:rPr>
                <w:rFonts w:eastAsia="Times New Roman" w:cs="Arial"/>
                <w:b/>
                <w:color w:val="FFFFFF"/>
                <w:sz w:val="16"/>
                <w:szCs w:val="16"/>
                <w:lang w:eastAsia="en-AU"/>
              </w:rPr>
              <w:t>2007-08</w:t>
            </w:r>
          </w:p>
        </w:tc>
        <w:tc>
          <w:tcPr>
            <w:tcW w:w="2352" w:type="dxa"/>
            <w:tcBorders>
              <w:top w:val="single" w:sz="4" w:space="0" w:color="auto"/>
              <w:bottom w:val="single" w:sz="4" w:space="0" w:color="7F7F7F" w:themeColor="text1" w:themeTint="80"/>
            </w:tcBorders>
            <w:shd w:val="clear" w:color="auto" w:fill="92D050"/>
            <w:vAlign w:val="bottom"/>
          </w:tcPr>
          <w:p w14:paraId="24AEDF64" w14:textId="3D41F3D8" w:rsidR="00523FFA" w:rsidRPr="000C6B73" w:rsidRDefault="00E215FB" w:rsidP="00107CD9">
            <w:pPr>
              <w:spacing w:after="0" w:line="240" w:lineRule="auto"/>
              <w:ind w:right="175"/>
              <w:jc w:val="right"/>
              <w:rPr>
                <w:rFonts w:eastAsia="Times New Roman" w:cs="Arial"/>
                <w:b/>
                <w:color w:val="FFFFFF"/>
                <w:sz w:val="16"/>
                <w:szCs w:val="16"/>
                <w:lang w:eastAsia="en-AU"/>
              </w:rPr>
            </w:pPr>
            <w:r w:rsidRPr="000C6B73">
              <w:rPr>
                <w:rFonts w:eastAsia="Times New Roman" w:cs="Arial"/>
                <w:b/>
                <w:color w:val="FFFFFF"/>
                <w:sz w:val="16"/>
                <w:szCs w:val="16"/>
                <w:lang w:eastAsia="en-AU"/>
              </w:rPr>
              <w:t xml:space="preserve">Per cent </w:t>
            </w:r>
            <w:r w:rsidRPr="000C6B73">
              <w:rPr>
                <w:rFonts w:eastAsia="Times New Roman" w:cs="Arial"/>
                <w:b/>
                <w:color w:val="FFFFFF"/>
                <w:sz w:val="16"/>
                <w:szCs w:val="16"/>
                <w:lang w:eastAsia="en-AU"/>
              </w:rPr>
              <w:br/>
              <w:t>c</w:t>
            </w:r>
            <w:r w:rsidR="00523FFA" w:rsidRPr="000C6B73">
              <w:rPr>
                <w:rFonts w:eastAsia="Times New Roman" w:cs="Arial"/>
                <w:b/>
                <w:color w:val="FFFFFF"/>
                <w:sz w:val="16"/>
                <w:szCs w:val="16"/>
                <w:lang w:eastAsia="en-AU"/>
              </w:rPr>
              <w:t xml:space="preserve">hange since </w:t>
            </w:r>
            <w:r w:rsidRPr="000C6B73">
              <w:rPr>
                <w:rFonts w:eastAsia="Times New Roman" w:cs="Arial"/>
                <w:b/>
                <w:color w:val="FFFFFF"/>
                <w:sz w:val="16"/>
                <w:szCs w:val="16"/>
                <w:lang w:eastAsia="en-AU"/>
              </w:rPr>
              <w:br/>
            </w:r>
            <w:r w:rsidR="00523FFA" w:rsidRPr="000C6B73">
              <w:rPr>
                <w:rFonts w:eastAsia="Times New Roman" w:cs="Arial"/>
                <w:b/>
                <w:color w:val="FFFFFF"/>
                <w:sz w:val="16"/>
                <w:szCs w:val="16"/>
                <w:lang w:eastAsia="en-AU"/>
              </w:rPr>
              <w:t>2007-08</w:t>
            </w:r>
          </w:p>
        </w:tc>
      </w:tr>
      <w:tr w:rsidR="002F4C70" w:rsidRPr="000C6B73" w14:paraId="1923E510" w14:textId="77777777" w:rsidTr="00107CD9">
        <w:trPr>
          <w:trHeight w:val="312"/>
          <w:jc w:val="center"/>
        </w:trPr>
        <w:tc>
          <w:tcPr>
            <w:tcW w:w="3119" w:type="dxa"/>
            <w:tcBorders>
              <w:top w:val="single" w:sz="4" w:space="0" w:color="7F7F7F" w:themeColor="text1" w:themeTint="80"/>
            </w:tcBorders>
            <w:shd w:val="clear" w:color="auto" w:fill="E7E6E6" w:themeFill="background2"/>
            <w:noWrap/>
            <w:vAlign w:val="center"/>
            <w:hideMark/>
          </w:tcPr>
          <w:p w14:paraId="00FC38EE" w14:textId="77777777" w:rsidR="002F4C70" w:rsidRPr="000C6B73" w:rsidRDefault="002F4C70"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 </w:t>
            </w:r>
          </w:p>
        </w:tc>
        <w:tc>
          <w:tcPr>
            <w:tcW w:w="1900" w:type="dxa"/>
            <w:tcBorders>
              <w:top w:val="single" w:sz="4" w:space="0" w:color="7F7F7F" w:themeColor="text1" w:themeTint="80"/>
            </w:tcBorders>
            <w:shd w:val="clear" w:color="auto" w:fill="E7E6E6" w:themeFill="background2"/>
            <w:vAlign w:val="center"/>
            <w:hideMark/>
          </w:tcPr>
          <w:p w14:paraId="6720BBA1" w14:textId="77777777" w:rsidR="002F4C70" w:rsidRPr="000C6B73" w:rsidRDefault="002F4C70" w:rsidP="00B300C1">
            <w:pPr>
              <w:spacing w:before="60" w:after="60" w:line="264" w:lineRule="auto"/>
              <w:ind w:right="317"/>
              <w:jc w:val="right"/>
              <w:rPr>
                <w:rFonts w:eastAsia="Times New Roman" w:cs="Arial"/>
                <w:sz w:val="16"/>
                <w:szCs w:val="16"/>
                <w:lang w:eastAsia="en-AU"/>
              </w:rPr>
            </w:pPr>
            <w:r w:rsidRPr="000C6B73">
              <w:rPr>
                <w:rFonts w:eastAsia="Times New Roman" w:cs="Arial"/>
                <w:sz w:val="16"/>
                <w:szCs w:val="16"/>
                <w:lang w:eastAsia="en-AU"/>
              </w:rPr>
              <w:t>Tonnes (‘000)</w:t>
            </w:r>
          </w:p>
        </w:tc>
        <w:tc>
          <w:tcPr>
            <w:tcW w:w="1701" w:type="dxa"/>
            <w:tcBorders>
              <w:top w:val="single" w:sz="4" w:space="0" w:color="7F7F7F" w:themeColor="text1" w:themeTint="80"/>
            </w:tcBorders>
            <w:shd w:val="clear" w:color="auto" w:fill="E7E6E6" w:themeFill="background2"/>
            <w:vAlign w:val="center"/>
            <w:hideMark/>
          </w:tcPr>
          <w:p w14:paraId="6DCB0007" w14:textId="77777777" w:rsidR="002F4C70" w:rsidRPr="000C6B73" w:rsidRDefault="002F4C70" w:rsidP="00B300C1">
            <w:pPr>
              <w:spacing w:before="60" w:after="60" w:line="264" w:lineRule="auto"/>
              <w:ind w:right="168"/>
              <w:jc w:val="right"/>
              <w:rPr>
                <w:rFonts w:eastAsia="Times New Roman" w:cs="Arial"/>
                <w:sz w:val="16"/>
                <w:szCs w:val="16"/>
                <w:lang w:eastAsia="en-AU"/>
              </w:rPr>
            </w:pPr>
            <w:r w:rsidRPr="000C6B73">
              <w:rPr>
                <w:rFonts w:eastAsia="Times New Roman" w:cs="Arial"/>
                <w:sz w:val="16"/>
                <w:szCs w:val="16"/>
                <w:lang w:eastAsia="en-AU"/>
              </w:rPr>
              <w:t>Tonnes (‘000)</w:t>
            </w:r>
          </w:p>
        </w:tc>
        <w:tc>
          <w:tcPr>
            <w:tcW w:w="2352" w:type="dxa"/>
            <w:tcBorders>
              <w:top w:val="single" w:sz="4" w:space="0" w:color="7F7F7F" w:themeColor="text1" w:themeTint="80"/>
            </w:tcBorders>
            <w:shd w:val="clear" w:color="auto" w:fill="E7E6E6" w:themeFill="background2"/>
            <w:vAlign w:val="center"/>
          </w:tcPr>
          <w:p w14:paraId="6244D875" w14:textId="0338511F"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w:t>
            </w:r>
          </w:p>
        </w:tc>
      </w:tr>
      <w:tr w:rsidR="002F4C70" w:rsidRPr="000C6B73" w14:paraId="0F574672" w14:textId="77777777" w:rsidTr="00B300C1">
        <w:trPr>
          <w:trHeight w:val="159"/>
          <w:jc w:val="center"/>
        </w:trPr>
        <w:tc>
          <w:tcPr>
            <w:tcW w:w="3119" w:type="dxa"/>
            <w:shd w:val="clear" w:color="auto" w:fill="auto"/>
            <w:vAlign w:val="bottom"/>
            <w:hideMark/>
          </w:tcPr>
          <w:p w14:paraId="111760B2" w14:textId="08D22832" w:rsidR="002F4C70" w:rsidRPr="000C6B73" w:rsidRDefault="0095212B"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Aggregates, masonry and s</w:t>
            </w:r>
            <w:r w:rsidR="002F4C70" w:rsidRPr="000C6B73">
              <w:rPr>
                <w:rFonts w:eastAsia="Times New Roman" w:cs="Arial"/>
                <w:sz w:val="16"/>
                <w:szCs w:val="16"/>
                <w:lang w:eastAsia="en-AU"/>
              </w:rPr>
              <w:t>oils</w:t>
            </w:r>
          </w:p>
        </w:tc>
        <w:tc>
          <w:tcPr>
            <w:tcW w:w="1900" w:type="dxa"/>
            <w:shd w:val="clear" w:color="auto" w:fill="auto"/>
            <w:noWrap/>
            <w:vAlign w:val="bottom"/>
            <w:hideMark/>
          </w:tcPr>
          <w:p w14:paraId="48E543E3" w14:textId="784C9267" w:rsidR="002F4C70" w:rsidRPr="000C6B73" w:rsidRDefault="002F4C70" w:rsidP="00954A83">
            <w:pPr>
              <w:spacing w:before="60" w:after="60" w:line="264" w:lineRule="auto"/>
              <w:ind w:right="510"/>
              <w:jc w:val="right"/>
              <w:rPr>
                <w:rFonts w:eastAsia="Times New Roman" w:cs="Arial"/>
                <w:sz w:val="16"/>
                <w:szCs w:val="16"/>
                <w:lang w:eastAsia="en-AU"/>
              </w:rPr>
            </w:pPr>
            <w:r w:rsidRPr="000C6B73">
              <w:rPr>
                <w:rFonts w:eastAsia="Times New Roman" w:cs="Arial"/>
                <w:sz w:val="16"/>
                <w:szCs w:val="16"/>
                <w:lang w:eastAsia="en-AU"/>
              </w:rPr>
              <w:t>4,068</w:t>
            </w:r>
          </w:p>
        </w:tc>
        <w:tc>
          <w:tcPr>
            <w:tcW w:w="1701" w:type="dxa"/>
            <w:shd w:val="clear" w:color="auto" w:fill="auto"/>
            <w:vAlign w:val="bottom"/>
            <w:hideMark/>
          </w:tcPr>
          <w:p w14:paraId="1E6A3049" w14:textId="3C5A8F25" w:rsidR="002F4C70" w:rsidRPr="000C6B73" w:rsidRDefault="002F4C70" w:rsidP="00954A83">
            <w:pPr>
              <w:spacing w:before="60" w:after="60" w:line="264" w:lineRule="auto"/>
              <w:ind w:right="378"/>
              <w:jc w:val="right"/>
              <w:rPr>
                <w:rFonts w:eastAsia="Times New Roman" w:cs="Arial"/>
                <w:sz w:val="16"/>
                <w:szCs w:val="16"/>
                <w:lang w:eastAsia="en-AU"/>
              </w:rPr>
            </w:pPr>
            <w:r w:rsidRPr="000C6B73">
              <w:rPr>
                <w:rFonts w:eastAsia="Times New Roman" w:cs="Arial"/>
                <w:sz w:val="16"/>
                <w:szCs w:val="16"/>
                <w:lang w:eastAsia="en-AU"/>
              </w:rPr>
              <w:t>3,042</w:t>
            </w:r>
          </w:p>
        </w:tc>
        <w:tc>
          <w:tcPr>
            <w:tcW w:w="2352" w:type="dxa"/>
            <w:vAlign w:val="bottom"/>
          </w:tcPr>
          <w:p w14:paraId="049A539E" w14:textId="40F84A1D"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34%</w:t>
            </w:r>
          </w:p>
        </w:tc>
      </w:tr>
      <w:tr w:rsidR="002F4C70" w:rsidRPr="000C6B73" w14:paraId="2C410BB2" w14:textId="77777777" w:rsidTr="00B300C1">
        <w:trPr>
          <w:trHeight w:val="105"/>
          <w:jc w:val="center"/>
        </w:trPr>
        <w:tc>
          <w:tcPr>
            <w:tcW w:w="3119" w:type="dxa"/>
            <w:shd w:val="clear" w:color="auto" w:fill="auto"/>
            <w:noWrap/>
            <w:vAlign w:val="bottom"/>
            <w:hideMark/>
          </w:tcPr>
          <w:p w14:paraId="223638B1" w14:textId="77777777" w:rsidR="002F4C70" w:rsidRPr="000C6B73" w:rsidRDefault="002F4C70"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Glass</w:t>
            </w:r>
          </w:p>
        </w:tc>
        <w:tc>
          <w:tcPr>
            <w:tcW w:w="1900" w:type="dxa"/>
            <w:shd w:val="clear" w:color="auto" w:fill="auto"/>
            <w:noWrap/>
            <w:vAlign w:val="bottom"/>
            <w:hideMark/>
          </w:tcPr>
          <w:p w14:paraId="15299766" w14:textId="5E2C0E9D" w:rsidR="002F4C70" w:rsidRPr="000C6B73" w:rsidRDefault="002F4C70" w:rsidP="00954A83">
            <w:pPr>
              <w:spacing w:before="60" w:after="60" w:line="264" w:lineRule="auto"/>
              <w:ind w:right="510"/>
              <w:jc w:val="right"/>
              <w:rPr>
                <w:rFonts w:eastAsia="Times New Roman" w:cs="Arial"/>
                <w:sz w:val="16"/>
                <w:szCs w:val="16"/>
                <w:lang w:eastAsia="en-AU"/>
              </w:rPr>
            </w:pPr>
            <w:r w:rsidRPr="000C6B73">
              <w:rPr>
                <w:rFonts w:eastAsia="Times New Roman" w:cs="Arial"/>
                <w:sz w:val="16"/>
                <w:szCs w:val="16"/>
                <w:lang w:eastAsia="en-AU"/>
              </w:rPr>
              <w:t>137</w:t>
            </w:r>
          </w:p>
        </w:tc>
        <w:tc>
          <w:tcPr>
            <w:tcW w:w="1701" w:type="dxa"/>
            <w:shd w:val="clear" w:color="auto" w:fill="auto"/>
            <w:vAlign w:val="bottom"/>
            <w:hideMark/>
          </w:tcPr>
          <w:p w14:paraId="77A1E743" w14:textId="2BA7C521" w:rsidR="002F4C70" w:rsidRPr="000C6B73" w:rsidRDefault="002F4C70" w:rsidP="00954A83">
            <w:pPr>
              <w:spacing w:before="60" w:after="60" w:line="264" w:lineRule="auto"/>
              <w:ind w:right="378"/>
              <w:jc w:val="right"/>
              <w:rPr>
                <w:rFonts w:eastAsia="Times New Roman" w:cs="Arial"/>
                <w:sz w:val="16"/>
                <w:szCs w:val="16"/>
                <w:lang w:eastAsia="en-AU"/>
              </w:rPr>
            </w:pPr>
            <w:r w:rsidRPr="000C6B73">
              <w:rPr>
                <w:rFonts w:eastAsia="Times New Roman" w:cs="Arial"/>
                <w:sz w:val="16"/>
                <w:szCs w:val="16"/>
                <w:lang w:eastAsia="en-AU"/>
              </w:rPr>
              <w:t>174</w:t>
            </w:r>
          </w:p>
        </w:tc>
        <w:tc>
          <w:tcPr>
            <w:tcW w:w="2352" w:type="dxa"/>
            <w:vAlign w:val="bottom"/>
          </w:tcPr>
          <w:p w14:paraId="32957810" w14:textId="63EE56AA"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-21%</w:t>
            </w:r>
          </w:p>
        </w:tc>
      </w:tr>
      <w:tr w:rsidR="002F4C70" w:rsidRPr="000C6B73" w14:paraId="3A95AD6A" w14:textId="77777777" w:rsidTr="00B300C1">
        <w:trPr>
          <w:trHeight w:val="179"/>
          <w:jc w:val="center"/>
        </w:trPr>
        <w:tc>
          <w:tcPr>
            <w:tcW w:w="3119" w:type="dxa"/>
            <w:shd w:val="clear" w:color="auto" w:fill="auto"/>
            <w:noWrap/>
            <w:vAlign w:val="bottom"/>
            <w:hideMark/>
          </w:tcPr>
          <w:p w14:paraId="566A7BD6" w14:textId="77777777" w:rsidR="002F4C70" w:rsidRPr="000C6B73" w:rsidRDefault="002F4C70"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Metals</w:t>
            </w:r>
          </w:p>
        </w:tc>
        <w:tc>
          <w:tcPr>
            <w:tcW w:w="1900" w:type="dxa"/>
            <w:shd w:val="clear" w:color="auto" w:fill="auto"/>
            <w:noWrap/>
            <w:vAlign w:val="bottom"/>
            <w:hideMark/>
          </w:tcPr>
          <w:p w14:paraId="4E1DA838" w14:textId="23B3B6F0" w:rsidR="002F4C70" w:rsidRPr="000C6B73" w:rsidRDefault="002F4C70" w:rsidP="00954A83">
            <w:pPr>
              <w:spacing w:before="60" w:after="60" w:line="264" w:lineRule="auto"/>
              <w:ind w:right="510"/>
              <w:jc w:val="right"/>
              <w:rPr>
                <w:rFonts w:eastAsia="Times New Roman" w:cs="Arial"/>
                <w:sz w:val="16"/>
                <w:szCs w:val="16"/>
                <w:lang w:eastAsia="en-AU"/>
              </w:rPr>
            </w:pPr>
            <w:r w:rsidRPr="000C6B73">
              <w:rPr>
                <w:rFonts w:eastAsia="Times New Roman" w:cs="Arial"/>
                <w:sz w:val="16"/>
                <w:szCs w:val="16"/>
                <w:lang w:eastAsia="en-AU"/>
              </w:rPr>
              <w:t>1,699</w:t>
            </w:r>
          </w:p>
        </w:tc>
        <w:tc>
          <w:tcPr>
            <w:tcW w:w="1701" w:type="dxa"/>
            <w:shd w:val="clear" w:color="auto" w:fill="auto"/>
            <w:vAlign w:val="bottom"/>
            <w:hideMark/>
          </w:tcPr>
          <w:p w14:paraId="62CB4043" w14:textId="307A4658" w:rsidR="002F4C70" w:rsidRPr="000C6B73" w:rsidRDefault="002F4C70" w:rsidP="00954A83">
            <w:pPr>
              <w:spacing w:before="60" w:after="60" w:line="264" w:lineRule="auto"/>
              <w:ind w:right="378"/>
              <w:jc w:val="right"/>
              <w:rPr>
                <w:rFonts w:eastAsia="Times New Roman" w:cs="Arial"/>
                <w:sz w:val="16"/>
                <w:szCs w:val="16"/>
                <w:lang w:eastAsia="en-AU"/>
              </w:rPr>
            </w:pPr>
            <w:r w:rsidRPr="000C6B73">
              <w:rPr>
                <w:rFonts w:eastAsia="Times New Roman" w:cs="Arial"/>
                <w:sz w:val="16"/>
                <w:szCs w:val="16"/>
                <w:lang w:eastAsia="en-AU"/>
              </w:rPr>
              <w:t>1,350</w:t>
            </w:r>
          </w:p>
        </w:tc>
        <w:tc>
          <w:tcPr>
            <w:tcW w:w="2352" w:type="dxa"/>
            <w:vAlign w:val="bottom"/>
          </w:tcPr>
          <w:p w14:paraId="1245B2C9" w14:textId="5FAB20FE"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26%</w:t>
            </w:r>
          </w:p>
        </w:tc>
      </w:tr>
      <w:tr w:rsidR="002F4C70" w:rsidRPr="000C6B73" w14:paraId="23EF1357" w14:textId="77777777" w:rsidTr="00B300C1">
        <w:trPr>
          <w:trHeight w:val="111"/>
          <w:jc w:val="center"/>
        </w:trPr>
        <w:tc>
          <w:tcPr>
            <w:tcW w:w="3119" w:type="dxa"/>
            <w:shd w:val="clear" w:color="auto" w:fill="auto"/>
            <w:noWrap/>
            <w:vAlign w:val="bottom"/>
            <w:hideMark/>
          </w:tcPr>
          <w:p w14:paraId="1B2A9281" w14:textId="77777777" w:rsidR="002F4C70" w:rsidRPr="000C6B73" w:rsidRDefault="002F4C70"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Organics</w:t>
            </w:r>
          </w:p>
        </w:tc>
        <w:tc>
          <w:tcPr>
            <w:tcW w:w="1900" w:type="dxa"/>
            <w:shd w:val="clear" w:color="auto" w:fill="auto"/>
            <w:noWrap/>
            <w:vAlign w:val="bottom"/>
            <w:hideMark/>
          </w:tcPr>
          <w:p w14:paraId="4B430DEB" w14:textId="14701819" w:rsidR="002F4C70" w:rsidRPr="000C6B73" w:rsidRDefault="002F4C70" w:rsidP="00954A83">
            <w:pPr>
              <w:spacing w:before="60" w:after="60" w:line="264" w:lineRule="auto"/>
              <w:ind w:right="510"/>
              <w:jc w:val="right"/>
              <w:rPr>
                <w:rFonts w:eastAsia="Times New Roman" w:cs="Arial"/>
                <w:sz w:val="16"/>
                <w:szCs w:val="16"/>
                <w:lang w:eastAsia="en-AU"/>
              </w:rPr>
            </w:pPr>
            <w:r w:rsidRPr="000C6B73">
              <w:rPr>
                <w:rFonts w:eastAsia="Times New Roman" w:cs="Arial"/>
                <w:sz w:val="16"/>
                <w:szCs w:val="16"/>
                <w:lang w:eastAsia="en-AU"/>
              </w:rPr>
              <w:t>1,095</w:t>
            </w:r>
          </w:p>
        </w:tc>
        <w:tc>
          <w:tcPr>
            <w:tcW w:w="1701" w:type="dxa"/>
            <w:shd w:val="clear" w:color="auto" w:fill="auto"/>
            <w:vAlign w:val="bottom"/>
            <w:hideMark/>
          </w:tcPr>
          <w:p w14:paraId="6679CCE8" w14:textId="0499ADA8" w:rsidR="002F4C70" w:rsidRPr="000C6B73" w:rsidRDefault="002F4C70" w:rsidP="00954A83">
            <w:pPr>
              <w:spacing w:before="60" w:after="60" w:line="264" w:lineRule="auto"/>
              <w:ind w:right="378"/>
              <w:jc w:val="right"/>
              <w:rPr>
                <w:rFonts w:eastAsia="Times New Roman" w:cs="Arial"/>
                <w:sz w:val="16"/>
                <w:szCs w:val="16"/>
                <w:lang w:eastAsia="en-AU"/>
              </w:rPr>
            </w:pPr>
            <w:r w:rsidRPr="000C6B73">
              <w:rPr>
                <w:rFonts w:eastAsia="Times New Roman" w:cs="Arial"/>
                <w:sz w:val="16"/>
                <w:szCs w:val="16"/>
                <w:lang w:eastAsia="en-AU"/>
              </w:rPr>
              <w:t>610</w:t>
            </w:r>
          </w:p>
        </w:tc>
        <w:tc>
          <w:tcPr>
            <w:tcW w:w="2352" w:type="dxa"/>
            <w:vAlign w:val="bottom"/>
          </w:tcPr>
          <w:p w14:paraId="65471FCB" w14:textId="094915FB"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80%</w:t>
            </w:r>
          </w:p>
        </w:tc>
      </w:tr>
      <w:tr w:rsidR="002F4C70" w:rsidRPr="000C6B73" w14:paraId="2688BF12" w14:textId="77777777" w:rsidTr="00B300C1">
        <w:trPr>
          <w:trHeight w:val="199"/>
          <w:jc w:val="center"/>
        </w:trPr>
        <w:tc>
          <w:tcPr>
            <w:tcW w:w="3119" w:type="dxa"/>
            <w:shd w:val="clear" w:color="auto" w:fill="auto"/>
            <w:noWrap/>
            <w:vAlign w:val="bottom"/>
            <w:hideMark/>
          </w:tcPr>
          <w:p w14:paraId="25C5A5F5" w14:textId="6189DDB8" w:rsidR="002F4C70" w:rsidRPr="000C6B73" w:rsidRDefault="0095212B"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Paper/c</w:t>
            </w:r>
            <w:r w:rsidR="002F4C70" w:rsidRPr="000C6B73">
              <w:rPr>
                <w:rFonts w:eastAsia="Times New Roman" w:cs="Arial"/>
                <w:sz w:val="16"/>
                <w:szCs w:val="16"/>
                <w:lang w:eastAsia="en-AU"/>
              </w:rPr>
              <w:t>ardboard</w:t>
            </w:r>
          </w:p>
        </w:tc>
        <w:tc>
          <w:tcPr>
            <w:tcW w:w="1900" w:type="dxa"/>
            <w:shd w:val="clear" w:color="auto" w:fill="auto"/>
            <w:noWrap/>
            <w:vAlign w:val="bottom"/>
            <w:hideMark/>
          </w:tcPr>
          <w:p w14:paraId="2A7C6812" w14:textId="0E817812" w:rsidR="002F4C70" w:rsidRPr="000C6B73" w:rsidRDefault="002F4C70" w:rsidP="00954A83">
            <w:pPr>
              <w:spacing w:before="60" w:after="60" w:line="264" w:lineRule="auto"/>
              <w:ind w:right="510"/>
              <w:jc w:val="right"/>
              <w:rPr>
                <w:rFonts w:eastAsia="Times New Roman" w:cs="Arial"/>
                <w:sz w:val="16"/>
                <w:szCs w:val="16"/>
                <w:lang w:eastAsia="en-AU"/>
              </w:rPr>
            </w:pPr>
            <w:r w:rsidRPr="000C6B73">
              <w:rPr>
                <w:rFonts w:eastAsia="Times New Roman" w:cs="Arial"/>
                <w:sz w:val="16"/>
                <w:szCs w:val="16"/>
                <w:lang w:eastAsia="en-AU"/>
              </w:rPr>
              <w:t>1,445</w:t>
            </w:r>
          </w:p>
        </w:tc>
        <w:tc>
          <w:tcPr>
            <w:tcW w:w="1701" w:type="dxa"/>
            <w:shd w:val="clear" w:color="auto" w:fill="auto"/>
            <w:vAlign w:val="bottom"/>
            <w:hideMark/>
          </w:tcPr>
          <w:p w14:paraId="01B139A2" w14:textId="1C8F56DD" w:rsidR="002F4C70" w:rsidRPr="000C6B73" w:rsidRDefault="002F4C70" w:rsidP="00954A83">
            <w:pPr>
              <w:spacing w:before="60" w:after="60" w:line="264" w:lineRule="auto"/>
              <w:ind w:right="378"/>
              <w:jc w:val="right"/>
              <w:rPr>
                <w:rFonts w:eastAsia="Times New Roman" w:cs="Arial"/>
                <w:sz w:val="16"/>
                <w:szCs w:val="16"/>
                <w:lang w:eastAsia="en-AU"/>
              </w:rPr>
            </w:pPr>
            <w:r w:rsidRPr="000C6B73">
              <w:rPr>
                <w:rFonts w:eastAsia="Times New Roman" w:cs="Arial"/>
                <w:sz w:val="16"/>
                <w:szCs w:val="16"/>
                <w:lang w:eastAsia="en-AU"/>
              </w:rPr>
              <w:t>954</w:t>
            </w:r>
          </w:p>
        </w:tc>
        <w:tc>
          <w:tcPr>
            <w:tcW w:w="2352" w:type="dxa"/>
            <w:vAlign w:val="bottom"/>
          </w:tcPr>
          <w:p w14:paraId="392EA4B0" w14:textId="3AB85CD8"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51%</w:t>
            </w:r>
          </w:p>
        </w:tc>
      </w:tr>
      <w:tr w:rsidR="002F4C70" w:rsidRPr="000C6B73" w14:paraId="6E8422FF" w14:textId="77777777" w:rsidTr="00B300C1">
        <w:trPr>
          <w:trHeight w:val="117"/>
          <w:jc w:val="center"/>
        </w:trPr>
        <w:tc>
          <w:tcPr>
            <w:tcW w:w="3119" w:type="dxa"/>
            <w:shd w:val="clear" w:color="auto" w:fill="auto"/>
            <w:noWrap/>
            <w:vAlign w:val="bottom"/>
            <w:hideMark/>
          </w:tcPr>
          <w:p w14:paraId="6716E819" w14:textId="77777777" w:rsidR="002F4C70" w:rsidRPr="000C6B73" w:rsidRDefault="002F4C70"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Plastics</w:t>
            </w:r>
          </w:p>
        </w:tc>
        <w:tc>
          <w:tcPr>
            <w:tcW w:w="1900" w:type="dxa"/>
            <w:shd w:val="clear" w:color="auto" w:fill="auto"/>
            <w:noWrap/>
            <w:vAlign w:val="bottom"/>
            <w:hideMark/>
          </w:tcPr>
          <w:p w14:paraId="74D2FE7A" w14:textId="19D4DC37" w:rsidR="002F4C70" w:rsidRPr="000C6B73" w:rsidRDefault="002F4C70" w:rsidP="00954A83">
            <w:pPr>
              <w:spacing w:before="60" w:after="60" w:line="264" w:lineRule="auto"/>
              <w:ind w:right="510"/>
              <w:jc w:val="right"/>
              <w:rPr>
                <w:rFonts w:eastAsia="Times New Roman" w:cs="Arial"/>
                <w:sz w:val="16"/>
                <w:szCs w:val="16"/>
                <w:lang w:eastAsia="en-AU"/>
              </w:rPr>
            </w:pPr>
            <w:r w:rsidRPr="000C6B73">
              <w:rPr>
                <w:rFonts w:eastAsia="Times New Roman" w:cs="Arial"/>
                <w:sz w:val="16"/>
                <w:szCs w:val="16"/>
                <w:lang w:eastAsia="en-AU"/>
              </w:rPr>
              <w:t>131</w:t>
            </w:r>
          </w:p>
        </w:tc>
        <w:tc>
          <w:tcPr>
            <w:tcW w:w="1701" w:type="dxa"/>
            <w:shd w:val="clear" w:color="auto" w:fill="auto"/>
            <w:vAlign w:val="bottom"/>
            <w:hideMark/>
          </w:tcPr>
          <w:p w14:paraId="5D798C59" w14:textId="6844A408" w:rsidR="002F4C70" w:rsidRPr="000C6B73" w:rsidRDefault="002F4C70" w:rsidP="00954A83">
            <w:pPr>
              <w:spacing w:before="60" w:after="60" w:line="264" w:lineRule="auto"/>
              <w:ind w:right="378"/>
              <w:jc w:val="right"/>
              <w:rPr>
                <w:rFonts w:eastAsia="Times New Roman" w:cs="Arial"/>
                <w:sz w:val="16"/>
                <w:szCs w:val="16"/>
                <w:lang w:eastAsia="en-AU"/>
              </w:rPr>
            </w:pPr>
            <w:r w:rsidRPr="000C6B73">
              <w:rPr>
                <w:rFonts w:eastAsia="Times New Roman" w:cs="Arial"/>
                <w:sz w:val="16"/>
                <w:szCs w:val="16"/>
                <w:lang w:eastAsia="en-AU"/>
              </w:rPr>
              <w:t>119</w:t>
            </w:r>
          </w:p>
        </w:tc>
        <w:tc>
          <w:tcPr>
            <w:tcW w:w="2352" w:type="dxa"/>
            <w:vAlign w:val="bottom"/>
          </w:tcPr>
          <w:p w14:paraId="5AB807EF" w14:textId="69799BE5"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10%</w:t>
            </w:r>
          </w:p>
        </w:tc>
      </w:tr>
      <w:tr w:rsidR="002F4C70" w:rsidRPr="000C6B73" w14:paraId="39937224" w14:textId="77777777" w:rsidTr="00B300C1">
        <w:trPr>
          <w:trHeight w:val="63"/>
          <w:jc w:val="center"/>
        </w:trPr>
        <w:tc>
          <w:tcPr>
            <w:tcW w:w="3119" w:type="dxa"/>
            <w:shd w:val="clear" w:color="auto" w:fill="auto"/>
            <w:noWrap/>
            <w:vAlign w:val="bottom"/>
            <w:hideMark/>
          </w:tcPr>
          <w:p w14:paraId="5E3F721E" w14:textId="77777777" w:rsidR="002F4C70" w:rsidRPr="000C6B73" w:rsidRDefault="002F4C70"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Rubber</w:t>
            </w:r>
          </w:p>
        </w:tc>
        <w:tc>
          <w:tcPr>
            <w:tcW w:w="1900" w:type="dxa"/>
            <w:shd w:val="clear" w:color="auto" w:fill="auto"/>
            <w:noWrap/>
            <w:vAlign w:val="bottom"/>
            <w:hideMark/>
          </w:tcPr>
          <w:p w14:paraId="4309CEE0" w14:textId="15CF58ED" w:rsidR="002F4C70" w:rsidRPr="000C6B73" w:rsidRDefault="002F4C70" w:rsidP="00954A83">
            <w:pPr>
              <w:spacing w:before="60" w:after="60" w:line="264" w:lineRule="auto"/>
              <w:ind w:right="510"/>
              <w:jc w:val="right"/>
              <w:rPr>
                <w:rFonts w:eastAsia="Times New Roman" w:cs="Arial"/>
                <w:sz w:val="16"/>
                <w:szCs w:val="16"/>
                <w:lang w:eastAsia="en-AU"/>
              </w:rPr>
            </w:pPr>
            <w:r w:rsidRPr="000C6B73">
              <w:rPr>
                <w:rFonts w:eastAsia="Times New Roman" w:cs="Arial"/>
                <w:sz w:val="16"/>
                <w:szCs w:val="16"/>
                <w:lang w:eastAsia="en-AU"/>
              </w:rPr>
              <w:t>41</w:t>
            </w:r>
          </w:p>
        </w:tc>
        <w:tc>
          <w:tcPr>
            <w:tcW w:w="1701" w:type="dxa"/>
            <w:shd w:val="clear" w:color="auto" w:fill="auto"/>
            <w:vAlign w:val="bottom"/>
            <w:hideMark/>
          </w:tcPr>
          <w:p w14:paraId="6A524961" w14:textId="41989E99" w:rsidR="002F4C70" w:rsidRPr="000C6B73" w:rsidRDefault="002F4C70" w:rsidP="00954A83">
            <w:pPr>
              <w:spacing w:before="60" w:after="60" w:line="264" w:lineRule="auto"/>
              <w:ind w:right="378"/>
              <w:jc w:val="right"/>
              <w:rPr>
                <w:rFonts w:eastAsia="Times New Roman" w:cs="Arial"/>
                <w:sz w:val="16"/>
                <w:szCs w:val="16"/>
                <w:lang w:eastAsia="en-AU"/>
              </w:rPr>
            </w:pPr>
            <w:r w:rsidRPr="000C6B73">
              <w:rPr>
                <w:rFonts w:eastAsia="Times New Roman" w:cs="Arial"/>
                <w:sz w:val="16"/>
                <w:szCs w:val="16"/>
                <w:lang w:eastAsia="en-AU"/>
              </w:rPr>
              <w:t>26</w:t>
            </w:r>
          </w:p>
        </w:tc>
        <w:tc>
          <w:tcPr>
            <w:tcW w:w="2352" w:type="dxa"/>
            <w:vAlign w:val="bottom"/>
          </w:tcPr>
          <w:p w14:paraId="003DE7D8" w14:textId="72DE61ED"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58%</w:t>
            </w:r>
          </w:p>
        </w:tc>
      </w:tr>
      <w:tr w:rsidR="002F4C70" w:rsidRPr="000C6B73" w14:paraId="623DCF46" w14:textId="77777777" w:rsidTr="00107CD9">
        <w:trPr>
          <w:trHeight w:val="137"/>
          <w:jc w:val="center"/>
        </w:trPr>
        <w:tc>
          <w:tcPr>
            <w:tcW w:w="3119" w:type="dxa"/>
            <w:tcBorders>
              <w:bottom w:val="single" w:sz="4" w:space="0" w:color="7F7F7F" w:themeColor="text1" w:themeTint="80"/>
            </w:tcBorders>
            <w:shd w:val="clear" w:color="auto" w:fill="auto"/>
            <w:noWrap/>
            <w:vAlign w:val="bottom"/>
            <w:hideMark/>
          </w:tcPr>
          <w:p w14:paraId="688E9FEC" w14:textId="77777777" w:rsidR="002F4C70" w:rsidRPr="000C6B73" w:rsidRDefault="002F4C70" w:rsidP="00B300C1">
            <w:pPr>
              <w:spacing w:before="60" w:after="60" w:line="264" w:lineRule="auto"/>
              <w:rPr>
                <w:rFonts w:eastAsia="Times New Roman" w:cs="Arial"/>
                <w:sz w:val="16"/>
                <w:szCs w:val="16"/>
                <w:lang w:eastAsia="en-AU"/>
              </w:rPr>
            </w:pPr>
            <w:r w:rsidRPr="000C6B73">
              <w:rPr>
                <w:rFonts w:eastAsia="Times New Roman" w:cs="Arial"/>
                <w:sz w:val="16"/>
                <w:szCs w:val="16"/>
                <w:lang w:eastAsia="en-AU"/>
              </w:rPr>
              <w:t>Textiles</w:t>
            </w:r>
          </w:p>
        </w:tc>
        <w:tc>
          <w:tcPr>
            <w:tcW w:w="1900" w:type="dxa"/>
            <w:tcBorders>
              <w:bottom w:val="single" w:sz="4" w:space="0" w:color="7F7F7F" w:themeColor="text1" w:themeTint="80"/>
            </w:tcBorders>
            <w:shd w:val="clear" w:color="auto" w:fill="auto"/>
            <w:noWrap/>
            <w:vAlign w:val="bottom"/>
            <w:hideMark/>
          </w:tcPr>
          <w:p w14:paraId="429A2090" w14:textId="1B9294E2" w:rsidR="002F4C70" w:rsidRPr="000C6B73" w:rsidRDefault="002F4C70" w:rsidP="00954A83">
            <w:pPr>
              <w:spacing w:before="60" w:after="60" w:line="264" w:lineRule="auto"/>
              <w:ind w:right="510"/>
              <w:jc w:val="right"/>
              <w:rPr>
                <w:rFonts w:eastAsia="Times New Roman" w:cs="Arial"/>
                <w:sz w:val="16"/>
                <w:szCs w:val="16"/>
                <w:lang w:eastAsia="en-AU"/>
              </w:rPr>
            </w:pPr>
            <w:r w:rsidRPr="000C6B73">
              <w:rPr>
                <w:rFonts w:eastAsia="Times New Roman" w:cs="Arial"/>
                <w:sz w:val="16"/>
                <w:szCs w:val="16"/>
                <w:lang w:eastAsia="en-AU"/>
              </w:rPr>
              <w:t>3</w:t>
            </w:r>
          </w:p>
        </w:tc>
        <w:tc>
          <w:tcPr>
            <w:tcW w:w="1701" w:type="dxa"/>
            <w:tcBorders>
              <w:bottom w:val="single" w:sz="4" w:space="0" w:color="7F7F7F" w:themeColor="text1" w:themeTint="80"/>
            </w:tcBorders>
            <w:shd w:val="clear" w:color="auto" w:fill="auto"/>
            <w:vAlign w:val="bottom"/>
            <w:hideMark/>
          </w:tcPr>
          <w:p w14:paraId="2DE00982" w14:textId="608EBC3B" w:rsidR="002F4C70" w:rsidRPr="000C6B73" w:rsidRDefault="002F4C70" w:rsidP="00954A83">
            <w:pPr>
              <w:spacing w:before="60" w:after="60" w:line="264" w:lineRule="auto"/>
              <w:ind w:right="378"/>
              <w:jc w:val="right"/>
              <w:rPr>
                <w:rFonts w:eastAsia="Times New Roman" w:cs="Arial"/>
                <w:sz w:val="16"/>
                <w:szCs w:val="16"/>
                <w:lang w:eastAsia="en-AU"/>
              </w:rPr>
            </w:pPr>
            <w:r w:rsidRPr="000C6B73">
              <w:rPr>
                <w:rFonts w:eastAsia="Times New Roman" w:cs="Arial"/>
                <w:sz w:val="16"/>
                <w:szCs w:val="16"/>
                <w:lang w:eastAsia="en-AU"/>
              </w:rPr>
              <w:t>3</w:t>
            </w:r>
          </w:p>
        </w:tc>
        <w:tc>
          <w:tcPr>
            <w:tcW w:w="2352" w:type="dxa"/>
            <w:tcBorders>
              <w:bottom w:val="single" w:sz="4" w:space="0" w:color="7F7F7F" w:themeColor="text1" w:themeTint="80"/>
            </w:tcBorders>
            <w:vAlign w:val="bottom"/>
          </w:tcPr>
          <w:p w14:paraId="5D9736E3" w14:textId="6E6D762E" w:rsidR="002F4C70" w:rsidRPr="000C6B73" w:rsidRDefault="002F4C70" w:rsidP="00B300C1">
            <w:pPr>
              <w:spacing w:before="60" w:after="60" w:line="264" w:lineRule="auto"/>
              <w:ind w:right="175"/>
              <w:jc w:val="right"/>
              <w:rPr>
                <w:rFonts w:eastAsia="Times New Roman" w:cs="Arial"/>
                <w:sz w:val="16"/>
                <w:szCs w:val="16"/>
                <w:lang w:eastAsia="en-AU"/>
              </w:rPr>
            </w:pPr>
            <w:r w:rsidRPr="000C6B73">
              <w:rPr>
                <w:rFonts w:eastAsia="Times New Roman" w:cs="Arial"/>
                <w:sz w:val="16"/>
                <w:szCs w:val="16"/>
                <w:lang w:eastAsia="en-AU"/>
              </w:rPr>
              <w:t>2%</w:t>
            </w:r>
          </w:p>
        </w:tc>
      </w:tr>
      <w:tr w:rsidR="002F4C70" w:rsidRPr="000C6B73" w14:paraId="54A9E843" w14:textId="77777777" w:rsidTr="00107CD9">
        <w:trPr>
          <w:trHeight w:val="173"/>
          <w:jc w:val="center"/>
        </w:trPr>
        <w:tc>
          <w:tcPr>
            <w:tcW w:w="3119" w:type="dxa"/>
            <w:tcBorders>
              <w:top w:val="single" w:sz="4" w:space="0" w:color="7F7F7F" w:themeColor="text1" w:themeTint="80"/>
              <w:bottom w:val="single" w:sz="4" w:space="0" w:color="auto"/>
            </w:tcBorders>
            <w:shd w:val="clear" w:color="auto" w:fill="E7E6E6" w:themeFill="background2"/>
            <w:noWrap/>
            <w:vAlign w:val="bottom"/>
            <w:hideMark/>
          </w:tcPr>
          <w:p w14:paraId="78458DCA" w14:textId="77777777" w:rsidR="002F4C70" w:rsidRPr="000C6B73" w:rsidRDefault="002F4C70" w:rsidP="00B300C1">
            <w:pPr>
              <w:spacing w:before="60" w:after="60" w:line="264" w:lineRule="auto"/>
              <w:rPr>
                <w:rFonts w:eastAsia="Times New Roman" w:cs="Arial"/>
                <w:b/>
                <w:sz w:val="16"/>
                <w:szCs w:val="16"/>
                <w:lang w:eastAsia="en-AU"/>
              </w:rPr>
            </w:pPr>
            <w:r w:rsidRPr="000C6B73">
              <w:rPr>
                <w:rFonts w:eastAsia="Times New Roman" w:cs="Arial"/>
                <w:b/>
                <w:sz w:val="16"/>
                <w:szCs w:val="16"/>
                <w:lang w:eastAsia="en-AU"/>
              </w:rPr>
              <w:t>Total</w:t>
            </w:r>
          </w:p>
        </w:tc>
        <w:tc>
          <w:tcPr>
            <w:tcW w:w="1900" w:type="dxa"/>
            <w:tcBorders>
              <w:top w:val="single" w:sz="4" w:space="0" w:color="7F7F7F" w:themeColor="text1" w:themeTint="80"/>
              <w:bottom w:val="single" w:sz="4" w:space="0" w:color="auto"/>
            </w:tcBorders>
            <w:shd w:val="clear" w:color="auto" w:fill="E7E6E6" w:themeFill="background2"/>
            <w:noWrap/>
            <w:vAlign w:val="bottom"/>
            <w:hideMark/>
          </w:tcPr>
          <w:p w14:paraId="1F5D64AA" w14:textId="1DCF2CE5" w:rsidR="002F4C70" w:rsidRPr="000C6B73" w:rsidRDefault="002F4C70" w:rsidP="00954A83">
            <w:pPr>
              <w:spacing w:before="60" w:after="60" w:line="264" w:lineRule="auto"/>
              <w:ind w:right="510"/>
              <w:jc w:val="right"/>
              <w:rPr>
                <w:rFonts w:eastAsia="Times New Roman" w:cs="Arial"/>
                <w:b/>
                <w:sz w:val="16"/>
                <w:szCs w:val="16"/>
                <w:lang w:eastAsia="en-AU"/>
              </w:rPr>
            </w:pPr>
            <w:r w:rsidRPr="000C6B73">
              <w:rPr>
                <w:rFonts w:eastAsia="Times New Roman" w:cs="Arial"/>
                <w:b/>
                <w:sz w:val="16"/>
                <w:szCs w:val="16"/>
                <w:lang w:eastAsia="en-AU"/>
              </w:rPr>
              <w:t>8,621</w:t>
            </w:r>
          </w:p>
        </w:tc>
        <w:tc>
          <w:tcPr>
            <w:tcW w:w="1701" w:type="dxa"/>
            <w:tcBorders>
              <w:top w:val="single" w:sz="4" w:space="0" w:color="7F7F7F" w:themeColor="text1" w:themeTint="80"/>
              <w:bottom w:val="single" w:sz="4" w:space="0" w:color="auto"/>
            </w:tcBorders>
            <w:shd w:val="clear" w:color="auto" w:fill="E7E6E6" w:themeFill="background2"/>
            <w:noWrap/>
            <w:vAlign w:val="bottom"/>
            <w:hideMark/>
          </w:tcPr>
          <w:p w14:paraId="5CEB7EFC" w14:textId="55999D0D" w:rsidR="002F4C70" w:rsidRPr="000C6B73" w:rsidRDefault="002F4C70" w:rsidP="00954A83">
            <w:pPr>
              <w:spacing w:before="60" w:after="60" w:line="264" w:lineRule="auto"/>
              <w:ind w:right="378"/>
              <w:jc w:val="right"/>
              <w:rPr>
                <w:rFonts w:eastAsia="Times New Roman" w:cs="Arial"/>
                <w:b/>
                <w:sz w:val="16"/>
                <w:szCs w:val="16"/>
                <w:lang w:eastAsia="en-AU"/>
              </w:rPr>
            </w:pPr>
            <w:r w:rsidRPr="000C6B73">
              <w:rPr>
                <w:rFonts w:eastAsia="Times New Roman" w:cs="Arial"/>
                <w:b/>
                <w:sz w:val="16"/>
                <w:szCs w:val="16"/>
                <w:lang w:eastAsia="en-AU"/>
              </w:rPr>
              <w:t>6,278</w:t>
            </w:r>
          </w:p>
        </w:tc>
        <w:tc>
          <w:tcPr>
            <w:tcW w:w="2352" w:type="dxa"/>
            <w:tcBorders>
              <w:top w:val="single" w:sz="4" w:space="0" w:color="7F7F7F" w:themeColor="text1" w:themeTint="80"/>
              <w:bottom w:val="single" w:sz="4" w:space="0" w:color="auto"/>
            </w:tcBorders>
            <w:shd w:val="clear" w:color="auto" w:fill="E7E6E6" w:themeFill="background2"/>
            <w:vAlign w:val="bottom"/>
          </w:tcPr>
          <w:p w14:paraId="343C2E36" w14:textId="0EB618FF" w:rsidR="002F4C70" w:rsidRPr="000C6B73" w:rsidRDefault="002F4C70" w:rsidP="00B300C1">
            <w:pPr>
              <w:spacing w:before="60" w:after="60" w:line="264" w:lineRule="auto"/>
              <w:ind w:right="175"/>
              <w:jc w:val="right"/>
              <w:rPr>
                <w:rFonts w:eastAsia="Times New Roman" w:cs="Arial"/>
                <w:b/>
                <w:sz w:val="16"/>
                <w:szCs w:val="16"/>
                <w:lang w:eastAsia="en-AU"/>
              </w:rPr>
            </w:pPr>
            <w:r w:rsidRPr="000C6B73">
              <w:rPr>
                <w:rFonts w:eastAsia="Times New Roman" w:cs="Arial"/>
                <w:b/>
                <w:sz w:val="16"/>
                <w:szCs w:val="16"/>
                <w:lang w:eastAsia="en-AU"/>
              </w:rPr>
              <w:t>37%</w:t>
            </w:r>
          </w:p>
        </w:tc>
      </w:tr>
    </w:tbl>
    <w:p w14:paraId="08C0526D" w14:textId="058171D2" w:rsidR="00AF7AB8" w:rsidRPr="00523FFA" w:rsidRDefault="00AF7AB8" w:rsidP="00523FFA"/>
    <w:p w14:paraId="51F84BB9" w14:textId="74AFED11" w:rsidR="00E13169" w:rsidRPr="00523FFA" w:rsidRDefault="00E13169" w:rsidP="00523FFA"/>
    <w:p w14:paraId="699ACB6F" w14:textId="77777777" w:rsidR="00E13169" w:rsidRDefault="00E13169" w:rsidP="00AF7AB8">
      <w:pPr>
        <w:jc w:val="center"/>
        <w:rPr>
          <w:b/>
        </w:rPr>
      </w:pPr>
      <w:r>
        <w:rPr>
          <w:b/>
        </w:rPr>
        <w:br w:type="page"/>
      </w:r>
    </w:p>
    <w:p w14:paraId="0A3D2AF3" w14:textId="58E62E01" w:rsidR="004F7D42" w:rsidRDefault="004F7D42" w:rsidP="004F7D42">
      <w:pPr>
        <w:rPr>
          <w:i/>
        </w:rPr>
      </w:pPr>
      <w:r>
        <w:lastRenderedPageBreak/>
        <w:t>Figure 5</w:t>
      </w:r>
      <w:r w:rsidRPr="00C91213">
        <w:t xml:space="preserve"> shows that </w:t>
      </w:r>
      <w:r>
        <w:t xml:space="preserve">the recovery </w:t>
      </w:r>
      <w:r w:rsidRPr="00062AE1">
        <w:t>of most material categories have increased considerably over the past 10 years, with the exceptions being the recovery of</w:t>
      </w:r>
      <w:r>
        <w:t xml:space="preserve"> </w:t>
      </w:r>
      <w:r w:rsidR="0095212B">
        <w:rPr>
          <w:i/>
        </w:rPr>
        <w:t>g</w:t>
      </w:r>
      <w:r w:rsidRPr="00062AE1">
        <w:rPr>
          <w:i/>
        </w:rPr>
        <w:t xml:space="preserve">lass: </w:t>
      </w:r>
    </w:p>
    <w:p w14:paraId="1136FF29" w14:textId="77777777" w:rsidR="004F7D42" w:rsidRDefault="004F7D42" w:rsidP="00E13169">
      <w:pPr>
        <w:pStyle w:val="Caption"/>
        <w:keepNext/>
        <w:rPr>
          <w:rFonts w:cs="Arial"/>
        </w:rPr>
      </w:pPr>
    </w:p>
    <w:p w14:paraId="4D665A58" w14:textId="16D69D14" w:rsidR="00E13169" w:rsidRDefault="00E13169" w:rsidP="00E13169">
      <w:pPr>
        <w:pStyle w:val="Caption"/>
        <w:keepNext/>
        <w:rPr>
          <w:rFonts w:cs="Arial"/>
        </w:rPr>
      </w:pPr>
      <w:r w:rsidRPr="00C91213">
        <w:rPr>
          <w:rFonts w:cs="Arial"/>
        </w:rPr>
        <w:t xml:space="preserve">Figure </w:t>
      </w:r>
      <w:r w:rsidR="002120F2">
        <w:rPr>
          <w:rFonts w:cs="Arial"/>
        </w:rPr>
        <w:t>5</w:t>
      </w:r>
      <w:r w:rsidRPr="00C91213">
        <w:rPr>
          <w:rFonts w:cs="Arial"/>
        </w:rPr>
        <w:t xml:space="preserve"> </w:t>
      </w:r>
      <w:r w:rsidR="002120F2">
        <w:t>Percent</w:t>
      </w:r>
      <w:r w:rsidR="008D2967">
        <w:t>age</w:t>
      </w:r>
      <w:r w:rsidR="002120F2">
        <w:t xml:space="preserve"> change of tonnes of </w:t>
      </w:r>
      <w:r w:rsidR="002120F2" w:rsidRPr="00420443">
        <w:t xml:space="preserve">material types recovered for reprocessing, Victoria 2016-17 </w:t>
      </w:r>
      <w:r w:rsidR="00E215FB">
        <w:br/>
      </w:r>
      <w:r w:rsidR="002120F2">
        <w:t>from</w:t>
      </w:r>
      <w:r w:rsidR="002120F2" w:rsidRPr="00420443">
        <w:t xml:space="preserve"> 2007-08</w:t>
      </w:r>
    </w:p>
    <w:p w14:paraId="2745C722" w14:textId="02783BD7" w:rsidR="00C91213" w:rsidRPr="00C91213" w:rsidRDefault="00E13169" w:rsidP="00C91213">
      <w:pPr>
        <w:jc w:val="center"/>
        <w:rPr>
          <w:rFonts w:cs="Arial"/>
          <w:sz w:val="20"/>
          <w:szCs w:val="20"/>
        </w:rPr>
      </w:pPr>
      <w:r w:rsidRPr="00E13169">
        <w:rPr>
          <w:noProof/>
          <w:lang w:eastAsia="en-AU"/>
        </w:rPr>
        <w:drawing>
          <wp:inline distT="0" distB="0" distL="0" distR="0" wp14:anchorId="08852BA7" wp14:editId="5FC306AD">
            <wp:extent cx="5374800" cy="331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4800" cy="3315600"/>
                    </a:xfrm>
                    <a:prstGeom prst="rect">
                      <a:avLst/>
                    </a:prstGeom>
                    <a:noFill/>
                    <a:ln>
                      <a:noFill/>
                    </a:ln>
                  </pic:spPr>
                </pic:pic>
              </a:graphicData>
            </a:graphic>
          </wp:inline>
        </w:drawing>
      </w:r>
    </w:p>
    <w:p w14:paraId="0020417F" w14:textId="0FD4D8F0" w:rsidR="00E51390" w:rsidRDefault="00E51390">
      <w:pPr>
        <w:rPr>
          <w:rFonts w:cs="Arial"/>
          <w:b/>
          <w:sz w:val="20"/>
          <w:szCs w:val="20"/>
        </w:rPr>
      </w:pPr>
      <w:r>
        <w:rPr>
          <w:rFonts w:cs="Arial"/>
          <w:b/>
          <w:sz w:val="20"/>
          <w:szCs w:val="20"/>
        </w:rPr>
        <w:br w:type="page"/>
      </w:r>
    </w:p>
    <w:p w14:paraId="0C7D0272" w14:textId="2B0EC03F" w:rsidR="00C91213" w:rsidRPr="005A33E9" w:rsidRDefault="00C91213" w:rsidP="001354FA">
      <w:pPr>
        <w:pStyle w:val="Heading2"/>
      </w:pPr>
      <w:bookmarkStart w:id="21" w:name="_Toc461439634"/>
      <w:bookmarkStart w:id="22" w:name="_Toc525308006"/>
      <w:r w:rsidRPr="005A33E9">
        <w:lastRenderedPageBreak/>
        <w:t xml:space="preserve">Sources of </w:t>
      </w:r>
      <w:r w:rsidR="00715C03">
        <w:t>materials</w:t>
      </w:r>
      <w:bookmarkEnd w:id="21"/>
      <w:bookmarkEnd w:id="22"/>
    </w:p>
    <w:p w14:paraId="32D38391" w14:textId="188E4D2D" w:rsidR="00C91213" w:rsidRPr="008A1893" w:rsidRDefault="00C47715" w:rsidP="00420443">
      <w:r w:rsidRPr="008A1893">
        <w:t>In 201</w:t>
      </w:r>
      <w:r w:rsidR="00AD3BC7">
        <w:t>6</w:t>
      </w:r>
      <w:r w:rsidRPr="008A1893">
        <w:t>-1</w:t>
      </w:r>
      <w:r w:rsidR="00AD3BC7">
        <w:t>7</w:t>
      </w:r>
      <w:r w:rsidRPr="008A1893">
        <w:t xml:space="preserve">, </w:t>
      </w:r>
      <w:r w:rsidR="005A33E9">
        <w:t>49</w:t>
      </w:r>
      <w:r w:rsidR="00C91213" w:rsidRPr="008A1893">
        <w:t xml:space="preserve">% of all material received for reprocessing came from the </w:t>
      </w:r>
      <w:r w:rsidR="00D328B3">
        <w:t>C&amp;D</w:t>
      </w:r>
      <w:r w:rsidR="00C91213" w:rsidRPr="008A1893">
        <w:t xml:space="preserve"> sector (Figure </w:t>
      </w:r>
      <w:r w:rsidR="004F7D42">
        <w:t>6</w:t>
      </w:r>
      <w:r w:rsidR="00C91213" w:rsidRPr="008A1893">
        <w:t>). The combined industry sectors (</w:t>
      </w:r>
      <w:r w:rsidR="00FA4863">
        <w:t>C&amp;I</w:t>
      </w:r>
      <w:r w:rsidR="00C91213" w:rsidRPr="008A1893">
        <w:t xml:space="preserve"> and </w:t>
      </w:r>
      <w:r w:rsidR="00D328B3">
        <w:t>C&amp;D</w:t>
      </w:r>
      <w:r w:rsidR="00C91213" w:rsidRPr="008A1893">
        <w:t>) accounted for 8</w:t>
      </w:r>
      <w:r w:rsidR="005A33E9">
        <w:t>5</w:t>
      </w:r>
      <w:r w:rsidR="00C91213" w:rsidRPr="008A1893">
        <w:t xml:space="preserve">% of all recovered material, </w:t>
      </w:r>
      <w:r w:rsidR="005A33E9">
        <w:t>down</w:t>
      </w:r>
      <w:r w:rsidR="005F43C6" w:rsidRPr="008A1893">
        <w:t xml:space="preserve"> from 8</w:t>
      </w:r>
      <w:r w:rsidR="005A33E9">
        <w:t>6</w:t>
      </w:r>
      <w:r w:rsidR="005F43C6" w:rsidRPr="008A1893">
        <w:t>% in</w:t>
      </w:r>
      <w:r w:rsidR="00C91213" w:rsidRPr="008A1893">
        <w:t xml:space="preserve"> the previous year.</w:t>
      </w:r>
    </w:p>
    <w:p w14:paraId="75D62034" w14:textId="50773A98" w:rsidR="00C47715" w:rsidRPr="008A1893" w:rsidRDefault="00C47715" w:rsidP="00420443">
      <w:r w:rsidRPr="008A1893">
        <w:t xml:space="preserve">Figure </w:t>
      </w:r>
      <w:r w:rsidR="004F7D42">
        <w:t>6</w:t>
      </w:r>
      <w:r w:rsidR="004F7D42" w:rsidRPr="008A1893">
        <w:t xml:space="preserve"> </w:t>
      </w:r>
      <w:r w:rsidRPr="008A1893">
        <w:t>shows the slight changes per source sector of secondary-use materials received for reprocessing from 201</w:t>
      </w:r>
      <w:r w:rsidR="005A33E9">
        <w:t>5</w:t>
      </w:r>
      <w:r w:rsidRPr="008A1893">
        <w:t>-1</w:t>
      </w:r>
      <w:r w:rsidR="005A33E9">
        <w:t>6</w:t>
      </w:r>
      <w:r w:rsidRPr="008A1893">
        <w:t xml:space="preserve"> to 201</w:t>
      </w:r>
      <w:r w:rsidR="005A33E9">
        <w:t>6</w:t>
      </w:r>
      <w:r w:rsidRPr="008A1893">
        <w:t>-1</w:t>
      </w:r>
      <w:r w:rsidR="005A33E9">
        <w:t>7</w:t>
      </w:r>
      <w:r w:rsidRPr="008A1893">
        <w:t xml:space="preserve">. </w:t>
      </w:r>
    </w:p>
    <w:p w14:paraId="776B1555" w14:textId="15B40127" w:rsidR="00C91213" w:rsidRDefault="00C91213" w:rsidP="00420443">
      <w:pPr>
        <w:pStyle w:val="Caption"/>
      </w:pPr>
      <w:bookmarkStart w:id="23" w:name="_Toc414541774"/>
      <w:bookmarkStart w:id="24" w:name="_Toc460413173"/>
      <w:bookmarkStart w:id="25" w:name="_Toc461436976"/>
      <w:bookmarkStart w:id="26" w:name="_Toc461438992"/>
      <w:r w:rsidRPr="008A1893">
        <w:t xml:space="preserve">Figure </w:t>
      </w:r>
      <w:r w:rsidR="00602D73">
        <w:t>6</w:t>
      </w:r>
      <w:r w:rsidR="00602D73" w:rsidRPr="008A1893">
        <w:t xml:space="preserve"> </w:t>
      </w:r>
      <w:r w:rsidRPr="008A1893">
        <w:t xml:space="preserve">Source sectors of secondary-use materials received for reprocessing (by weight), </w:t>
      </w:r>
      <w:r w:rsidRPr="008A1893">
        <w:br/>
        <w:t>excluding imports, Victoria 201</w:t>
      </w:r>
      <w:r w:rsidR="00B21978">
        <w:t>6</w:t>
      </w:r>
      <w:r w:rsidRPr="008A1893">
        <w:t>-1</w:t>
      </w:r>
      <w:r w:rsidR="00B21978">
        <w:t>7</w:t>
      </w:r>
      <w:r w:rsidRPr="008A1893">
        <w:t xml:space="preserve"> and 201</w:t>
      </w:r>
      <w:r w:rsidR="00B21978">
        <w:t>5</w:t>
      </w:r>
      <w:r w:rsidRPr="008A1893">
        <w:t>-1</w:t>
      </w:r>
      <w:r w:rsidR="00B21978">
        <w:t>6</w:t>
      </w:r>
      <w:r w:rsidRPr="008A1893">
        <w:t>.</w:t>
      </w:r>
      <w:bookmarkEnd w:id="23"/>
      <w:bookmarkEnd w:id="24"/>
      <w:bookmarkEnd w:id="25"/>
      <w:bookmarkEnd w:id="26"/>
    </w:p>
    <w:p w14:paraId="6BA457C1" w14:textId="31B468C0" w:rsidR="00C47715" w:rsidRPr="004B38EB" w:rsidRDefault="001229C1" w:rsidP="00B300C1">
      <w:r w:rsidRPr="001229C1">
        <w:rPr>
          <w:noProof/>
          <w:lang w:eastAsia="en-AU"/>
        </w:rPr>
        <w:drawing>
          <wp:inline distT="0" distB="0" distL="0" distR="0" wp14:anchorId="4179FF96" wp14:editId="2EAAB1CA">
            <wp:extent cx="5824800" cy="226080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4800" cy="2260800"/>
                    </a:xfrm>
                    <a:prstGeom prst="rect">
                      <a:avLst/>
                    </a:prstGeom>
                    <a:noFill/>
                    <a:ln>
                      <a:noFill/>
                    </a:ln>
                  </pic:spPr>
                </pic:pic>
              </a:graphicData>
            </a:graphic>
          </wp:inline>
        </w:drawing>
      </w:r>
    </w:p>
    <w:p w14:paraId="422BBC07" w14:textId="5EC597F9" w:rsidR="00C91213" w:rsidRPr="00C91213" w:rsidRDefault="00C91213" w:rsidP="00420443">
      <w:r w:rsidRPr="00C91213">
        <w:t xml:space="preserve">Table </w:t>
      </w:r>
      <w:bookmarkStart w:id="27" w:name="OLE_LINK7"/>
      <w:bookmarkStart w:id="28" w:name="OLE_LINK8"/>
      <w:r w:rsidRPr="00C91213">
        <w:t>4 details the estimated tonnages of material recovered in Victoria for reprocessing in 201</w:t>
      </w:r>
      <w:r w:rsidR="005A33E9">
        <w:t>6</w:t>
      </w:r>
      <w:r w:rsidRPr="00C91213">
        <w:t>-1</w:t>
      </w:r>
      <w:r w:rsidR="005A33E9">
        <w:t>7</w:t>
      </w:r>
      <w:r w:rsidRPr="00C91213">
        <w:t xml:space="preserve"> from each source sector</w:t>
      </w:r>
      <w:bookmarkEnd w:id="27"/>
      <w:bookmarkEnd w:id="28"/>
      <w:r w:rsidRPr="00C91213">
        <w:t>.</w:t>
      </w:r>
    </w:p>
    <w:p w14:paraId="079B7250" w14:textId="3FE888A3" w:rsidR="00C91213" w:rsidRDefault="00C91213" w:rsidP="00C91213">
      <w:pPr>
        <w:pStyle w:val="Caption"/>
        <w:keepNext/>
        <w:rPr>
          <w:rFonts w:cs="Arial"/>
          <w:color w:val="auto"/>
        </w:rPr>
      </w:pPr>
      <w:bookmarkStart w:id="29" w:name="_Toc195527725"/>
      <w:bookmarkStart w:id="30" w:name="_Toc460413180"/>
      <w:bookmarkStart w:id="31" w:name="_Toc461439093"/>
      <w:r w:rsidRPr="00C91213">
        <w:rPr>
          <w:rFonts w:cs="Arial"/>
        </w:rPr>
        <w:t xml:space="preserve">Table </w:t>
      </w:r>
      <w:r w:rsidRPr="00C91213">
        <w:rPr>
          <w:rFonts w:cs="Arial"/>
        </w:rPr>
        <w:fldChar w:fldCharType="begin"/>
      </w:r>
      <w:r w:rsidRPr="00C91213">
        <w:rPr>
          <w:rFonts w:cs="Arial"/>
        </w:rPr>
        <w:instrText xml:space="preserve"> SEQ Table \* ARABIC </w:instrText>
      </w:r>
      <w:r w:rsidRPr="00C91213">
        <w:rPr>
          <w:rFonts w:cs="Arial"/>
        </w:rPr>
        <w:fldChar w:fldCharType="separate"/>
      </w:r>
      <w:r w:rsidR="004F79B1">
        <w:rPr>
          <w:rFonts w:cs="Arial"/>
          <w:noProof/>
        </w:rPr>
        <w:t>4</w:t>
      </w:r>
      <w:r w:rsidRPr="00C91213">
        <w:rPr>
          <w:rFonts w:cs="Arial"/>
        </w:rPr>
        <w:fldChar w:fldCharType="end"/>
      </w:r>
      <w:r w:rsidRPr="00C91213">
        <w:rPr>
          <w:rFonts w:cs="Arial"/>
        </w:rPr>
        <w:t xml:space="preserve"> </w:t>
      </w:r>
      <w:r w:rsidRPr="00C91213">
        <w:rPr>
          <w:rFonts w:cs="Arial"/>
          <w:color w:val="auto"/>
        </w:rPr>
        <w:t>Source sectors of material received by reprocessors, Victoria 20</w:t>
      </w:r>
      <w:bookmarkEnd w:id="29"/>
      <w:r w:rsidRPr="00C91213">
        <w:rPr>
          <w:rFonts w:cs="Arial"/>
          <w:color w:val="auto"/>
        </w:rPr>
        <w:t>1</w:t>
      </w:r>
      <w:r w:rsidR="005A33E9">
        <w:rPr>
          <w:rFonts w:cs="Arial"/>
          <w:color w:val="auto"/>
        </w:rPr>
        <w:t>6</w:t>
      </w:r>
      <w:r w:rsidRPr="00C91213">
        <w:rPr>
          <w:rFonts w:cs="Arial"/>
          <w:color w:val="auto"/>
        </w:rPr>
        <w:t>-1</w:t>
      </w:r>
      <w:bookmarkEnd w:id="30"/>
      <w:bookmarkEnd w:id="31"/>
      <w:r w:rsidR="005A33E9">
        <w:rPr>
          <w:rFonts w:cs="Arial"/>
          <w:color w:val="auto"/>
        </w:rPr>
        <w:t>7</w:t>
      </w:r>
    </w:p>
    <w:tbl>
      <w:tblPr>
        <w:tblW w:w="9072" w:type="dxa"/>
        <w:tblBorders>
          <w:insideH w:val="single" w:sz="4" w:space="0" w:color="7F7F7F" w:themeColor="text1" w:themeTint="80"/>
        </w:tblBorders>
        <w:tblLook w:val="04A0" w:firstRow="1" w:lastRow="0" w:firstColumn="1" w:lastColumn="0" w:noHBand="0" w:noVBand="1"/>
      </w:tblPr>
      <w:tblGrid>
        <w:gridCol w:w="2649"/>
        <w:gridCol w:w="1746"/>
        <w:gridCol w:w="2409"/>
        <w:gridCol w:w="2268"/>
      </w:tblGrid>
      <w:tr w:rsidR="00AF7AB8" w:rsidRPr="00954A83" w14:paraId="656C0101" w14:textId="77777777" w:rsidTr="0095212B">
        <w:trPr>
          <w:trHeight w:val="473"/>
        </w:trPr>
        <w:tc>
          <w:tcPr>
            <w:tcW w:w="2649" w:type="dxa"/>
            <w:tcBorders>
              <w:top w:val="single" w:sz="4" w:space="0" w:color="7F7F7F" w:themeColor="text1" w:themeTint="80"/>
              <w:bottom w:val="single" w:sz="4" w:space="0" w:color="7F7F7F" w:themeColor="text1" w:themeTint="80"/>
            </w:tcBorders>
            <w:shd w:val="clear" w:color="auto" w:fill="92D050"/>
            <w:noWrap/>
            <w:vAlign w:val="bottom"/>
            <w:hideMark/>
          </w:tcPr>
          <w:p w14:paraId="186998B3" w14:textId="77777777" w:rsidR="00AF7AB8" w:rsidRPr="00954A83" w:rsidRDefault="00AF7AB8" w:rsidP="00EA0196">
            <w:pPr>
              <w:jc w:val="both"/>
              <w:rPr>
                <w:rFonts w:eastAsia="Times New Roman" w:cs="Arial"/>
                <w:b/>
                <w:color w:val="FFFFFF"/>
                <w:sz w:val="16"/>
                <w:szCs w:val="16"/>
                <w:lang w:eastAsia="en-AU"/>
              </w:rPr>
            </w:pPr>
            <w:r w:rsidRPr="00954A83">
              <w:rPr>
                <w:rFonts w:eastAsia="Times New Roman" w:cs="Arial"/>
                <w:b/>
                <w:color w:val="FFFFFF"/>
                <w:sz w:val="16"/>
                <w:szCs w:val="16"/>
                <w:lang w:eastAsia="en-AU"/>
              </w:rPr>
              <w:t>Material type</w:t>
            </w:r>
          </w:p>
        </w:tc>
        <w:tc>
          <w:tcPr>
            <w:tcW w:w="1746" w:type="dxa"/>
            <w:tcBorders>
              <w:top w:val="single" w:sz="4" w:space="0" w:color="7F7F7F" w:themeColor="text1" w:themeTint="80"/>
              <w:bottom w:val="single" w:sz="4" w:space="0" w:color="7F7F7F" w:themeColor="text1" w:themeTint="80"/>
            </w:tcBorders>
            <w:shd w:val="clear" w:color="auto" w:fill="92D050"/>
            <w:vAlign w:val="bottom"/>
            <w:hideMark/>
          </w:tcPr>
          <w:p w14:paraId="2613C639" w14:textId="77777777" w:rsidR="00AF7AB8" w:rsidRPr="00954A83" w:rsidRDefault="00AF7AB8" w:rsidP="00EA0196">
            <w:pPr>
              <w:spacing w:after="0" w:line="240" w:lineRule="auto"/>
              <w:ind w:right="98"/>
              <w:jc w:val="right"/>
              <w:rPr>
                <w:rFonts w:eastAsia="Times New Roman" w:cs="Arial"/>
                <w:b/>
                <w:color w:val="FFFFFF"/>
                <w:sz w:val="16"/>
                <w:szCs w:val="16"/>
                <w:lang w:eastAsia="en-AU"/>
              </w:rPr>
            </w:pPr>
            <w:r w:rsidRPr="00954A83">
              <w:rPr>
                <w:rFonts w:eastAsia="Times New Roman" w:cs="Arial"/>
                <w:b/>
                <w:color w:val="FFFFFF"/>
                <w:sz w:val="16"/>
                <w:szCs w:val="16"/>
                <w:lang w:eastAsia="en-AU"/>
              </w:rPr>
              <w:t>Municipal</w:t>
            </w:r>
          </w:p>
        </w:tc>
        <w:tc>
          <w:tcPr>
            <w:tcW w:w="2409" w:type="dxa"/>
            <w:tcBorders>
              <w:top w:val="single" w:sz="4" w:space="0" w:color="7F7F7F" w:themeColor="text1" w:themeTint="80"/>
              <w:bottom w:val="single" w:sz="4" w:space="0" w:color="7F7F7F" w:themeColor="text1" w:themeTint="80"/>
            </w:tcBorders>
            <w:shd w:val="clear" w:color="auto" w:fill="92D050"/>
            <w:vAlign w:val="bottom"/>
            <w:hideMark/>
          </w:tcPr>
          <w:p w14:paraId="5FA83F37" w14:textId="261512A9" w:rsidR="00AF7AB8" w:rsidRPr="00954A83" w:rsidRDefault="00AF7AB8" w:rsidP="0095212B">
            <w:pPr>
              <w:spacing w:after="0" w:line="240" w:lineRule="auto"/>
              <w:ind w:right="176"/>
              <w:jc w:val="right"/>
              <w:rPr>
                <w:rFonts w:eastAsia="Times New Roman" w:cs="Arial"/>
                <w:b/>
                <w:color w:val="FFFFFF"/>
                <w:sz w:val="16"/>
                <w:szCs w:val="16"/>
                <w:lang w:eastAsia="en-AU"/>
              </w:rPr>
            </w:pPr>
            <w:r w:rsidRPr="00954A83">
              <w:rPr>
                <w:rFonts w:eastAsia="Times New Roman" w:cs="Arial"/>
                <w:b/>
                <w:color w:val="FFFFFF"/>
                <w:sz w:val="16"/>
                <w:szCs w:val="16"/>
                <w:lang w:eastAsia="en-AU"/>
              </w:rPr>
              <w:t xml:space="preserve">Commercial </w:t>
            </w:r>
            <w:r w:rsidR="0095212B" w:rsidRPr="00954A83">
              <w:rPr>
                <w:rFonts w:eastAsia="Times New Roman" w:cs="Arial"/>
                <w:b/>
                <w:color w:val="FFFFFF"/>
                <w:sz w:val="16"/>
                <w:szCs w:val="16"/>
                <w:lang w:eastAsia="en-AU"/>
              </w:rPr>
              <w:t xml:space="preserve">&amp; </w:t>
            </w:r>
            <w:r w:rsidR="00954A83">
              <w:rPr>
                <w:rFonts w:eastAsia="Times New Roman" w:cs="Arial"/>
                <w:b/>
                <w:color w:val="FFFFFF"/>
                <w:sz w:val="16"/>
                <w:szCs w:val="16"/>
                <w:lang w:eastAsia="en-AU"/>
              </w:rPr>
              <w:br/>
            </w:r>
            <w:r w:rsidRPr="00954A83">
              <w:rPr>
                <w:rFonts w:eastAsia="Times New Roman" w:cs="Arial"/>
                <w:b/>
                <w:color w:val="FFFFFF"/>
                <w:sz w:val="16"/>
                <w:szCs w:val="16"/>
                <w:lang w:eastAsia="en-AU"/>
              </w:rPr>
              <w:t>Industrial</w:t>
            </w:r>
          </w:p>
        </w:tc>
        <w:tc>
          <w:tcPr>
            <w:tcW w:w="2268" w:type="dxa"/>
            <w:tcBorders>
              <w:top w:val="single" w:sz="4" w:space="0" w:color="7F7F7F" w:themeColor="text1" w:themeTint="80"/>
              <w:bottom w:val="single" w:sz="4" w:space="0" w:color="7F7F7F" w:themeColor="text1" w:themeTint="80"/>
            </w:tcBorders>
            <w:shd w:val="clear" w:color="auto" w:fill="92D050"/>
            <w:vAlign w:val="bottom"/>
            <w:hideMark/>
          </w:tcPr>
          <w:p w14:paraId="548DF7E5" w14:textId="328FC6AC" w:rsidR="00AF7AB8" w:rsidRPr="00954A83" w:rsidRDefault="00AF7AB8" w:rsidP="00EA0196">
            <w:pPr>
              <w:spacing w:after="0" w:line="240" w:lineRule="auto"/>
              <w:ind w:right="175"/>
              <w:jc w:val="right"/>
              <w:rPr>
                <w:rFonts w:eastAsia="Times New Roman" w:cs="Arial"/>
                <w:b/>
                <w:color w:val="FFFFFF"/>
                <w:sz w:val="16"/>
                <w:szCs w:val="16"/>
                <w:lang w:eastAsia="en-AU"/>
              </w:rPr>
            </w:pPr>
            <w:r w:rsidRPr="00954A83">
              <w:rPr>
                <w:rFonts w:eastAsia="Times New Roman" w:cs="Arial"/>
                <w:b/>
                <w:color w:val="FFFFFF"/>
                <w:sz w:val="16"/>
                <w:szCs w:val="16"/>
                <w:lang w:eastAsia="en-AU"/>
              </w:rPr>
              <w:t>Construction &amp;</w:t>
            </w:r>
            <w:r w:rsidR="00954A83">
              <w:rPr>
                <w:rFonts w:eastAsia="Times New Roman" w:cs="Arial"/>
                <w:b/>
                <w:color w:val="FFFFFF"/>
                <w:sz w:val="16"/>
                <w:szCs w:val="16"/>
                <w:lang w:eastAsia="en-AU"/>
              </w:rPr>
              <w:br/>
            </w:r>
            <w:r w:rsidRPr="00954A83">
              <w:rPr>
                <w:rFonts w:eastAsia="Times New Roman" w:cs="Arial"/>
                <w:b/>
                <w:color w:val="FFFFFF"/>
                <w:sz w:val="16"/>
                <w:szCs w:val="16"/>
                <w:lang w:eastAsia="en-AU"/>
              </w:rPr>
              <w:t>Demolition</w:t>
            </w:r>
          </w:p>
        </w:tc>
      </w:tr>
      <w:tr w:rsidR="00AF7AB8" w:rsidRPr="00954A83" w14:paraId="38E7C2D4" w14:textId="77777777" w:rsidTr="0095212B">
        <w:trPr>
          <w:trHeight w:val="323"/>
        </w:trPr>
        <w:tc>
          <w:tcPr>
            <w:tcW w:w="2649" w:type="dxa"/>
            <w:tcBorders>
              <w:top w:val="single" w:sz="4" w:space="0" w:color="7F7F7F" w:themeColor="text1" w:themeTint="80"/>
            </w:tcBorders>
            <w:shd w:val="clear" w:color="auto" w:fill="E7E6E6" w:themeFill="background2"/>
            <w:noWrap/>
            <w:vAlign w:val="center"/>
            <w:hideMark/>
          </w:tcPr>
          <w:p w14:paraId="7B6F6404" w14:textId="77777777" w:rsidR="00AF7AB8" w:rsidRPr="00954A83" w:rsidRDefault="00AF7AB8" w:rsidP="00EA0196">
            <w:pPr>
              <w:spacing w:after="0" w:line="240" w:lineRule="auto"/>
              <w:jc w:val="both"/>
              <w:rPr>
                <w:rFonts w:eastAsia="Times New Roman" w:cs="Arial"/>
                <w:sz w:val="16"/>
                <w:szCs w:val="16"/>
                <w:lang w:eastAsia="en-AU"/>
              </w:rPr>
            </w:pPr>
            <w:r w:rsidRPr="00954A83">
              <w:rPr>
                <w:rFonts w:eastAsia="Times New Roman" w:cs="Arial"/>
                <w:sz w:val="16"/>
                <w:szCs w:val="16"/>
                <w:lang w:eastAsia="en-AU"/>
              </w:rPr>
              <w:t> </w:t>
            </w:r>
          </w:p>
        </w:tc>
        <w:tc>
          <w:tcPr>
            <w:tcW w:w="6423" w:type="dxa"/>
            <w:gridSpan w:val="3"/>
            <w:tcBorders>
              <w:top w:val="single" w:sz="4" w:space="0" w:color="7F7F7F" w:themeColor="text1" w:themeTint="80"/>
            </w:tcBorders>
            <w:shd w:val="clear" w:color="auto" w:fill="E7E6E6" w:themeFill="background2"/>
            <w:noWrap/>
            <w:vAlign w:val="center"/>
            <w:hideMark/>
          </w:tcPr>
          <w:p w14:paraId="7B5CF9CA" w14:textId="77777777" w:rsidR="00AF7AB8" w:rsidRPr="00954A83" w:rsidRDefault="00AF7AB8" w:rsidP="00EA0196">
            <w:pPr>
              <w:spacing w:after="0" w:line="240" w:lineRule="auto"/>
              <w:ind w:right="98"/>
              <w:jc w:val="center"/>
              <w:rPr>
                <w:rFonts w:eastAsia="Times New Roman" w:cs="Arial"/>
                <w:sz w:val="16"/>
                <w:szCs w:val="16"/>
                <w:lang w:eastAsia="en-AU"/>
              </w:rPr>
            </w:pPr>
            <w:r w:rsidRPr="00954A83">
              <w:rPr>
                <w:rFonts w:eastAsia="Times New Roman" w:cs="Arial"/>
                <w:sz w:val="16"/>
                <w:szCs w:val="16"/>
                <w:lang w:eastAsia="en-AU"/>
              </w:rPr>
              <w:t>Tonnes (‘000)</w:t>
            </w:r>
          </w:p>
        </w:tc>
      </w:tr>
      <w:tr w:rsidR="00AF7AB8" w:rsidRPr="00954A83" w14:paraId="436F70F3" w14:textId="77777777" w:rsidTr="0095212B">
        <w:trPr>
          <w:trHeight w:val="310"/>
        </w:trPr>
        <w:tc>
          <w:tcPr>
            <w:tcW w:w="2649" w:type="dxa"/>
            <w:shd w:val="clear" w:color="auto" w:fill="auto"/>
            <w:noWrap/>
            <w:vAlign w:val="center"/>
            <w:hideMark/>
          </w:tcPr>
          <w:p w14:paraId="2E2A1004" w14:textId="77777777" w:rsidR="00AF7AB8" w:rsidRPr="00954A83" w:rsidRDefault="00AF7AB8" w:rsidP="00EA0196">
            <w:pPr>
              <w:spacing w:after="0" w:line="240" w:lineRule="auto"/>
              <w:jc w:val="both"/>
              <w:rPr>
                <w:rFonts w:eastAsia="Times New Roman" w:cs="Arial"/>
                <w:sz w:val="16"/>
                <w:szCs w:val="16"/>
                <w:lang w:eastAsia="en-AU"/>
              </w:rPr>
            </w:pPr>
            <w:r w:rsidRPr="00954A83">
              <w:rPr>
                <w:rFonts w:eastAsia="Times New Roman" w:cs="Arial"/>
                <w:sz w:val="16"/>
                <w:szCs w:val="16"/>
                <w:lang w:eastAsia="en-AU"/>
              </w:rPr>
              <w:t>Aggregates, masonry &amp; soil</w:t>
            </w:r>
          </w:p>
        </w:tc>
        <w:tc>
          <w:tcPr>
            <w:tcW w:w="1746" w:type="dxa"/>
            <w:shd w:val="clear" w:color="auto" w:fill="auto"/>
            <w:noWrap/>
            <w:vAlign w:val="center"/>
            <w:hideMark/>
          </w:tcPr>
          <w:p w14:paraId="1EB52A7E" w14:textId="456AF0E4" w:rsidR="00AF7AB8" w:rsidRPr="00954A83" w:rsidRDefault="005A33E9" w:rsidP="00954A83">
            <w:pPr>
              <w:spacing w:after="0" w:line="240" w:lineRule="auto"/>
              <w:ind w:right="321"/>
              <w:jc w:val="right"/>
              <w:rPr>
                <w:rFonts w:eastAsia="Times New Roman" w:cs="Arial"/>
                <w:sz w:val="16"/>
                <w:szCs w:val="16"/>
                <w:lang w:eastAsia="en-AU"/>
              </w:rPr>
            </w:pPr>
            <w:r w:rsidRPr="00954A83">
              <w:rPr>
                <w:rFonts w:eastAsia="Times New Roman" w:cs="Arial"/>
                <w:sz w:val="16"/>
                <w:szCs w:val="16"/>
                <w:lang w:eastAsia="en-AU"/>
              </w:rPr>
              <w:t>35</w:t>
            </w:r>
          </w:p>
        </w:tc>
        <w:tc>
          <w:tcPr>
            <w:tcW w:w="2409" w:type="dxa"/>
            <w:shd w:val="clear" w:color="auto" w:fill="auto"/>
            <w:noWrap/>
            <w:vAlign w:val="center"/>
            <w:hideMark/>
          </w:tcPr>
          <w:p w14:paraId="272BF0BA" w14:textId="6065E462" w:rsidR="00AF7AB8" w:rsidRPr="00954A83" w:rsidRDefault="005A33E9" w:rsidP="00954A83">
            <w:pPr>
              <w:spacing w:after="0" w:line="240" w:lineRule="auto"/>
              <w:ind w:right="453"/>
              <w:jc w:val="right"/>
              <w:rPr>
                <w:rFonts w:eastAsia="Times New Roman" w:cs="Arial"/>
                <w:sz w:val="16"/>
                <w:szCs w:val="16"/>
                <w:lang w:eastAsia="en-AU"/>
              </w:rPr>
            </w:pPr>
            <w:r w:rsidRPr="00954A83">
              <w:rPr>
                <w:rFonts w:eastAsia="Times New Roman" w:cs="Arial"/>
                <w:sz w:val="16"/>
                <w:szCs w:val="16"/>
                <w:lang w:eastAsia="en-AU"/>
              </w:rPr>
              <w:t>29</w:t>
            </w:r>
          </w:p>
        </w:tc>
        <w:tc>
          <w:tcPr>
            <w:tcW w:w="2268" w:type="dxa"/>
            <w:shd w:val="clear" w:color="auto" w:fill="auto"/>
            <w:noWrap/>
            <w:vAlign w:val="center"/>
            <w:hideMark/>
          </w:tcPr>
          <w:p w14:paraId="5BBED7F3" w14:textId="5C03A32F" w:rsidR="00AF7AB8" w:rsidRPr="00954A83" w:rsidRDefault="00DD46D2" w:rsidP="009716A5">
            <w:pPr>
              <w:spacing w:after="0" w:line="240" w:lineRule="auto"/>
              <w:ind w:right="315"/>
              <w:jc w:val="right"/>
              <w:rPr>
                <w:rFonts w:eastAsia="Times New Roman" w:cs="Arial"/>
                <w:sz w:val="16"/>
                <w:szCs w:val="16"/>
                <w:lang w:eastAsia="en-AU"/>
              </w:rPr>
            </w:pPr>
            <w:r w:rsidRPr="00954A83">
              <w:rPr>
                <w:rFonts w:eastAsia="Times New Roman" w:cs="Arial"/>
                <w:sz w:val="16"/>
                <w:szCs w:val="16"/>
                <w:lang w:eastAsia="en-AU"/>
              </w:rPr>
              <w:t>4</w:t>
            </w:r>
            <w:r w:rsidR="00D84524" w:rsidRPr="00954A83">
              <w:rPr>
                <w:rFonts w:eastAsia="Times New Roman" w:cs="Arial"/>
                <w:sz w:val="16"/>
                <w:szCs w:val="16"/>
                <w:lang w:eastAsia="en-AU"/>
              </w:rPr>
              <w:t>,</w:t>
            </w:r>
            <w:r w:rsidRPr="00954A83">
              <w:rPr>
                <w:rFonts w:eastAsia="Times New Roman" w:cs="Arial"/>
                <w:sz w:val="16"/>
                <w:szCs w:val="16"/>
                <w:lang w:eastAsia="en-AU"/>
              </w:rPr>
              <w:t>0</w:t>
            </w:r>
            <w:r w:rsidR="005A33E9" w:rsidRPr="00954A83">
              <w:rPr>
                <w:rFonts w:eastAsia="Times New Roman" w:cs="Arial"/>
                <w:sz w:val="16"/>
                <w:szCs w:val="16"/>
                <w:lang w:eastAsia="en-AU"/>
              </w:rPr>
              <w:t>04</w:t>
            </w:r>
          </w:p>
        </w:tc>
      </w:tr>
      <w:tr w:rsidR="00AF7AB8" w:rsidRPr="00954A83" w14:paraId="28C73F83" w14:textId="77777777" w:rsidTr="0095212B">
        <w:trPr>
          <w:trHeight w:val="310"/>
        </w:trPr>
        <w:tc>
          <w:tcPr>
            <w:tcW w:w="2649" w:type="dxa"/>
            <w:shd w:val="clear" w:color="auto" w:fill="auto"/>
            <w:noWrap/>
            <w:vAlign w:val="center"/>
            <w:hideMark/>
          </w:tcPr>
          <w:p w14:paraId="254CF4CB" w14:textId="77777777" w:rsidR="00AF7AB8" w:rsidRPr="00954A83" w:rsidRDefault="00AF7AB8" w:rsidP="00EA0196">
            <w:pPr>
              <w:spacing w:after="0" w:line="240" w:lineRule="auto"/>
              <w:jc w:val="both"/>
              <w:rPr>
                <w:rFonts w:eastAsia="Times New Roman" w:cs="Arial"/>
                <w:sz w:val="16"/>
                <w:szCs w:val="16"/>
                <w:lang w:eastAsia="en-AU"/>
              </w:rPr>
            </w:pPr>
            <w:r w:rsidRPr="00954A83">
              <w:rPr>
                <w:rFonts w:eastAsia="Times New Roman" w:cs="Arial"/>
                <w:sz w:val="16"/>
                <w:szCs w:val="16"/>
                <w:lang w:eastAsia="en-AU"/>
              </w:rPr>
              <w:t xml:space="preserve">Metal </w:t>
            </w:r>
          </w:p>
        </w:tc>
        <w:tc>
          <w:tcPr>
            <w:tcW w:w="1746" w:type="dxa"/>
            <w:shd w:val="clear" w:color="auto" w:fill="auto"/>
            <w:noWrap/>
            <w:vAlign w:val="center"/>
            <w:hideMark/>
          </w:tcPr>
          <w:p w14:paraId="1457D369" w14:textId="344088BD" w:rsidR="00AF7AB8" w:rsidRPr="00954A83" w:rsidRDefault="005A33E9" w:rsidP="00954A83">
            <w:pPr>
              <w:spacing w:after="0" w:line="240" w:lineRule="auto"/>
              <w:ind w:right="321"/>
              <w:jc w:val="right"/>
              <w:rPr>
                <w:rFonts w:eastAsia="Times New Roman" w:cs="Arial"/>
                <w:sz w:val="16"/>
                <w:szCs w:val="16"/>
                <w:lang w:eastAsia="en-AU"/>
              </w:rPr>
            </w:pPr>
            <w:r w:rsidRPr="00954A83">
              <w:rPr>
                <w:rFonts w:eastAsia="Times New Roman" w:cs="Arial"/>
                <w:sz w:val="16"/>
                <w:szCs w:val="16"/>
                <w:lang w:eastAsia="en-AU"/>
              </w:rPr>
              <w:t>393</w:t>
            </w:r>
          </w:p>
        </w:tc>
        <w:tc>
          <w:tcPr>
            <w:tcW w:w="2409" w:type="dxa"/>
            <w:shd w:val="clear" w:color="auto" w:fill="auto"/>
            <w:noWrap/>
            <w:vAlign w:val="center"/>
            <w:hideMark/>
          </w:tcPr>
          <w:p w14:paraId="08561773" w14:textId="76788B6F" w:rsidR="00AF7AB8" w:rsidRPr="00954A83" w:rsidRDefault="005A33E9" w:rsidP="00954A83">
            <w:pPr>
              <w:spacing w:after="0" w:line="240" w:lineRule="auto"/>
              <w:ind w:right="453"/>
              <w:jc w:val="right"/>
              <w:rPr>
                <w:rFonts w:eastAsia="Times New Roman" w:cs="Arial"/>
                <w:sz w:val="16"/>
                <w:szCs w:val="16"/>
                <w:lang w:eastAsia="en-AU"/>
              </w:rPr>
            </w:pPr>
            <w:r w:rsidRPr="00954A83">
              <w:rPr>
                <w:rFonts w:eastAsia="Times New Roman" w:cs="Arial"/>
                <w:sz w:val="16"/>
                <w:szCs w:val="16"/>
                <w:lang w:eastAsia="en-AU"/>
              </w:rPr>
              <w:t>1,173</w:t>
            </w:r>
          </w:p>
        </w:tc>
        <w:tc>
          <w:tcPr>
            <w:tcW w:w="2268" w:type="dxa"/>
            <w:shd w:val="clear" w:color="auto" w:fill="auto"/>
            <w:noWrap/>
            <w:vAlign w:val="center"/>
            <w:hideMark/>
          </w:tcPr>
          <w:p w14:paraId="69CE4202" w14:textId="01779C4C" w:rsidR="00AF7AB8" w:rsidRPr="00954A83" w:rsidRDefault="005A33E9" w:rsidP="009716A5">
            <w:pPr>
              <w:spacing w:after="0" w:line="240" w:lineRule="auto"/>
              <w:ind w:right="315"/>
              <w:jc w:val="right"/>
              <w:rPr>
                <w:rFonts w:eastAsia="Times New Roman" w:cs="Arial"/>
                <w:sz w:val="16"/>
                <w:szCs w:val="16"/>
                <w:lang w:eastAsia="en-AU"/>
              </w:rPr>
            </w:pPr>
            <w:r w:rsidRPr="00954A83">
              <w:rPr>
                <w:rFonts w:eastAsia="Times New Roman" w:cs="Arial"/>
                <w:sz w:val="16"/>
                <w:szCs w:val="16"/>
                <w:lang w:eastAsia="en-AU"/>
              </w:rPr>
              <w:t>133</w:t>
            </w:r>
          </w:p>
        </w:tc>
      </w:tr>
      <w:tr w:rsidR="00AF7AB8" w:rsidRPr="00954A83" w14:paraId="76B45B62" w14:textId="77777777" w:rsidTr="0095212B">
        <w:trPr>
          <w:trHeight w:val="310"/>
        </w:trPr>
        <w:tc>
          <w:tcPr>
            <w:tcW w:w="2649" w:type="dxa"/>
            <w:shd w:val="clear" w:color="auto" w:fill="auto"/>
            <w:noWrap/>
            <w:vAlign w:val="center"/>
            <w:hideMark/>
          </w:tcPr>
          <w:p w14:paraId="7EDC56EF" w14:textId="40C75D04" w:rsidR="00AF7AB8" w:rsidRPr="00954A83" w:rsidRDefault="00AF7AB8" w:rsidP="00EA0196">
            <w:pPr>
              <w:spacing w:after="0" w:line="240" w:lineRule="auto"/>
              <w:jc w:val="both"/>
              <w:rPr>
                <w:rFonts w:eastAsia="Times New Roman" w:cs="Arial"/>
                <w:sz w:val="16"/>
                <w:szCs w:val="16"/>
                <w:lang w:eastAsia="en-AU"/>
              </w:rPr>
            </w:pPr>
            <w:r w:rsidRPr="00954A83">
              <w:rPr>
                <w:rFonts w:eastAsia="Times New Roman" w:cs="Arial"/>
                <w:sz w:val="16"/>
                <w:szCs w:val="16"/>
                <w:lang w:eastAsia="en-AU"/>
              </w:rPr>
              <w:t xml:space="preserve">Paper / </w:t>
            </w:r>
            <w:r w:rsidR="0095212B" w:rsidRPr="00954A83">
              <w:rPr>
                <w:rFonts w:eastAsia="Times New Roman" w:cs="Arial"/>
                <w:sz w:val="16"/>
                <w:szCs w:val="16"/>
                <w:lang w:eastAsia="en-AU"/>
              </w:rPr>
              <w:t>c</w:t>
            </w:r>
            <w:r w:rsidRPr="00954A83">
              <w:rPr>
                <w:rFonts w:eastAsia="Times New Roman" w:cs="Arial"/>
                <w:sz w:val="16"/>
                <w:szCs w:val="16"/>
                <w:lang w:eastAsia="en-AU"/>
              </w:rPr>
              <w:t xml:space="preserve">ardboard </w:t>
            </w:r>
          </w:p>
        </w:tc>
        <w:tc>
          <w:tcPr>
            <w:tcW w:w="1746" w:type="dxa"/>
            <w:shd w:val="clear" w:color="auto" w:fill="auto"/>
            <w:noWrap/>
            <w:vAlign w:val="center"/>
            <w:hideMark/>
          </w:tcPr>
          <w:p w14:paraId="66000090" w14:textId="2D5DE8F3" w:rsidR="00AF7AB8" w:rsidRPr="00954A83" w:rsidRDefault="005A33E9" w:rsidP="00954A83">
            <w:pPr>
              <w:spacing w:after="0" w:line="240" w:lineRule="auto"/>
              <w:ind w:right="321"/>
              <w:jc w:val="right"/>
              <w:rPr>
                <w:rFonts w:eastAsia="Times New Roman" w:cs="Arial"/>
                <w:sz w:val="16"/>
                <w:szCs w:val="16"/>
                <w:lang w:eastAsia="en-AU"/>
              </w:rPr>
            </w:pPr>
            <w:r w:rsidRPr="00954A83">
              <w:rPr>
                <w:rFonts w:eastAsia="Times New Roman" w:cs="Arial"/>
                <w:sz w:val="16"/>
                <w:szCs w:val="16"/>
                <w:lang w:eastAsia="en-AU"/>
              </w:rPr>
              <w:t>220</w:t>
            </w:r>
          </w:p>
        </w:tc>
        <w:tc>
          <w:tcPr>
            <w:tcW w:w="2409" w:type="dxa"/>
            <w:shd w:val="clear" w:color="auto" w:fill="auto"/>
            <w:noWrap/>
            <w:vAlign w:val="center"/>
            <w:hideMark/>
          </w:tcPr>
          <w:p w14:paraId="29228A54" w14:textId="68C7EEF0" w:rsidR="00AF7AB8" w:rsidRPr="00954A83" w:rsidRDefault="00DD46D2" w:rsidP="00954A83">
            <w:pPr>
              <w:spacing w:after="0" w:line="240" w:lineRule="auto"/>
              <w:ind w:right="453"/>
              <w:jc w:val="right"/>
              <w:rPr>
                <w:rFonts w:eastAsia="Times New Roman" w:cs="Arial"/>
                <w:sz w:val="16"/>
                <w:szCs w:val="16"/>
                <w:lang w:eastAsia="en-AU"/>
              </w:rPr>
            </w:pPr>
            <w:r w:rsidRPr="00954A83">
              <w:rPr>
                <w:rFonts w:eastAsia="Times New Roman" w:cs="Arial"/>
                <w:sz w:val="16"/>
                <w:szCs w:val="16"/>
                <w:lang w:eastAsia="en-AU"/>
              </w:rPr>
              <w:t>1,</w:t>
            </w:r>
            <w:r w:rsidR="00EB3718" w:rsidRPr="00954A83">
              <w:rPr>
                <w:rFonts w:eastAsia="Times New Roman" w:cs="Arial"/>
                <w:sz w:val="16"/>
                <w:szCs w:val="16"/>
                <w:lang w:eastAsia="en-AU"/>
              </w:rPr>
              <w:t>220</w:t>
            </w:r>
          </w:p>
        </w:tc>
        <w:tc>
          <w:tcPr>
            <w:tcW w:w="2268" w:type="dxa"/>
            <w:shd w:val="clear" w:color="auto" w:fill="auto"/>
            <w:noWrap/>
            <w:vAlign w:val="center"/>
            <w:hideMark/>
          </w:tcPr>
          <w:p w14:paraId="2D216F37" w14:textId="0F66786A" w:rsidR="00AF7AB8" w:rsidRPr="00954A83" w:rsidRDefault="005A33E9" w:rsidP="009716A5">
            <w:pPr>
              <w:spacing w:after="0" w:line="240" w:lineRule="auto"/>
              <w:ind w:right="315"/>
              <w:jc w:val="right"/>
              <w:rPr>
                <w:rFonts w:eastAsia="Times New Roman" w:cs="Arial"/>
                <w:sz w:val="16"/>
                <w:szCs w:val="16"/>
                <w:lang w:eastAsia="en-AU"/>
              </w:rPr>
            </w:pPr>
            <w:r w:rsidRPr="00954A83">
              <w:rPr>
                <w:rFonts w:eastAsia="Times New Roman" w:cs="Arial"/>
                <w:sz w:val="16"/>
                <w:szCs w:val="16"/>
                <w:lang w:eastAsia="en-AU"/>
              </w:rPr>
              <w:t>5</w:t>
            </w:r>
          </w:p>
        </w:tc>
      </w:tr>
      <w:tr w:rsidR="00AF7AB8" w:rsidRPr="00954A83" w14:paraId="6D6F21DC" w14:textId="77777777" w:rsidTr="0095212B">
        <w:trPr>
          <w:trHeight w:val="310"/>
        </w:trPr>
        <w:tc>
          <w:tcPr>
            <w:tcW w:w="2649" w:type="dxa"/>
            <w:shd w:val="clear" w:color="auto" w:fill="auto"/>
            <w:noWrap/>
            <w:vAlign w:val="center"/>
            <w:hideMark/>
          </w:tcPr>
          <w:p w14:paraId="0022A69B" w14:textId="77777777" w:rsidR="00AF7AB8" w:rsidRPr="00954A83" w:rsidRDefault="00AF7AB8" w:rsidP="00EA0196">
            <w:pPr>
              <w:spacing w:after="0" w:line="240" w:lineRule="auto"/>
              <w:jc w:val="both"/>
              <w:rPr>
                <w:rFonts w:eastAsia="Times New Roman" w:cs="Arial"/>
                <w:sz w:val="16"/>
                <w:szCs w:val="16"/>
                <w:lang w:eastAsia="en-AU"/>
              </w:rPr>
            </w:pPr>
            <w:r w:rsidRPr="00954A83">
              <w:rPr>
                <w:rFonts w:eastAsia="Times New Roman" w:cs="Arial"/>
                <w:sz w:val="16"/>
                <w:szCs w:val="16"/>
                <w:lang w:eastAsia="en-AU"/>
              </w:rPr>
              <w:t xml:space="preserve">Organic </w:t>
            </w:r>
          </w:p>
        </w:tc>
        <w:tc>
          <w:tcPr>
            <w:tcW w:w="1746" w:type="dxa"/>
            <w:shd w:val="clear" w:color="auto" w:fill="auto"/>
            <w:noWrap/>
            <w:vAlign w:val="center"/>
            <w:hideMark/>
          </w:tcPr>
          <w:p w14:paraId="4C5E4048" w14:textId="19C5AADC" w:rsidR="00AF7AB8" w:rsidRPr="00954A83" w:rsidRDefault="00EB3718" w:rsidP="00954A83">
            <w:pPr>
              <w:spacing w:after="0" w:line="240" w:lineRule="auto"/>
              <w:ind w:right="321"/>
              <w:jc w:val="right"/>
              <w:rPr>
                <w:rFonts w:eastAsia="Times New Roman" w:cs="Arial"/>
                <w:sz w:val="16"/>
                <w:szCs w:val="16"/>
                <w:lang w:eastAsia="en-AU"/>
              </w:rPr>
            </w:pPr>
            <w:r w:rsidRPr="00954A83">
              <w:rPr>
                <w:rFonts w:eastAsia="Times New Roman" w:cs="Arial"/>
                <w:sz w:val="16"/>
                <w:szCs w:val="16"/>
                <w:lang w:eastAsia="en-AU"/>
              </w:rPr>
              <w:t>406</w:t>
            </w:r>
          </w:p>
        </w:tc>
        <w:tc>
          <w:tcPr>
            <w:tcW w:w="2409" w:type="dxa"/>
            <w:shd w:val="clear" w:color="auto" w:fill="auto"/>
            <w:noWrap/>
            <w:vAlign w:val="center"/>
            <w:hideMark/>
          </w:tcPr>
          <w:p w14:paraId="56D4D7EF" w14:textId="3B80898C" w:rsidR="00AF7AB8" w:rsidRPr="00954A83" w:rsidRDefault="00EB3718" w:rsidP="00954A83">
            <w:pPr>
              <w:spacing w:after="0" w:line="240" w:lineRule="auto"/>
              <w:ind w:right="453"/>
              <w:jc w:val="right"/>
              <w:rPr>
                <w:rFonts w:eastAsia="Times New Roman" w:cs="Arial"/>
                <w:sz w:val="16"/>
                <w:szCs w:val="16"/>
                <w:lang w:eastAsia="en-AU"/>
              </w:rPr>
            </w:pPr>
            <w:r w:rsidRPr="00954A83">
              <w:rPr>
                <w:rFonts w:eastAsia="Times New Roman" w:cs="Arial"/>
                <w:sz w:val="16"/>
                <w:szCs w:val="16"/>
                <w:lang w:eastAsia="en-AU"/>
              </w:rPr>
              <w:t>618</w:t>
            </w:r>
          </w:p>
        </w:tc>
        <w:tc>
          <w:tcPr>
            <w:tcW w:w="2268" w:type="dxa"/>
            <w:shd w:val="clear" w:color="auto" w:fill="auto"/>
            <w:noWrap/>
            <w:vAlign w:val="center"/>
            <w:hideMark/>
          </w:tcPr>
          <w:p w14:paraId="3E6CC284" w14:textId="63328021" w:rsidR="00AF7AB8" w:rsidRPr="00954A83" w:rsidRDefault="00DD46D2" w:rsidP="009716A5">
            <w:pPr>
              <w:spacing w:after="0" w:line="240" w:lineRule="auto"/>
              <w:ind w:right="315"/>
              <w:jc w:val="right"/>
              <w:rPr>
                <w:rFonts w:eastAsia="Times New Roman" w:cs="Arial"/>
                <w:sz w:val="16"/>
                <w:szCs w:val="16"/>
                <w:lang w:eastAsia="en-AU"/>
              </w:rPr>
            </w:pPr>
            <w:r w:rsidRPr="00954A83">
              <w:rPr>
                <w:rFonts w:eastAsia="Times New Roman" w:cs="Arial"/>
                <w:sz w:val="16"/>
                <w:szCs w:val="16"/>
                <w:lang w:eastAsia="en-AU"/>
              </w:rPr>
              <w:t>72</w:t>
            </w:r>
          </w:p>
        </w:tc>
      </w:tr>
      <w:tr w:rsidR="00AF7AB8" w:rsidRPr="00954A83" w14:paraId="20433F91" w14:textId="77777777" w:rsidTr="0095212B">
        <w:trPr>
          <w:trHeight w:val="310"/>
        </w:trPr>
        <w:tc>
          <w:tcPr>
            <w:tcW w:w="2649" w:type="dxa"/>
            <w:shd w:val="clear" w:color="auto" w:fill="auto"/>
            <w:noWrap/>
            <w:vAlign w:val="center"/>
            <w:hideMark/>
          </w:tcPr>
          <w:p w14:paraId="5B72E1F1" w14:textId="77777777" w:rsidR="00AF7AB8" w:rsidRPr="00954A83" w:rsidRDefault="00AF7AB8" w:rsidP="00EA0196">
            <w:pPr>
              <w:spacing w:after="0" w:line="240" w:lineRule="auto"/>
              <w:jc w:val="both"/>
              <w:rPr>
                <w:rFonts w:eastAsia="Times New Roman" w:cs="Arial"/>
                <w:sz w:val="16"/>
                <w:szCs w:val="16"/>
                <w:lang w:eastAsia="en-AU"/>
              </w:rPr>
            </w:pPr>
            <w:r w:rsidRPr="00954A83">
              <w:rPr>
                <w:rFonts w:eastAsia="Times New Roman" w:cs="Arial"/>
                <w:sz w:val="16"/>
                <w:szCs w:val="16"/>
                <w:lang w:eastAsia="en-AU"/>
              </w:rPr>
              <w:t xml:space="preserve">Glass </w:t>
            </w:r>
          </w:p>
        </w:tc>
        <w:tc>
          <w:tcPr>
            <w:tcW w:w="1746" w:type="dxa"/>
            <w:shd w:val="clear" w:color="auto" w:fill="auto"/>
            <w:noWrap/>
            <w:vAlign w:val="center"/>
            <w:hideMark/>
          </w:tcPr>
          <w:p w14:paraId="6152BF7A" w14:textId="5526561D" w:rsidR="00AF7AB8" w:rsidRPr="00954A83" w:rsidRDefault="00AF7AB8" w:rsidP="00954A83">
            <w:pPr>
              <w:spacing w:after="0" w:line="240" w:lineRule="auto"/>
              <w:ind w:right="321"/>
              <w:jc w:val="right"/>
              <w:rPr>
                <w:rFonts w:eastAsia="Times New Roman" w:cs="Arial"/>
                <w:sz w:val="16"/>
                <w:szCs w:val="16"/>
                <w:lang w:eastAsia="en-AU"/>
              </w:rPr>
            </w:pPr>
            <w:r w:rsidRPr="00954A83">
              <w:rPr>
                <w:rFonts w:eastAsia="Times New Roman" w:cs="Arial"/>
                <w:sz w:val="16"/>
                <w:szCs w:val="16"/>
                <w:lang w:eastAsia="en-AU"/>
              </w:rPr>
              <w:t>1</w:t>
            </w:r>
            <w:r w:rsidR="005A33E9" w:rsidRPr="00954A83">
              <w:rPr>
                <w:rFonts w:eastAsia="Times New Roman" w:cs="Arial"/>
                <w:sz w:val="16"/>
                <w:szCs w:val="16"/>
                <w:lang w:eastAsia="en-AU"/>
              </w:rPr>
              <w:t>37</w:t>
            </w:r>
          </w:p>
        </w:tc>
        <w:tc>
          <w:tcPr>
            <w:tcW w:w="2409" w:type="dxa"/>
            <w:shd w:val="clear" w:color="auto" w:fill="auto"/>
            <w:noWrap/>
            <w:vAlign w:val="center"/>
            <w:hideMark/>
          </w:tcPr>
          <w:p w14:paraId="3E889EDC" w14:textId="711A3910" w:rsidR="00AF7AB8" w:rsidRPr="00954A83" w:rsidRDefault="005A33E9" w:rsidP="00954A83">
            <w:pPr>
              <w:spacing w:after="0" w:line="240" w:lineRule="auto"/>
              <w:ind w:right="453"/>
              <w:jc w:val="right"/>
              <w:rPr>
                <w:rFonts w:eastAsia="Times New Roman" w:cs="Arial"/>
                <w:sz w:val="16"/>
                <w:szCs w:val="16"/>
                <w:lang w:eastAsia="en-AU"/>
              </w:rPr>
            </w:pPr>
            <w:r w:rsidRPr="00954A83">
              <w:rPr>
                <w:rFonts w:eastAsia="Times New Roman" w:cs="Arial"/>
                <w:sz w:val="16"/>
                <w:szCs w:val="16"/>
                <w:lang w:eastAsia="en-AU"/>
              </w:rPr>
              <w:t>0</w:t>
            </w:r>
          </w:p>
        </w:tc>
        <w:tc>
          <w:tcPr>
            <w:tcW w:w="2268" w:type="dxa"/>
            <w:shd w:val="clear" w:color="auto" w:fill="auto"/>
            <w:noWrap/>
            <w:vAlign w:val="center"/>
            <w:hideMark/>
          </w:tcPr>
          <w:p w14:paraId="1A433B36" w14:textId="556BFB0E" w:rsidR="00AF7AB8" w:rsidRPr="00954A83" w:rsidRDefault="005A33E9" w:rsidP="009716A5">
            <w:pPr>
              <w:spacing w:after="0" w:line="240" w:lineRule="auto"/>
              <w:ind w:right="315"/>
              <w:jc w:val="right"/>
              <w:rPr>
                <w:rFonts w:eastAsia="Times New Roman" w:cs="Arial"/>
                <w:sz w:val="16"/>
                <w:szCs w:val="16"/>
                <w:lang w:eastAsia="en-AU"/>
              </w:rPr>
            </w:pPr>
            <w:r w:rsidRPr="00954A83">
              <w:rPr>
                <w:rFonts w:eastAsia="Times New Roman" w:cs="Arial"/>
                <w:sz w:val="16"/>
                <w:szCs w:val="16"/>
                <w:lang w:eastAsia="en-AU"/>
              </w:rPr>
              <w:t>0</w:t>
            </w:r>
          </w:p>
        </w:tc>
      </w:tr>
      <w:tr w:rsidR="00AF7AB8" w:rsidRPr="00954A83" w14:paraId="53BB7165" w14:textId="77777777" w:rsidTr="0095212B">
        <w:trPr>
          <w:trHeight w:val="310"/>
        </w:trPr>
        <w:tc>
          <w:tcPr>
            <w:tcW w:w="2649" w:type="dxa"/>
            <w:shd w:val="clear" w:color="auto" w:fill="auto"/>
            <w:noWrap/>
            <w:vAlign w:val="center"/>
            <w:hideMark/>
          </w:tcPr>
          <w:p w14:paraId="4EEA52F3" w14:textId="77777777" w:rsidR="00AF7AB8" w:rsidRPr="00954A83" w:rsidRDefault="00AF7AB8" w:rsidP="00EA0196">
            <w:pPr>
              <w:spacing w:after="0" w:line="240" w:lineRule="auto"/>
              <w:jc w:val="both"/>
              <w:rPr>
                <w:rFonts w:eastAsia="Times New Roman" w:cs="Arial"/>
                <w:sz w:val="16"/>
                <w:szCs w:val="16"/>
                <w:lang w:eastAsia="en-AU"/>
              </w:rPr>
            </w:pPr>
            <w:r w:rsidRPr="00954A83">
              <w:rPr>
                <w:rFonts w:eastAsia="Times New Roman" w:cs="Arial"/>
                <w:sz w:val="16"/>
                <w:szCs w:val="16"/>
                <w:lang w:eastAsia="en-AU"/>
              </w:rPr>
              <w:t xml:space="preserve">Plastic </w:t>
            </w:r>
          </w:p>
        </w:tc>
        <w:tc>
          <w:tcPr>
            <w:tcW w:w="1746" w:type="dxa"/>
            <w:shd w:val="clear" w:color="auto" w:fill="auto"/>
            <w:noWrap/>
            <w:vAlign w:val="center"/>
            <w:hideMark/>
          </w:tcPr>
          <w:p w14:paraId="0E7D13BD" w14:textId="7EDE8A72" w:rsidR="00AF7AB8" w:rsidRPr="00954A83" w:rsidRDefault="00EB3718" w:rsidP="00954A83">
            <w:pPr>
              <w:spacing w:after="0" w:line="240" w:lineRule="auto"/>
              <w:ind w:right="321"/>
              <w:jc w:val="right"/>
              <w:rPr>
                <w:rFonts w:eastAsia="Times New Roman" w:cs="Arial"/>
                <w:sz w:val="16"/>
                <w:szCs w:val="16"/>
                <w:lang w:eastAsia="en-AU"/>
              </w:rPr>
            </w:pPr>
            <w:r w:rsidRPr="00954A83">
              <w:rPr>
                <w:rFonts w:eastAsia="Times New Roman" w:cs="Arial"/>
                <w:sz w:val="16"/>
                <w:szCs w:val="16"/>
                <w:lang w:eastAsia="en-AU"/>
              </w:rPr>
              <w:t>71</w:t>
            </w:r>
          </w:p>
        </w:tc>
        <w:tc>
          <w:tcPr>
            <w:tcW w:w="2409" w:type="dxa"/>
            <w:shd w:val="clear" w:color="auto" w:fill="auto"/>
            <w:noWrap/>
            <w:vAlign w:val="center"/>
            <w:hideMark/>
          </w:tcPr>
          <w:p w14:paraId="6F6AFCDE" w14:textId="4D42072A" w:rsidR="00AF7AB8" w:rsidRPr="00954A83" w:rsidRDefault="005A33E9" w:rsidP="00954A83">
            <w:pPr>
              <w:spacing w:after="0" w:line="240" w:lineRule="auto"/>
              <w:ind w:right="453"/>
              <w:jc w:val="right"/>
              <w:rPr>
                <w:rFonts w:eastAsia="Times New Roman" w:cs="Arial"/>
                <w:sz w:val="16"/>
                <w:szCs w:val="16"/>
                <w:lang w:eastAsia="en-AU"/>
              </w:rPr>
            </w:pPr>
            <w:r w:rsidRPr="00954A83">
              <w:rPr>
                <w:rFonts w:eastAsia="Times New Roman" w:cs="Arial"/>
                <w:sz w:val="16"/>
                <w:szCs w:val="16"/>
                <w:lang w:eastAsia="en-AU"/>
              </w:rPr>
              <w:t>57</w:t>
            </w:r>
          </w:p>
        </w:tc>
        <w:tc>
          <w:tcPr>
            <w:tcW w:w="2268" w:type="dxa"/>
            <w:shd w:val="clear" w:color="auto" w:fill="auto"/>
            <w:noWrap/>
            <w:vAlign w:val="center"/>
            <w:hideMark/>
          </w:tcPr>
          <w:p w14:paraId="7673CE3A" w14:textId="7D05AA9D" w:rsidR="00AF7AB8" w:rsidRPr="00954A83" w:rsidRDefault="00EB3718" w:rsidP="009716A5">
            <w:pPr>
              <w:spacing w:after="0" w:line="240" w:lineRule="auto"/>
              <w:ind w:right="315"/>
              <w:jc w:val="right"/>
              <w:rPr>
                <w:rFonts w:eastAsia="Times New Roman" w:cs="Arial"/>
                <w:sz w:val="16"/>
                <w:szCs w:val="16"/>
                <w:lang w:eastAsia="en-AU"/>
              </w:rPr>
            </w:pPr>
            <w:r w:rsidRPr="00954A83">
              <w:rPr>
                <w:rFonts w:eastAsia="Times New Roman" w:cs="Arial"/>
                <w:sz w:val="16"/>
                <w:szCs w:val="16"/>
                <w:lang w:eastAsia="en-AU"/>
              </w:rPr>
              <w:t>3</w:t>
            </w:r>
          </w:p>
        </w:tc>
      </w:tr>
      <w:tr w:rsidR="00AF7AB8" w:rsidRPr="00954A83" w14:paraId="42E01F7F" w14:textId="77777777" w:rsidTr="0095212B">
        <w:trPr>
          <w:trHeight w:val="310"/>
        </w:trPr>
        <w:tc>
          <w:tcPr>
            <w:tcW w:w="2649" w:type="dxa"/>
            <w:shd w:val="clear" w:color="auto" w:fill="auto"/>
            <w:noWrap/>
            <w:vAlign w:val="center"/>
            <w:hideMark/>
          </w:tcPr>
          <w:p w14:paraId="58F9FFF0" w14:textId="77777777" w:rsidR="00AF7AB8" w:rsidRPr="00954A83" w:rsidRDefault="00AF7AB8" w:rsidP="00EA0196">
            <w:pPr>
              <w:spacing w:after="0" w:line="240" w:lineRule="auto"/>
              <w:jc w:val="both"/>
              <w:rPr>
                <w:rFonts w:eastAsia="Times New Roman" w:cs="Arial"/>
                <w:sz w:val="16"/>
                <w:szCs w:val="16"/>
                <w:lang w:eastAsia="en-AU"/>
              </w:rPr>
            </w:pPr>
            <w:r w:rsidRPr="00954A83">
              <w:rPr>
                <w:rFonts w:eastAsia="Times New Roman" w:cs="Arial"/>
                <w:sz w:val="16"/>
                <w:szCs w:val="16"/>
                <w:lang w:eastAsia="en-AU"/>
              </w:rPr>
              <w:t xml:space="preserve">Rubber </w:t>
            </w:r>
          </w:p>
        </w:tc>
        <w:tc>
          <w:tcPr>
            <w:tcW w:w="1746" w:type="dxa"/>
            <w:shd w:val="clear" w:color="auto" w:fill="auto"/>
            <w:noWrap/>
            <w:vAlign w:val="center"/>
            <w:hideMark/>
          </w:tcPr>
          <w:p w14:paraId="09DC88A3" w14:textId="6466AC60" w:rsidR="00AF7AB8" w:rsidRPr="00954A83" w:rsidRDefault="005A33E9" w:rsidP="00954A83">
            <w:pPr>
              <w:spacing w:after="0" w:line="240" w:lineRule="auto"/>
              <w:ind w:right="321"/>
              <w:jc w:val="right"/>
              <w:rPr>
                <w:rFonts w:eastAsia="Times New Roman" w:cs="Arial"/>
                <w:sz w:val="16"/>
                <w:szCs w:val="16"/>
                <w:lang w:eastAsia="en-AU"/>
              </w:rPr>
            </w:pPr>
            <w:r w:rsidRPr="00954A83">
              <w:rPr>
                <w:rFonts w:eastAsia="Times New Roman" w:cs="Arial"/>
                <w:sz w:val="16"/>
                <w:szCs w:val="16"/>
                <w:lang w:eastAsia="en-AU"/>
              </w:rPr>
              <w:t>13</w:t>
            </w:r>
          </w:p>
        </w:tc>
        <w:tc>
          <w:tcPr>
            <w:tcW w:w="2409" w:type="dxa"/>
            <w:shd w:val="clear" w:color="auto" w:fill="auto"/>
            <w:noWrap/>
            <w:vAlign w:val="center"/>
            <w:hideMark/>
          </w:tcPr>
          <w:p w14:paraId="6C727EA6" w14:textId="6FE95DDA" w:rsidR="00AF7AB8" w:rsidRPr="00954A83" w:rsidRDefault="005A33E9" w:rsidP="00954A83">
            <w:pPr>
              <w:spacing w:after="0" w:line="240" w:lineRule="auto"/>
              <w:ind w:right="453"/>
              <w:jc w:val="right"/>
              <w:rPr>
                <w:rFonts w:eastAsia="Times New Roman" w:cs="Arial"/>
                <w:sz w:val="16"/>
                <w:szCs w:val="16"/>
                <w:lang w:eastAsia="en-AU"/>
              </w:rPr>
            </w:pPr>
            <w:r w:rsidRPr="00954A83">
              <w:rPr>
                <w:rFonts w:eastAsia="Times New Roman" w:cs="Arial"/>
                <w:sz w:val="16"/>
                <w:szCs w:val="16"/>
                <w:lang w:eastAsia="en-AU"/>
              </w:rPr>
              <w:t>29</w:t>
            </w:r>
          </w:p>
        </w:tc>
        <w:tc>
          <w:tcPr>
            <w:tcW w:w="2268" w:type="dxa"/>
            <w:shd w:val="clear" w:color="auto" w:fill="auto"/>
            <w:noWrap/>
            <w:vAlign w:val="center"/>
            <w:hideMark/>
          </w:tcPr>
          <w:p w14:paraId="7F71914C" w14:textId="77777777" w:rsidR="00AF7AB8" w:rsidRPr="00954A83" w:rsidRDefault="00AF7AB8" w:rsidP="009716A5">
            <w:pPr>
              <w:spacing w:after="0" w:line="240" w:lineRule="auto"/>
              <w:ind w:right="315"/>
              <w:jc w:val="right"/>
              <w:rPr>
                <w:rFonts w:eastAsia="Times New Roman" w:cs="Arial"/>
                <w:sz w:val="16"/>
                <w:szCs w:val="16"/>
                <w:lang w:eastAsia="en-AU"/>
              </w:rPr>
            </w:pPr>
            <w:r w:rsidRPr="00954A83">
              <w:rPr>
                <w:rFonts w:eastAsia="Times New Roman" w:cs="Arial"/>
                <w:sz w:val="16"/>
                <w:szCs w:val="16"/>
                <w:lang w:eastAsia="en-AU"/>
              </w:rPr>
              <w:t>0</w:t>
            </w:r>
          </w:p>
        </w:tc>
      </w:tr>
      <w:tr w:rsidR="00AF7AB8" w:rsidRPr="00954A83" w14:paraId="0570569A" w14:textId="77777777" w:rsidTr="0095212B">
        <w:trPr>
          <w:trHeight w:val="323"/>
        </w:trPr>
        <w:tc>
          <w:tcPr>
            <w:tcW w:w="2649" w:type="dxa"/>
            <w:tcBorders>
              <w:bottom w:val="single" w:sz="4" w:space="0" w:color="7F7F7F" w:themeColor="text1" w:themeTint="80"/>
            </w:tcBorders>
            <w:shd w:val="clear" w:color="auto" w:fill="auto"/>
            <w:noWrap/>
            <w:vAlign w:val="center"/>
            <w:hideMark/>
          </w:tcPr>
          <w:p w14:paraId="2B2533F7" w14:textId="77777777" w:rsidR="00AF7AB8" w:rsidRPr="00954A83" w:rsidRDefault="00AF7AB8" w:rsidP="009716A5">
            <w:pPr>
              <w:spacing w:after="0" w:line="240" w:lineRule="auto"/>
              <w:rPr>
                <w:rFonts w:eastAsia="Times New Roman" w:cs="Arial"/>
                <w:sz w:val="16"/>
                <w:szCs w:val="16"/>
                <w:lang w:eastAsia="en-AU"/>
              </w:rPr>
            </w:pPr>
            <w:r w:rsidRPr="00954A83">
              <w:rPr>
                <w:rFonts w:eastAsia="Times New Roman" w:cs="Arial"/>
                <w:sz w:val="16"/>
                <w:szCs w:val="16"/>
                <w:lang w:eastAsia="en-AU"/>
              </w:rPr>
              <w:t xml:space="preserve">Textiles </w:t>
            </w:r>
          </w:p>
        </w:tc>
        <w:tc>
          <w:tcPr>
            <w:tcW w:w="1746" w:type="dxa"/>
            <w:tcBorders>
              <w:bottom w:val="single" w:sz="4" w:space="0" w:color="7F7F7F" w:themeColor="text1" w:themeTint="80"/>
            </w:tcBorders>
            <w:shd w:val="clear" w:color="auto" w:fill="auto"/>
            <w:noWrap/>
            <w:vAlign w:val="center"/>
            <w:hideMark/>
          </w:tcPr>
          <w:p w14:paraId="4D4742A0" w14:textId="1091BD82" w:rsidR="00AF7AB8" w:rsidRPr="00954A83" w:rsidRDefault="005A33E9" w:rsidP="00954A83">
            <w:pPr>
              <w:spacing w:after="0" w:line="240" w:lineRule="auto"/>
              <w:ind w:right="321"/>
              <w:jc w:val="right"/>
              <w:rPr>
                <w:rFonts w:eastAsia="Times New Roman" w:cs="Arial"/>
                <w:sz w:val="16"/>
                <w:szCs w:val="16"/>
                <w:lang w:eastAsia="en-AU"/>
              </w:rPr>
            </w:pPr>
            <w:r w:rsidRPr="00954A83">
              <w:rPr>
                <w:rFonts w:eastAsia="Times New Roman" w:cs="Arial"/>
                <w:sz w:val="16"/>
                <w:szCs w:val="16"/>
                <w:lang w:eastAsia="en-AU"/>
              </w:rPr>
              <w:t>3</w:t>
            </w:r>
          </w:p>
        </w:tc>
        <w:tc>
          <w:tcPr>
            <w:tcW w:w="2409" w:type="dxa"/>
            <w:tcBorders>
              <w:bottom w:val="single" w:sz="4" w:space="0" w:color="7F7F7F" w:themeColor="text1" w:themeTint="80"/>
            </w:tcBorders>
            <w:shd w:val="clear" w:color="auto" w:fill="auto"/>
            <w:noWrap/>
            <w:vAlign w:val="center"/>
            <w:hideMark/>
          </w:tcPr>
          <w:p w14:paraId="41D3E14C" w14:textId="5316744F" w:rsidR="00AF7AB8" w:rsidRPr="00954A83" w:rsidRDefault="00DD46D2" w:rsidP="00954A83">
            <w:pPr>
              <w:spacing w:after="0" w:line="240" w:lineRule="auto"/>
              <w:ind w:right="453"/>
              <w:jc w:val="right"/>
              <w:rPr>
                <w:rFonts w:eastAsia="Times New Roman" w:cs="Arial"/>
                <w:sz w:val="16"/>
                <w:szCs w:val="16"/>
                <w:lang w:eastAsia="en-AU"/>
              </w:rPr>
            </w:pPr>
            <w:r w:rsidRPr="00954A83">
              <w:rPr>
                <w:rFonts w:eastAsia="Times New Roman" w:cs="Arial"/>
                <w:sz w:val="16"/>
                <w:szCs w:val="16"/>
                <w:lang w:eastAsia="en-AU"/>
              </w:rPr>
              <w:t>0</w:t>
            </w:r>
          </w:p>
        </w:tc>
        <w:tc>
          <w:tcPr>
            <w:tcW w:w="2268" w:type="dxa"/>
            <w:tcBorders>
              <w:bottom w:val="single" w:sz="4" w:space="0" w:color="7F7F7F" w:themeColor="text1" w:themeTint="80"/>
            </w:tcBorders>
            <w:shd w:val="clear" w:color="auto" w:fill="auto"/>
            <w:noWrap/>
            <w:vAlign w:val="center"/>
            <w:hideMark/>
          </w:tcPr>
          <w:p w14:paraId="7876ED08" w14:textId="77777777" w:rsidR="00AF7AB8" w:rsidRPr="00954A83" w:rsidRDefault="00AF7AB8" w:rsidP="009716A5">
            <w:pPr>
              <w:spacing w:after="0" w:line="240" w:lineRule="auto"/>
              <w:ind w:right="315"/>
              <w:jc w:val="right"/>
              <w:rPr>
                <w:rFonts w:eastAsia="Times New Roman" w:cs="Arial"/>
                <w:sz w:val="16"/>
                <w:szCs w:val="16"/>
                <w:lang w:eastAsia="en-AU"/>
              </w:rPr>
            </w:pPr>
            <w:r w:rsidRPr="00954A83">
              <w:rPr>
                <w:rFonts w:eastAsia="Times New Roman" w:cs="Arial"/>
                <w:sz w:val="16"/>
                <w:szCs w:val="16"/>
                <w:lang w:eastAsia="en-AU"/>
              </w:rPr>
              <w:t>0</w:t>
            </w:r>
          </w:p>
        </w:tc>
      </w:tr>
      <w:tr w:rsidR="005A33E9" w:rsidRPr="00954A83" w14:paraId="4F1E3076" w14:textId="77777777" w:rsidTr="0095212B">
        <w:trPr>
          <w:trHeight w:val="323"/>
        </w:trPr>
        <w:tc>
          <w:tcPr>
            <w:tcW w:w="2649" w:type="dxa"/>
            <w:tcBorders>
              <w:top w:val="single" w:sz="4" w:space="0" w:color="7F7F7F" w:themeColor="text1" w:themeTint="80"/>
              <w:bottom w:val="single" w:sz="4" w:space="0" w:color="7F7F7F" w:themeColor="text1" w:themeTint="80"/>
            </w:tcBorders>
            <w:shd w:val="clear" w:color="auto" w:fill="E7E6E6" w:themeFill="background2"/>
            <w:noWrap/>
            <w:vAlign w:val="center"/>
          </w:tcPr>
          <w:p w14:paraId="2B46C749" w14:textId="687A3357" w:rsidR="005A33E9" w:rsidRPr="00954A83" w:rsidRDefault="005A33E9" w:rsidP="00EA0196">
            <w:pPr>
              <w:spacing w:after="0" w:line="240" w:lineRule="auto"/>
              <w:jc w:val="both"/>
              <w:rPr>
                <w:rFonts w:eastAsia="Times New Roman" w:cs="Arial"/>
                <w:b/>
                <w:sz w:val="16"/>
                <w:szCs w:val="16"/>
                <w:lang w:eastAsia="en-AU"/>
              </w:rPr>
            </w:pPr>
            <w:r w:rsidRPr="00954A83">
              <w:rPr>
                <w:rFonts w:eastAsia="Times New Roman" w:cs="Arial"/>
                <w:b/>
                <w:sz w:val="16"/>
                <w:szCs w:val="16"/>
                <w:lang w:eastAsia="en-AU"/>
              </w:rPr>
              <w:t>Total</w:t>
            </w:r>
          </w:p>
        </w:tc>
        <w:tc>
          <w:tcPr>
            <w:tcW w:w="1746" w:type="dxa"/>
            <w:tcBorders>
              <w:top w:val="single" w:sz="4" w:space="0" w:color="7F7F7F" w:themeColor="text1" w:themeTint="80"/>
              <w:bottom w:val="single" w:sz="4" w:space="0" w:color="7F7F7F" w:themeColor="text1" w:themeTint="80"/>
            </w:tcBorders>
            <w:shd w:val="clear" w:color="auto" w:fill="E7E6E6" w:themeFill="background2"/>
            <w:noWrap/>
            <w:vAlign w:val="center"/>
          </w:tcPr>
          <w:p w14:paraId="5558016D" w14:textId="4F6FD391" w:rsidR="005A33E9" w:rsidRPr="00954A83" w:rsidRDefault="005A33E9" w:rsidP="00954A83">
            <w:pPr>
              <w:spacing w:after="0" w:line="240" w:lineRule="auto"/>
              <w:ind w:right="321"/>
              <w:jc w:val="right"/>
              <w:rPr>
                <w:rFonts w:eastAsia="Times New Roman" w:cs="Arial"/>
                <w:b/>
                <w:sz w:val="16"/>
                <w:szCs w:val="16"/>
                <w:lang w:eastAsia="en-AU"/>
              </w:rPr>
            </w:pPr>
            <w:r w:rsidRPr="00954A83">
              <w:rPr>
                <w:rFonts w:eastAsia="Times New Roman" w:cs="Arial"/>
                <w:b/>
                <w:color w:val="000000"/>
                <w:sz w:val="16"/>
                <w:szCs w:val="16"/>
                <w:lang w:eastAsia="en-AU"/>
              </w:rPr>
              <w:t>1,</w:t>
            </w:r>
            <w:r w:rsidR="00756B8C" w:rsidRPr="00954A83">
              <w:rPr>
                <w:rFonts w:eastAsia="Times New Roman" w:cs="Arial"/>
                <w:b/>
                <w:color w:val="000000"/>
                <w:sz w:val="16"/>
                <w:szCs w:val="16"/>
                <w:lang w:eastAsia="en-AU"/>
              </w:rPr>
              <w:t>277</w:t>
            </w:r>
          </w:p>
        </w:tc>
        <w:tc>
          <w:tcPr>
            <w:tcW w:w="2409" w:type="dxa"/>
            <w:tcBorders>
              <w:top w:val="single" w:sz="4" w:space="0" w:color="7F7F7F" w:themeColor="text1" w:themeTint="80"/>
              <w:bottom w:val="single" w:sz="4" w:space="0" w:color="7F7F7F" w:themeColor="text1" w:themeTint="80"/>
            </w:tcBorders>
            <w:shd w:val="clear" w:color="auto" w:fill="E7E6E6" w:themeFill="background2"/>
            <w:noWrap/>
            <w:vAlign w:val="center"/>
          </w:tcPr>
          <w:p w14:paraId="2C3B9E7F" w14:textId="1782462C" w:rsidR="005A33E9" w:rsidRPr="00954A83" w:rsidRDefault="005A33E9" w:rsidP="00954A83">
            <w:pPr>
              <w:spacing w:after="0" w:line="240" w:lineRule="auto"/>
              <w:ind w:right="453"/>
              <w:jc w:val="right"/>
              <w:rPr>
                <w:rFonts w:eastAsia="Times New Roman" w:cs="Arial"/>
                <w:b/>
                <w:sz w:val="16"/>
                <w:szCs w:val="16"/>
                <w:lang w:eastAsia="en-AU"/>
              </w:rPr>
            </w:pPr>
            <w:r w:rsidRPr="00954A83">
              <w:rPr>
                <w:rFonts w:eastAsia="Times New Roman" w:cs="Arial"/>
                <w:b/>
                <w:color w:val="000000"/>
                <w:sz w:val="16"/>
                <w:szCs w:val="16"/>
                <w:lang w:eastAsia="en-AU"/>
              </w:rPr>
              <w:t>3,</w:t>
            </w:r>
            <w:r w:rsidR="00756B8C" w:rsidRPr="00954A83">
              <w:rPr>
                <w:rFonts w:eastAsia="Times New Roman" w:cs="Arial"/>
                <w:b/>
                <w:color w:val="000000"/>
                <w:sz w:val="16"/>
                <w:szCs w:val="16"/>
                <w:lang w:eastAsia="en-AU"/>
              </w:rPr>
              <w:t>127</w:t>
            </w:r>
          </w:p>
        </w:tc>
        <w:tc>
          <w:tcPr>
            <w:tcW w:w="2268" w:type="dxa"/>
            <w:tcBorders>
              <w:top w:val="single" w:sz="4" w:space="0" w:color="7F7F7F" w:themeColor="text1" w:themeTint="80"/>
              <w:bottom w:val="single" w:sz="4" w:space="0" w:color="7F7F7F" w:themeColor="text1" w:themeTint="80"/>
            </w:tcBorders>
            <w:shd w:val="clear" w:color="auto" w:fill="E7E6E6" w:themeFill="background2"/>
            <w:noWrap/>
            <w:vAlign w:val="center"/>
          </w:tcPr>
          <w:p w14:paraId="063C3732" w14:textId="63926D35" w:rsidR="005A33E9" w:rsidRPr="00954A83" w:rsidRDefault="005A33E9" w:rsidP="009716A5">
            <w:pPr>
              <w:spacing w:after="0" w:line="240" w:lineRule="auto"/>
              <w:ind w:right="315"/>
              <w:jc w:val="right"/>
              <w:rPr>
                <w:rFonts w:eastAsia="Times New Roman" w:cs="Arial"/>
                <w:b/>
                <w:sz w:val="16"/>
                <w:szCs w:val="16"/>
                <w:lang w:eastAsia="en-AU"/>
              </w:rPr>
            </w:pPr>
            <w:r w:rsidRPr="00954A83">
              <w:rPr>
                <w:rFonts w:eastAsia="Times New Roman" w:cs="Arial"/>
                <w:b/>
                <w:color w:val="000000"/>
                <w:sz w:val="16"/>
                <w:szCs w:val="16"/>
                <w:lang w:eastAsia="en-AU"/>
              </w:rPr>
              <w:t>4,</w:t>
            </w:r>
            <w:r w:rsidR="00756B8C" w:rsidRPr="00954A83">
              <w:rPr>
                <w:rFonts w:eastAsia="Times New Roman" w:cs="Arial"/>
                <w:b/>
                <w:color w:val="000000"/>
                <w:sz w:val="16"/>
                <w:szCs w:val="16"/>
                <w:lang w:eastAsia="en-AU"/>
              </w:rPr>
              <w:t>217</w:t>
            </w:r>
          </w:p>
        </w:tc>
      </w:tr>
    </w:tbl>
    <w:p w14:paraId="64D526CD" w14:textId="15F84164" w:rsidR="00C91213" w:rsidRPr="001F5309" w:rsidRDefault="00C91213" w:rsidP="001F5309">
      <w:pPr>
        <w:jc w:val="center"/>
        <w:rPr>
          <w:rFonts w:cs="Arial"/>
          <w:sz w:val="20"/>
          <w:szCs w:val="20"/>
        </w:rPr>
      </w:pPr>
      <w:bookmarkStart w:id="32" w:name="_Toc181415565"/>
      <w:bookmarkStart w:id="33" w:name="_Toc181431451"/>
      <w:bookmarkStart w:id="34" w:name="OLE_LINK1"/>
      <w:bookmarkStart w:id="35" w:name="OLE_LINK2"/>
    </w:p>
    <w:p w14:paraId="603E6AF3" w14:textId="77777777" w:rsidR="00C91213" w:rsidRPr="00C47715" w:rsidRDefault="00C91213" w:rsidP="00FC4C03">
      <w:pPr>
        <w:pStyle w:val="MediumGrid21"/>
        <w:jc w:val="both"/>
        <w:rPr>
          <w:rFonts w:cs="Arial"/>
          <w:i/>
          <w:szCs w:val="20"/>
        </w:rPr>
      </w:pPr>
      <w:r w:rsidRPr="00C47715">
        <w:rPr>
          <w:rFonts w:cs="Arial"/>
          <w:i/>
          <w:szCs w:val="20"/>
        </w:rPr>
        <w:t>Note: Figures reported for the material received by source sector have been extrapolated to include the relative proportions derived from reported data and applied to surveys that did not provide a source sector for the different material types and the export data from the Australian Bureau of Statistics. These proportions were not applied to imports. Figures reported in the table have been rounded to the nearest thousand and individual columns may therefore not add up to the totals reported elsewhere.</w:t>
      </w:r>
    </w:p>
    <w:p w14:paraId="5599DC5E" w14:textId="77777777" w:rsidR="00C91213" w:rsidRDefault="00C91213" w:rsidP="00C91213">
      <w:pPr>
        <w:pStyle w:val="MediumGrid21"/>
        <w:rPr>
          <w:rFonts w:cs="Arial"/>
          <w:b/>
          <w:bCs/>
          <w:color w:val="auto"/>
          <w:szCs w:val="20"/>
          <w:highlight w:val="yellow"/>
        </w:rPr>
      </w:pPr>
    </w:p>
    <w:p w14:paraId="0AA7F82A" w14:textId="2389861D" w:rsidR="00C91213" w:rsidRPr="005A3C70" w:rsidRDefault="00C91213" w:rsidP="001354FA">
      <w:pPr>
        <w:pStyle w:val="Heading2"/>
      </w:pPr>
      <w:bookmarkStart w:id="36" w:name="_Toc461439635"/>
      <w:bookmarkStart w:id="37" w:name="_Toc525308007"/>
      <w:r w:rsidRPr="005A3C70">
        <w:lastRenderedPageBreak/>
        <w:t>Reprocessing and exports</w:t>
      </w:r>
      <w:bookmarkEnd w:id="32"/>
      <w:bookmarkEnd w:id="33"/>
      <w:bookmarkEnd w:id="36"/>
      <w:bookmarkEnd w:id="37"/>
    </w:p>
    <w:p w14:paraId="6776A1FA" w14:textId="3AFB16D9" w:rsidR="00C030F1" w:rsidRPr="00C91213" w:rsidRDefault="00C030F1" w:rsidP="00420443">
      <w:r w:rsidRPr="00C91213">
        <w:t xml:space="preserve">Victoria’s current resource reprocessing is still predominantly local (Figure </w:t>
      </w:r>
      <w:r w:rsidR="004F7D42">
        <w:t>7</w:t>
      </w:r>
      <w:r w:rsidRPr="00C91213">
        <w:t>).</w:t>
      </w:r>
      <w:r>
        <w:t xml:space="preserve"> </w:t>
      </w:r>
      <w:r w:rsidRPr="00C91213">
        <w:t>During 201</w:t>
      </w:r>
      <w:r w:rsidR="00646D38">
        <w:t>6</w:t>
      </w:r>
      <w:r w:rsidRPr="00C91213">
        <w:t>-1</w:t>
      </w:r>
      <w:r w:rsidR="00646D38">
        <w:t>7</w:t>
      </w:r>
      <w:r w:rsidRPr="00C91213">
        <w:t>, over 7.</w:t>
      </w:r>
      <w:r w:rsidR="00CF0E7E">
        <w:t>40</w:t>
      </w:r>
      <w:r w:rsidRPr="00C91213">
        <w:t xml:space="preserve"> million tonnes of recovered material remained in Victoria to be reprocessed in local plants. This represents an increase of </w:t>
      </w:r>
      <w:r w:rsidR="00756C1F">
        <w:t>2</w:t>
      </w:r>
      <w:r w:rsidRPr="00C91213">
        <w:t xml:space="preserve">% </w:t>
      </w:r>
      <w:r>
        <w:t xml:space="preserve">since </w:t>
      </w:r>
      <w:r w:rsidRPr="00C91213">
        <w:t>201</w:t>
      </w:r>
      <w:r w:rsidR="00CF0E7E">
        <w:t>5</w:t>
      </w:r>
      <w:r w:rsidRPr="00C91213">
        <w:t>-1</w:t>
      </w:r>
      <w:r w:rsidR="00CF0E7E">
        <w:t>6</w:t>
      </w:r>
      <w:r>
        <w:t xml:space="preserve"> (</w:t>
      </w:r>
      <w:r w:rsidR="008917B4">
        <w:t>7</w:t>
      </w:r>
      <w:r w:rsidRPr="00C91213">
        <w:t>.</w:t>
      </w:r>
      <w:r w:rsidR="00CF0E7E">
        <w:t>27</w:t>
      </w:r>
      <w:r w:rsidRPr="00C91213">
        <w:t xml:space="preserve"> million tonnes</w:t>
      </w:r>
      <w:r>
        <w:t>)</w:t>
      </w:r>
      <w:r w:rsidRPr="00C91213">
        <w:t xml:space="preserve"> and accounts for 8</w:t>
      </w:r>
      <w:r w:rsidR="00583E8F">
        <w:t>6</w:t>
      </w:r>
      <w:r w:rsidRPr="00C91213">
        <w:t>% of all recovered material.</w:t>
      </w:r>
    </w:p>
    <w:p w14:paraId="147599CE" w14:textId="75367811" w:rsidR="00C030F1" w:rsidRDefault="00C47715" w:rsidP="00420443">
      <w:r>
        <w:t>In 201</w:t>
      </w:r>
      <w:r w:rsidR="00CF0E7E">
        <w:t>6</w:t>
      </w:r>
      <w:r>
        <w:t>-1</w:t>
      </w:r>
      <w:r w:rsidR="00CF0E7E">
        <w:t>7</w:t>
      </w:r>
      <w:r w:rsidR="00C91213" w:rsidRPr="00C91213">
        <w:t xml:space="preserve"> </w:t>
      </w:r>
      <w:r>
        <w:t xml:space="preserve">the </w:t>
      </w:r>
      <w:r w:rsidR="00C030F1">
        <w:t>export of materials for reprocessing overseas</w:t>
      </w:r>
      <w:r>
        <w:t xml:space="preserve"> </w:t>
      </w:r>
      <w:r w:rsidR="00CF0E7E">
        <w:t xml:space="preserve">slightly increased to </w:t>
      </w:r>
      <w:r w:rsidR="00C91213" w:rsidRPr="00C91213">
        <w:t>1.</w:t>
      </w:r>
      <w:r w:rsidR="00D84524">
        <w:t>2</w:t>
      </w:r>
      <w:r w:rsidR="00CF0E7E">
        <w:t>2</w:t>
      </w:r>
      <w:r w:rsidR="00C91213" w:rsidRPr="00C91213">
        <w:t xml:space="preserve"> million tonnes.</w:t>
      </w:r>
      <w:r>
        <w:t xml:space="preserve"> </w:t>
      </w:r>
      <w:r w:rsidR="00C91213" w:rsidRPr="00C91213">
        <w:t>The key materials e</w:t>
      </w:r>
      <w:r w:rsidR="00CF0E7E">
        <w:t xml:space="preserve">xported are scrap metal, paper and </w:t>
      </w:r>
      <w:r w:rsidR="00C91213" w:rsidRPr="00C91213">
        <w:t>plastics</w:t>
      </w:r>
      <w:r w:rsidR="00EF30B9">
        <w:t>;</w:t>
      </w:r>
      <w:r w:rsidR="00EF30B9" w:rsidRPr="00C91213">
        <w:t xml:space="preserve"> </w:t>
      </w:r>
      <w:r w:rsidR="00C91213" w:rsidRPr="00C91213">
        <w:t>all globally traded commodities used in recycling operations worldwide.</w:t>
      </w:r>
      <w:r>
        <w:t xml:space="preserve"> </w:t>
      </w:r>
    </w:p>
    <w:p w14:paraId="45A9213B" w14:textId="057DEF3B" w:rsidR="001F1E42" w:rsidRDefault="001F1E42" w:rsidP="00420443">
      <w:r w:rsidRPr="001F1E42">
        <w:rPr>
          <w:i/>
        </w:rPr>
        <w:t xml:space="preserve">Metal </w:t>
      </w:r>
      <w:r w:rsidR="009716A5">
        <w:t>exports</w:t>
      </w:r>
      <w:r>
        <w:t xml:space="preserve"> increased to 422,000 tonnes. This is an 18% increase from 2015-16. The amount of </w:t>
      </w:r>
      <w:r w:rsidRPr="001F1E42">
        <w:rPr>
          <w:i/>
        </w:rPr>
        <w:t>Plastic</w:t>
      </w:r>
      <w:r>
        <w:t xml:space="preserve"> exported remained unchanged at 97,000 tonnes, whilst the amount of </w:t>
      </w:r>
      <w:r w:rsidR="009716A5">
        <w:rPr>
          <w:i/>
        </w:rPr>
        <w:t>Paper/</w:t>
      </w:r>
      <w:r w:rsidRPr="001F1E42">
        <w:rPr>
          <w:i/>
        </w:rPr>
        <w:t>cardboard</w:t>
      </w:r>
      <w:r>
        <w:t xml:space="preserve"> decreased by 8% to 661,000 tonnes. </w:t>
      </w:r>
      <w:r w:rsidRPr="00C030F1">
        <w:rPr>
          <w:i/>
        </w:rPr>
        <w:t>Organics</w:t>
      </w:r>
      <w:r>
        <w:t xml:space="preserve"> and </w:t>
      </w:r>
      <w:r w:rsidR="0095212B" w:rsidRPr="0095212B">
        <w:rPr>
          <w:i/>
        </w:rPr>
        <w:t>g</w:t>
      </w:r>
      <w:r w:rsidRPr="0095212B">
        <w:rPr>
          <w:i/>
        </w:rPr>
        <w:t>las</w:t>
      </w:r>
      <w:r w:rsidRPr="00C030F1">
        <w:rPr>
          <w:i/>
        </w:rPr>
        <w:t>s</w:t>
      </w:r>
      <w:r>
        <w:t xml:space="preserve"> do not contribute highly to overall export however, they also had a decrease from 2015-16 with </w:t>
      </w:r>
      <w:r w:rsidR="002E6905">
        <w:t>1</w:t>
      </w:r>
      <w:r>
        <w:t xml:space="preserve">% and 11% respectively. </w:t>
      </w:r>
    </w:p>
    <w:p w14:paraId="00E189C6" w14:textId="20024ABB" w:rsidR="00C030F1" w:rsidRDefault="00C91213" w:rsidP="00420443">
      <w:r w:rsidRPr="00C91213">
        <w:t>Lower value materials, such as waste from construction and demolition activities, garden organics and glass fines, are rarely, if at all, exported as it is financially prohibitive to do so.</w:t>
      </w:r>
      <w:r w:rsidR="00C030F1">
        <w:t xml:space="preserve"> M</w:t>
      </w:r>
      <w:r w:rsidR="00C030F1" w:rsidRPr="00C91213">
        <w:t>ost of the recovered material currently exported had previously been sent to landfill, with a proportion of it coming from stockpiles.</w:t>
      </w:r>
      <w:bookmarkEnd w:id="34"/>
      <w:bookmarkEnd w:id="35"/>
      <w:r w:rsidRPr="00C91213">
        <w:t xml:space="preserve"> </w:t>
      </w:r>
    </w:p>
    <w:p w14:paraId="313C9909" w14:textId="1C0C1E20" w:rsidR="00C91213" w:rsidRDefault="00C91213" w:rsidP="00EA0196">
      <w:pPr>
        <w:pStyle w:val="Caption"/>
        <w:keepLines/>
        <w:rPr>
          <w:rFonts w:cs="Arial"/>
          <w:color w:val="auto"/>
        </w:rPr>
      </w:pPr>
      <w:bookmarkStart w:id="38" w:name="_Toc460413174"/>
      <w:bookmarkStart w:id="39" w:name="_Toc461436977"/>
      <w:bookmarkStart w:id="40" w:name="_Toc461438993"/>
      <w:r w:rsidRPr="00C91213">
        <w:rPr>
          <w:rFonts w:cs="Arial"/>
          <w:color w:val="auto"/>
        </w:rPr>
        <w:t xml:space="preserve">Figure </w:t>
      </w:r>
      <w:r w:rsidR="00602D73">
        <w:rPr>
          <w:rFonts w:cs="Arial"/>
          <w:color w:val="auto"/>
        </w:rPr>
        <w:t>7</w:t>
      </w:r>
      <w:r w:rsidR="00602D73" w:rsidRPr="00C91213">
        <w:rPr>
          <w:rFonts w:cs="Arial"/>
          <w:color w:val="auto"/>
        </w:rPr>
        <w:t xml:space="preserve"> </w:t>
      </w:r>
      <w:r w:rsidRPr="00C91213">
        <w:rPr>
          <w:rFonts w:cs="Arial"/>
          <w:color w:val="auto"/>
        </w:rPr>
        <w:t>Material reprocessed and exported overseas or interstate, Victoria 200</w:t>
      </w:r>
      <w:r w:rsidR="00CF0E7E">
        <w:rPr>
          <w:rFonts w:cs="Arial"/>
          <w:color w:val="auto"/>
        </w:rPr>
        <w:t>7</w:t>
      </w:r>
      <w:r w:rsidRPr="00C91213">
        <w:rPr>
          <w:rFonts w:cs="Arial"/>
          <w:color w:val="auto"/>
        </w:rPr>
        <w:t>-0</w:t>
      </w:r>
      <w:r w:rsidR="00CF0E7E">
        <w:rPr>
          <w:rFonts w:cs="Arial"/>
          <w:color w:val="auto"/>
        </w:rPr>
        <w:t>8</w:t>
      </w:r>
      <w:r w:rsidRPr="00C91213">
        <w:rPr>
          <w:rFonts w:cs="Arial"/>
          <w:color w:val="auto"/>
        </w:rPr>
        <w:t xml:space="preserve"> to 201</w:t>
      </w:r>
      <w:r w:rsidR="00CF0E7E">
        <w:rPr>
          <w:rFonts w:cs="Arial"/>
          <w:color w:val="auto"/>
        </w:rPr>
        <w:t>6</w:t>
      </w:r>
      <w:r w:rsidRPr="00C91213">
        <w:rPr>
          <w:rFonts w:cs="Arial"/>
          <w:color w:val="auto"/>
        </w:rPr>
        <w:t>-1</w:t>
      </w:r>
      <w:bookmarkEnd w:id="38"/>
      <w:bookmarkEnd w:id="39"/>
      <w:bookmarkEnd w:id="40"/>
      <w:r w:rsidR="00CF0E7E">
        <w:rPr>
          <w:rFonts w:cs="Arial"/>
          <w:color w:val="auto"/>
        </w:rPr>
        <w:t>7</w:t>
      </w:r>
    </w:p>
    <w:p w14:paraId="3E9F7C6E" w14:textId="16492A6C" w:rsidR="00CF0E7E" w:rsidRPr="00CF0E7E" w:rsidRDefault="001229C1" w:rsidP="00CF0E7E">
      <w:r w:rsidRPr="001229C1">
        <w:rPr>
          <w:noProof/>
          <w:lang w:eastAsia="en-AU"/>
        </w:rPr>
        <w:drawing>
          <wp:inline distT="0" distB="0" distL="0" distR="0" wp14:anchorId="678CB6F6" wp14:editId="0EC03522">
            <wp:extent cx="4532400" cy="2811600"/>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2400" cy="2811600"/>
                    </a:xfrm>
                    <a:prstGeom prst="rect">
                      <a:avLst/>
                    </a:prstGeom>
                    <a:noFill/>
                    <a:ln>
                      <a:noFill/>
                    </a:ln>
                  </pic:spPr>
                </pic:pic>
              </a:graphicData>
            </a:graphic>
          </wp:inline>
        </w:drawing>
      </w:r>
    </w:p>
    <w:p w14:paraId="183AA180" w14:textId="238FBC12" w:rsidR="00C91213" w:rsidRPr="00C030F1" w:rsidRDefault="00C91213" w:rsidP="002E6905">
      <w:pPr>
        <w:keepLines/>
        <w:widowControl w:val="0"/>
        <w:rPr>
          <w:rFonts w:cs="Arial"/>
          <w:b/>
          <w:i/>
          <w:sz w:val="20"/>
        </w:rPr>
      </w:pPr>
      <w:r w:rsidRPr="00C030F1">
        <w:rPr>
          <w:rFonts w:cs="Arial"/>
          <w:b/>
          <w:i/>
          <w:sz w:val="20"/>
        </w:rPr>
        <w:t>Note: The two data sources in the above figure combine to create a cumulative total.</w:t>
      </w:r>
    </w:p>
    <w:p w14:paraId="3872E974" w14:textId="0B784F4D" w:rsidR="00D76117" w:rsidRPr="00CD2B3D" w:rsidRDefault="00C91213" w:rsidP="00420443">
      <w:bookmarkStart w:id="41" w:name="_Toc461439636"/>
      <w:r w:rsidRPr="00CD2B3D">
        <w:t xml:space="preserve">Figure </w:t>
      </w:r>
      <w:r w:rsidR="004F7D42">
        <w:t>8</w:t>
      </w:r>
      <w:r w:rsidR="004F7D42" w:rsidRPr="00CD2B3D">
        <w:t xml:space="preserve"> </w:t>
      </w:r>
      <w:r w:rsidR="00601ECE" w:rsidRPr="00CD2B3D">
        <w:t>show</w:t>
      </w:r>
      <w:r w:rsidR="00D76117" w:rsidRPr="00CD2B3D">
        <w:t>s</w:t>
      </w:r>
      <w:r w:rsidRPr="00CD2B3D">
        <w:t xml:space="preserve"> materials sent overseas and interstate for reprocessing</w:t>
      </w:r>
      <w:r w:rsidR="00D76117" w:rsidRPr="00CD2B3D">
        <w:t xml:space="preserve">. </w:t>
      </w:r>
      <w:r w:rsidR="0095212B">
        <w:rPr>
          <w:i/>
        </w:rPr>
        <w:t>Metal and paper / c</w:t>
      </w:r>
      <w:r w:rsidR="00D76117" w:rsidRPr="00CD2B3D">
        <w:rPr>
          <w:i/>
        </w:rPr>
        <w:t>ardboard</w:t>
      </w:r>
      <w:r w:rsidR="00D76117" w:rsidRPr="00CD2B3D">
        <w:t xml:space="preserve"> waste account for </w:t>
      </w:r>
      <w:r w:rsidR="008D2967" w:rsidRPr="00CD2B3D">
        <w:t>most</w:t>
      </w:r>
      <w:r w:rsidR="00D76117" w:rsidRPr="00CD2B3D">
        <w:t xml:space="preserve"> the exported material equating to 89% combined. </w:t>
      </w:r>
      <w:r w:rsidR="00D76117" w:rsidRPr="00074C2A">
        <w:rPr>
          <w:i/>
        </w:rPr>
        <w:t>Plastics</w:t>
      </w:r>
      <w:r w:rsidR="00D76117" w:rsidRPr="00CD2B3D">
        <w:t xml:space="preserve"> accounted for 8% and the rest of </w:t>
      </w:r>
      <w:r w:rsidR="00D9463F">
        <w:t xml:space="preserve">the </w:t>
      </w:r>
      <w:r w:rsidR="00D76117" w:rsidRPr="00CD2B3D">
        <w:t xml:space="preserve">categories accounted for the remaining. No </w:t>
      </w:r>
      <w:r w:rsidR="0095212B">
        <w:t>a</w:t>
      </w:r>
      <w:r w:rsidR="0095212B">
        <w:rPr>
          <w:i/>
        </w:rPr>
        <w:t>ggregates, masonry and s</w:t>
      </w:r>
      <w:r w:rsidR="00D76117" w:rsidRPr="00074C2A">
        <w:rPr>
          <w:i/>
        </w:rPr>
        <w:t>oil</w:t>
      </w:r>
      <w:r w:rsidR="00D76117" w:rsidRPr="00CD2B3D">
        <w:t xml:space="preserve"> left the state. Figure </w:t>
      </w:r>
      <w:r w:rsidR="004F7D42">
        <w:t>9</w:t>
      </w:r>
      <w:r w:rsidR="008D2967">
        <w:t xml:space="preserve"> </w:t>
      </w:r>
      <w:r w:rsidR="00D76117" w:rsidRPr="00CD2B3D">
        <w:t>shows the proportion</w:t>
      </w:r>
      <w:r w:rsidR="00B35307">
        <w:t>s</w:t>
      </w:r>
      <w:r w:rsidR="00D76117" w:rsidRPr="00CD2B3D">
        <w:t xml:space="preserve"> of material that remains in Victoria. </w:t>
      </w:r>
    </w:p>
    <w:p w14:paraId="014212DD" w14:textId="176C1DD7" w:rsidR="00C91213" w:rsidRDefault="00C91213" w:rsidP="000F2C4C">
      <w:pPr>
        <w:pStyle w:val="Caption"/>
        <w:keepNext/>
        <w:rPr>
          <w:rFonts w:cs="Arial"/>
          <w:color w:val="auto"/>
        </w:rPr>
      </w:pPr>
      <w:bookmarkStart w:id="42" w:name="_Toc460413175"/>
      <w:bookmarkStart w:id="43" w:name="_Toc461436978"/>
      <w:bookmarkStart w:id="44" w:name="_Toc461438994"/>
      <w:bookmarkEnd w:id="41"/>
      <w:r w:rsidRPr="00C91213">
        <w:rPr>
          <w:rFonts w:cs="Arial"/>
          <w:color w:val="auto"/>
        </w:rPr>
        <w:lastRenderedPageBreak/>
        <w:t xml:space="preserve">Figure </w:t>
      </w:r>
      <w:r w:rsidR="00602D73">
        <w:rPr>
          <w:rFonts w:cs="Arial"/>
          <w:color w:val="auto"/>
        </w:rPr>
        <w:t>8</w:t>
      </w:r>
      <w:r w:rsidR="00602D73" w:rsidRPr="00C91213">
        <w:rPr>
          <w:rFonts w:cs="Arial"/>
          <w:color w:val="auto"/>
        </w:rPr>
        <w:t xml:space="preserve"> </w:t>
      </w:r>
      <w:r w:rsidRPr="00C91213">
        <w:rPr>
          <w:rFonts w:cs="Arial"/>
          <w:color w:val="auto"/>
        </w:rPr>
        <w:t>Recovered material</w:t>
      </w:r>
      <w:r w:rsidR="00583E8F">
        <w:rPr>
          <w:rFonts w:cs="Arial"/>
          <w:color w:val="auto"/>
        </w:rPr>
        <w:t xml:space="preserve"> </w:t>
      </w:r>
      <w:r w:rsidRPr="00C91213">
        <w:rPr>
          <w:rFonts w:cs="Arial"/>
          <w:color w:val="auto"/>
        </w:rPr>
        <w:t xml:space="preserve">exported overseas </w:t>
      </w:r>
      <w:r w:rsidR="00583E8F">
        <w:rPr>
          <w:rFonts w:cs="Arial"/>
          <w:color w:val="auto"/>
        </w:rPr>
        <w:t>by material type, 201</w:t>
      </w:r>
      <w:r w:rsidR="002E6905">
        <w:rPr>
          <w:rFonts w:cs="Arial"/>
          <w:color w:val="auto"/>
        </w:rPr>
        <w:t>6</w:t>
      </w:r>
      <w:r w:rsidRPr="00C91213">
        <w:rPr>
          <w:rFonts w:cs="Arial"/>
          <w:color w:val="auto"/>
        </w:rPr>
        <w:t>-1</w:t>
      </w:r>
      <w:bookmarkEnd w:id="42"/>
      <w:bookmarkEnd w:id="43"/>
      <w:bookmarkEnd w:id="44"/>
      <w:r w:rsidR="002E6905">
        <w:rPr>
          <w:rFonts w:cs="Arial"/>
          <w:color w:val="auto"/>
        </w:rPr>
        <w:t>7</w:t>
      </w:r>
    </w:p>
    <w:p w14:paraId="0CAFE469" w14:textId="4A9D43A5" w:rsidR="00583E8F" w:rsidRPr="00583E8F" w:rsidRDefault="005C1905" w:rsidP="000F2C4C">
      <w:pPr>
        <w:keepNext/>
        <w:jc w:val="center"/>
      </w:pPr>
      <w:r w:rsidRPr="005C1905">
        <w:t xml:space="preserve">  </w:t>
      </w:r>
    </w:p>
    <w:p w14:paraId="67B0BED3" w14:textId="0F00FF26" w:rsidR="00583E8F" w:rsidRPr="00583E8F" w:rsidRDefault="0034297A" w:rsidP="000F2C4C">
      <w:pPr>
        <w:keepNext/>
        <w:jc w:val="center"/>
      </w:pPr>
      <w:r w:rsidRPr="0034297A">
        <w:rPr>
          <w:noProof/>
          <w:lang w:eastAsia="en-AU"/>
        </w:rPr>
        <w:drawing>
          <wp:inline distT="0" distB="0" distL="0" distR="0" wp14:anchorId="7CAA8442" wp14:editId="5B987E6A">
            <wp:extent cx="4111200" cy="23328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1200" cy="2332800"/>
                    </a:xfrm>
                    <a:prstGeom prst="rect">
                      <a:avLst/>
                    </a:prstGeom>
                    <a:noFill/>
                    <a:ln>
                      <a:noFill/>
                    </a:ln>
                  </pic:spPr>
                </pic:pic>
              </a:graphicData>
            </a:graphic>
          </wp:inline>
        </w:drawing>
      </w:r>
    </w:p>
    <w:p w14:paraId="5EDA4FD9" w14:textId="168D540F" w:rsidR="00C91213" w:rsidRDefault="00C91213" w:rsidP="00C91213">
      <w:pPr>
        <w:jc w:val="center"/>
        <w:rPr>
          <w:rFonts w:cs="Arial"/>
          <w:sz w:val="20"/>
          <w:szCs w:val="20"/>
        </w:rPr>
      </w:pPr>
    </w:p>
    <w:p w14:paraId="46DE83F6" w14:textId="27EAC71B" w:rsidR="00954A83" w:rsidRDefault="00954A83" w:rsidP="00C91213">
      <w:pPr>
        <w:jc w:val="center"/>
        <w:rPr>
          <w:rFonts w:cs="Arial"/>
          <w:sz w:val="20"/>
          <w:szCs w:val="20"/>
        </w:rPr>
      </w:pPr>
    </w:p>
    <w:p w14:paraId="74E50E7A" w14:textId="77777777" w:rsidR="00954A83" w:rsidRPr="00C91213" w:rsidRDefault="00954A83" w:rsidP="00C91213">
      <w:pPr>
        <w:jc w:val="center"/>
        <w:rPr>
          <w:rFonts w:cs="Arial"/>
          <w:sz w:val="20"/>
          <w:szCs w:val="20"/>
        </w:rPr>
      </w:pPr>
    </w:p>
    <w:p w14:paraId="718D3464" w14:textId="2BB116A7" w:rsidR="00C91213" w:rsidRDefault="00C91213" w:rsidP="00C91213">
      <w:pPr>
        <w:pStyle w:val="Caption"/>
        <w:keepNext/>
        <w:rPr>
          <w:rFonts w:cs="Arial"/>
          <w:color w:val="auto"/>
        </w:rPr>
      </w:pPr>
      <w:bookmarkStart w:id="45" w:name="_Toc460413176"/>
      <w:bookmarkStart w:id="46" w:name="_Toc461436979"/>
      <w:bookmarkStart w:id="47" w:name="_Toc461438995"/>
      <w:r w:rsidRPr="00C91213">
        <w:rPr>
          <w:rFonts w:cs="Arial"/>
          <w:color w:val="auto"/>
        </w:rPr>
        <w:t xml:space="preserve">Figure </w:t>
      </w:r>
      <w:r w:rsidR="00602D73">
        <w:rPr>
          <w:rFonts w:cs="Arial"/>
          <w:color w:val="auto"/>
        </w:rPr>
        <w:t>9</w:t>
      </w:r>
      <w:r w:rsidR="00602D73" w:rsidRPr="00C91213">
        <w:rPr>
          <w:rFonts w:cs="Arial"/>
          <w:color w:val="auto"/>
        </w:rPr>
        <w:t xml:space="preserve"> </w:t>
      </w:r>
      <w:r w:rsidRPr="00C91213">
        <w:rPr>
          <w:rFonts w:cs="Arial"/>
          <w:color w:val="auto"/>
        </w:rPr>
        <w:t xml:space="preserve">Recovered material remaining in Victoria by material type (excl. </w:t>
      </w:r>
      <w:r w:rsidRPr="00C91213">
        <w:rPr>
          <w:rFonts w:cs="Arial"/>
          <w:i/>
          <w:color w:val="auto"/>
        </w:rPr>
        <w:t>Aggregates, masonry &amp; soil</w:t>
      </w:r>
      <w:r w:rsidRPr="00C91213">
        <w:rPr>
          <w:rFonts w:cs="Arial"/>
          <w:color w:val="auto"/>
        </w:rPr>
        <w:t>), 201</w:t>
      </w:r>
      <w:r w:rsidR="00FC414F">
        <w:rPr>
          <w:rFonts w:cs="Arial"/>
          <w:color w:val="auto"/>
        </w:rPr>
        <w:t>6</w:t>
      </w:r>
      <w:r w:rsidRPr="00C91213">
        <w:rPr>
          <w:rFonts w:cs="Arial"/>
          <w:color w:val="auto"/>
        </w:rPr>
        <w:t>-1</w:t>
      </w:r>
      <w:bookmarkEnd w:id="45"/>
      <w:bookmarkEnd w:id="46"/>
      <w:bookmarkEnd w:id="47"/>
      <w:r w:rsidR="00FC414F">
        <w:rPr>
          <w:rFonts w:cs="Arial"/>
          <w:color w:val="auto"/>
        </w:rPr>
        <w:t>7</w:t>
      </w:r>
    </w:p>
    <w:p w14:paraId="6A6A98A9" w14:textId="21DB725A" w:rsidR="00F82B21" w:rsidRPr="00F82B21" w:rsidRDefault="003138A0" w:rsidP="0034297A">
      <w:pPr>
        <w:jc w:val="center"/>
      </w:pPr>
      <w:r>
        <w:t xml:space="preserve">         </w:t>
      </w:r>
      <w:r w:rsidR="0034297A" w:rsidRPr="0034297A">
        <w:rPr>
          <w:noProof/>
          <w:lang w:eastAsia="en-AU"/>
        </w:rPr>
        <w:drawing>
          <wp:inline distT="0" distB="0" distL="0" distR="0" wp14:anchorId="158A5192" wp14:editId="170722FC">
            <wp:extent cx="3384000" cy="235080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a:extLst>
                        <a:ext uri="{28A0092B-C50C-407E-A947-70E740481C1C}">
                          <a14:useLocalDpi xmlns:a14="http://schemas.microsoft.com/office/drawing/2010/main" val="0"/>
                        </a:ext>
                      </a:extLst>
                    </a:blip>
                    <a:srcRect l="12698" r="5580"/>
                    <a:stretch/>
                  </pic:blipFill>
                  <pic:spPr bwMode="auto">
                    <a:xfrm>
                      <a:off x="0" y="0"/>
                      <a:ext cx="3384000" cy="2350800"/>
                    </a:xfrm>
                    <a:prstGeom prst="rect">
                      <a:avLst/>
                    </a:prstGeom>
                    <a:noFill/>
                    <a:ln>
                      <a:noFill/>
                    </a:ln>
                    <a:extLst>
                      <a:ext uri="{53640926-AAD7-44D8-BBD7-CCE9431645EC}">
                        <a14:shadowObscured xmlns:a14="http://schemas.microsoft.com/office/drawing/2010/main"/>
                      </a:ext>
                    </a:extLst>
                  </pic:spPr>
                </pic:pic>
              </a:graphicData>
            </a:graphic>
          </wp:inline>
        </w:drawing>
      </w:r>
      <w:r w:rsidR="00F82B21" w:rsidRPr="00F82B21">
        <w:t xml:space="preserve"> </w:t>
      </w:r>
    </w:p>
    <w:p w14:paraId="08EACAAA" w14:textId="30CA45C8" w:rsidR="00583E8F" w:rsidRDefault="00583E8F" w:rsidP="00583E8F"/>
    <w:p w14:paraId="0D7C2291" w14:textId="714779B1" w:rsidR="004B2628" w:rsidRDefault="004B2628" w:rsidP="004B2628">
      <w:pPr>
        <w:pStyle w:val="CommentText"/>
      </w:pPr>
    </w:p>
    <w:p w14:paraId="227DDDBD" w14:textId="0A63CC36" w:rsidR="004262AF" w:rsidRPr="0076363E" w:rsidRDefault="0076363E" w:rsidP="0076363E">
      <w:r>
        <w:br w:type="page"/>
      </w:r>
      <w:bookmarkStart w:id="48" w:name="_Toc461439637"/>
    </w:p>
    <w:p w14:paraId="5A52F2AE" w14:textId="12AE3900" w:rsidR="00C91213" w:rsidRPr="005A3C70" w:rsidRDefault="00C91213" w:rsidP="001354FA">
      <w:pPr>
        <w:pStyle w:val="Heading2"/>
      </w:pPr>
      <w:bookmarkStart w:id="49" w:name="_Toc525308008"/>
      <w:r w:rsidRPr="005A3C70">
        <w:lastRenderedPageBreak/>
        <w:t>Product markets</w:t>
      </w:r>
      <w:bookmarkEnd w:id="48"/>
      <w:bookmarkEnd w:id="49"/>
    </w:p>
    <w:p w14:paraId="3B34DCE5" w14:textId="77777777" w:rsidR="00C91213" w:rsidRPr="00C91213" w:rsidRDefault="00C91213" w:rsidP="00420443">
      <w:r w:rsidRPr="00C91213">
        <w:t>Once reprocessed, materials are directed into different markets according to quality and degree of processing required.</w:t>
      </w:r>
      <w:r w:rsidRPr="00C91213" w:rsidDel="00B87CBB">
        <w:t xml:space="preserve"> </w:t>
      </w:r>
      <w:r w:rsidRPr="00C91213">
        <w:t xml:space="preserve">Commonly reprocessed industrial materials, such as </w:t>
      </w:r>
      <w:r w:rsidRPr="0095212B">
        <w:rPr>
          <w:i/>
        </w:rPr>
        <w:t xml:space="preserve">metal </w:t>
      </w:r>
      <w:r w:rsidRPr="00C91213">
        <w:t xml:space="preserve">and </w:t>
      </w:r>
      <w:r w:rsidRPr="0095212B">
        <w:rPr>
          <w:i/>
        </w:rPr>
        <w:t>rubber</w:t>
      </w:r>
      <w:r w:rsidRPr="00C91213">
        <w:t xml:space="preserve">, are generally sold into the manufacturing industry for production of new metal or rubber products. Recovered </w:t>
      </w:r>
      <w:r w:rsidRPr="0095212B">
        <w:rPr>
          <w:i/>
        </w:rPr>
        <w:t>glass</w:t>
      </w:r>
      <w:r w:rsidRPr="00C91213">
        <w:t xml:space="preserve"> and </w:t>
      </w:r>
      <w:r w:rsidRPr="0095212B">
        <w:rPr>
          <w:i/>
        </w:rPr>
        <w:t xml:space="preserve">paper </w:t>
      </w:r>
      <w:r w:rsidRPr="00C91213">
        <w:t>are usually manufactured back into glass and paper. Although paper can be recycled seven or eight times before it loses its ‘recyclability’, glass bottles and jars can generally be recycled indefinitely.</w:t>
      </w:r>
    </w:p>
    <w:p w14:paraId="760B154E" w14:textId="2159B9AB" w:rsidR="00C91213" w:rsidRPr="00C91213" w:rsidRDefault="0095212B" w:rsidP="00420443">
      <w:r>
        <w:rPr>
          <w:i/>
        </w:rPr>
        <w:t>Aggregates, masonry and</w:t>
      </w:r>
      <w:r w:rsidR="00C91213" w:rsidRPr="00C91213">
        <w:rPr>
          <w:i/>
        </w:rPr>
        <w:t xml:space="preserve"> soil</w:t>
      </w:r>
      <w:r w:rsidR="00C91213" w:rsidRPr="00C91213">
        <w:t xml:space="preserve"> material is usually directed back into the construction industry as recycled concrete, brick and rubble, which is used to build the load-bearing ‘base’ layers of roads and pavements.</w:t>
      </w:r>
    </w:p>
    <w:p w14:paraId="223D428E" w14:textId="74ACC706" w:rsidR="00C91213" w:rsidRPr="00C91213" w:rsidRDefault="00C91213" w:rsidP="00420443">
      <w:r w:rsidRPr="00C91213">
        <w:rPr>
          <w:i/>
        </w:rPr>
        <w:t>Organic</w:t>
      </w:r>
      <w:r w:rsidRPr="00C91213">
        <w:t xml:space="preserve"> waste is processed at licensed facilities where it is</w:t>
      </w:r>
      <w:r w:rsidR="0095212B">
        <w:t xml:space="preserve"> typically</w:t>
      </w:r>
      <w:r w:rsidRPr="00C91213">
        <w:t xml:space="preserve"> turned into composted soil conditioner and mulch products. Often these materials are then blended with other soil products to be sold by nurseries or used in the landscaping industry. More recycled organic products are now used in high-value applications such as intensive horticulture and viticulture.</w:t>
      </w:r>
    </w:p>
    <w:p w14:paraId="388D74A6" w14:textId="3E07D0BC" w:rsidR="00CE75A7" w:rsidRDefault="00C91213" w:rsidP="00420443">
      <w:r w:rsidRPr="00C91213">
        <w:rPr>
          <w:i/>
        </w:rPr>
        <w:t>Plastics</w:t>
      </w:r>
      <w:r w:rsidRPr="00C91213">
        <w:t xml:space="preserve"> are reprocessed into an ever-growing range of valuable packaging, construction, household and automotive goods. The </w:t>
      </w:r>
      <w:r w:rsidRPr="00C91213">
        <w:rPr>
          <w:i/>
        </w:rPr>
        <w:t>201</w:t>
      </w:r>
      <w:r w:rsidR="007A357D">
        <w:rPr>
          <w:i/>
        </w:rPr>
        <w:t>6</w:t>
      </w:r>
      <w:r w:rsidRPr="00C91213">
        <w:rPr>
          <w:i/>
        </w:rPr>
        <w:t>-1</w:t>
      </w:r>
      <w:r w:rsidR="007A357D">
        <w:rPr>
          <w:i/>
        </w:rPr>
        <w:t>7</w:t>
      </w:r>
      <w:r w:rsidRPr="00C91213">
        <w:t xml:space="preserve"> </w:t>
      </w:r>
      <w:r w:rsidR="0000536E">
        <w:rPr>
          <w:i/>
        </w:rPr>
        <w:t>Australian</w:t>
      </w:r>
      <w:r w:rsidRPr="00C91213">
        <w:rPr>
          <w:i/>
        </w:rPr>
        <w:t xml:space="preserve"> Plastics Recycling Survey</w:t>
      </w:r>
      <w:r w:rsidR="00FC4C03">
        <w:rPr>
          <w:rStyle w:val="FootnoteReference"/>
          <w:rFonts w:cs="Arial"/>
          <w:i/>
          <w:sz w:val="20"/>
          <w:szCs w:val="20"/>
        </w:rPr>
        <w:footnoteReference w:id="4"/>
      </w:r>
      <w:r w:rsidRPr="00C91213">
        <w:rPr>
          <w:i/>
        </w:rPr>
        <w:t xml:space="preserve"> </w:t>
      </w:r>
      <w:r w:rsidRPr="00C91213">
        <w:t>list</w:t>
      </w:r>
      <w:r w:rsidR="004262AF">
        <w:t>s</w:t>
      </w:r>
      <w:r w:rsidRPr="00C91213">
        <w:t xml:space="preserve"> the</w:t>
      </w:r>
      <w:r w:rsidR="00A46BD9" w:rsidRPr="00A46BD9">
        <w:t xml:space="preserve"> major product types within each application area </w:t>
      </w:r>
      <w:r w:rsidR="00A46BD9" w:rsidRPr="00C91213">
        <w:t>(</w:t>
      </w:r>
      <w:r w:rsidR="004262AF">
        <w:t>Table 5</w:t>
      </w:r>
      <w:r w:rsidR="00C3173D">
        <w:t>)</w:t>
      </w:r>
      <w:r w:rsidRPr="00C91213">
        <w:t>.</w:t>
      </w:r>
      <w:bookmarkStart w:id="50" w:name="_Toc195527727"/>
    </w:p>
    <w:p w14:paraId="707964A1" w14:textId="75D313A9" w:rsidR="00C91213" w:rsidRPr="00C91213" w:rsidRDefault="00C91213" w:rsidP="00E63800">
      <w:pPr>
        <w:pStyle w:val="Caption"/>
        <w:keepNext/>
        <w:widowControl/>
        <w:rPr>
          <w:rFonts w:cs="Arial"/>
        </w:rPr>
      </w:pPr>
      <w:bookmarkStart w:id="51" w:name="_Toc460413181"/>
      <w:bookmarkStart w:id="52" w:name="_Toc461439094"/>
      <w:r w:rsidRPr="00C91213">
        <w:rPr>
          <w:rFonts w:cs="Arial"/>
        </w:rPr>
        <w:lastRenderedPageBreak/>
        <w:t xml:space="preserve">Table </w:t>
      </w:r>
      <w:r w:rsidRPr="00C91213">
        <w:rPr>
          <w:rFonts w:cs="Arial"/>
        </w:rPr>
        <w:fldChar w:fldCharType="begin"/>
      </w:r>
      <w:r w:rsidRPr="00C91213">
        <w:rPr>
          <w:rFonts w:cs="Arial"/>
        </w:rPr>
        <w:instrText xml:space="preserve"> SEQ Table \* ARABIC </w:instrText>
      </w:r>
      <w:r w:rsidRPr="00C91213">
        <w:rPr>
          <w:rFonts w:cs="Arial"/>
        </w:rPr>
        <w:fldChar w:fldCharType="separate"/>
      </w:r>
      <w:r w:rsidR="004F79B1">
        <w:rPr>
          <w:rFonts w:cs="Arial"/>
          <w:noProof/>
        </w:rPr>
        <w:t>5</w:t>
      </w:r>
      <w:r w:rsidRPr="00C91213">
        <w:rPr>
          <w:rFonts w:cs="Arial"/>
        </w:rPr>
        <w:fldChar w:fldCharType="end"/>
      </w:r>
      <w:r w:rsidRPr="00C91213">
        <w:rPr>
          <w:rFonts w:cs="Arial"/>
        </w:rPr>
        <w:t xml:space="preserve"> Summary of </w:t>
      </w:r>
      <w:bookmarkEnd w:id="50"/>
      <w:bookmarkEnd w:id="51"/>
      <w:bookmarkEnd w:id="52"/>
      <w:r w:rsidR="001419F6" w:rsidRPr="001419F6">
        <w:rPr>
          <w:rFonts w:cs="Arial"/>
        </w:rPr>
        <w:t>major product types within each application area</w:t>
      </w:r>
    </w:p>
    <w:tbl>
      <w:tblPr>
        <w:tblW w:w="5000" w:type="pct"/>
        <w:tblBorders>
          <w:insideH w:val="single" w:sz="4" w:space="0" w:color="7F7F7F" w:themeColor="text1" w:themeTint="80"/>
        </w:tblBorders>
        <w:tblLook w:val="0000" w:firstRow="0" w:lastRow="0" w:firstColumn="0" w:lastColumn="0" w:noHBand="0" w:noVBand="0"/>
      </w:tblPr>
      <w:tblGrid>
        <w:gridCol w:w="3118"/>
        <w:gridCol w:w="5908"/>
      </w:tblGrid>
      <w:tr w:rsidR="001419F6" w:rsidRPr="001847C4" w14:paraId="4AF9FB21" w14:textId="77777777" w:rsidTr="00107CD9">
        <w:tc>
          <w:tcPr>
            <w:tcW w:w="1727" w:type="pct"/>
            <w:tcBorders>
              <w:top w:val="single" w:sz="4" w:space="0" w:color="7F7F7F" w:themeColor="text1" w:themeTint="80"/>
              <w:bottom w:val="single" w:sz="4" w:space="0" w:color="7F7F7F" w:themeColor="text1" w:themeTint="80"/>
            </w:tcBorders>
            <w:shd w:val="clear" w:color="auto" w:fill="92D050"/>
            <w:vAlign w:val="bottom"/>
          </w:tcPr>
          <w:p w14:paraId="048A5BD9" w14:textId="44E2AB54" w:rsidR="001419F6" w:rsidRPr="001847C4" w:rsidRDefault="001419F6" w:rsidP="00B300C1">
            <w:pPr>
              <w:pStyle w:val="TableText"/>
              <w:keepNext/>
              <w:widowControl/>
              <w:rPr>
                <w:rFonts w:cs="Arial"/>
                <w:b/>
                <w:color w:val="FFFFFF" w:themeColor="background1"/>
                <w:sz w:val="20"/>
              </w:rPr>
            </w:pPr>
            <w:r w:rsidRPr="001847C4">
              <w:rPr>
                <w:rFonts w:cs="Arial"/>
                <w:b/>
                <w:color w:val="FFFFFF" w:themeColor="background1"/>
                <w:sz w:val="20"/>
              </w:rPr>
              <w:t>Application area</w:t>
            </w:r>
          </w:p>
        </w:tc>
        <w:tc>
          <w:tcPr>
            <w:tcW w:w="3273" w:type="pct"/>
            <w:tcBorders>
              <w:top w:val="single" w:sz="4" w:space="0" w:color="7F7F7F" w:themeColor="text1" w:themeTint="80"/>
              <w:bottom w:val="single" w:sz="4" w:space="0" w:color="7F7F7F" w:themeColor="text1" w:themeTint="80"/>
            </w:tcBorders>
            <w:shd w:val="clear" w:color="auto" w:fill="92D050"/>
            <w:vAlign w:val="bottom"/>
          </w:tcPr>
          <w:p w14:paraId="4AF242D0" w14:textId="246AEDF6" w:rsidR="001419F6" w:rsidRPr="001847C4" w:rsidRDefault="001419F6" w:rsidP="00B300C1">
            <w:pPr>
              <w:pStyle w:val="TableText"/>
              <w:keepNext/>
              <w:widowControl/>
              <w:rPr>
                <w:rFonts w:cs="Arial"/>
                <w:b/>
                <w:color w:val="FFFFFF" w:themeColor="background1"/>
                <w:sz w:val="20"/>
              </w:rPr>
            </w:pPr>
            <w:r w:rsidRPr="001847C4">
              <w:rPr>
                <w:rFonts w:cs="Arial"/>
                <w:b/>
                <w:color w:val="FFFFFF" w:themeColor="background1"/>
                <w:sz w:val="20"/>
              </w:rPr>
              <w:t>Product types</w:t>
            </w:r>
          </w:p>
        </w:tc>
      </w:tr>
      <w:tr w:rsidR="001419F6" w:rsidRPr="001847C4" w14:paraId="3AC04EC1" w14:textId="77777777" w:rsidTr="00107CD9">
        <w:tc>
          <w:tcPr>
            <w:tcW w:w="1727" w:type="pct"/>
            <w:tcBorders>
              <w:top w:val="single" w:sz="4" w:space="0" w:color="7F7F7F" w:themeColor="text1" w:themeTint="80"/>
            </w:tcBorders>
            <w:vAlign w:val="center"/>
          </w:tcPr>
          <w:p w14:paraId="48D88BFA" w14:textId="2BA43BE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Agriculture</w:t>
            </w:r>
          </w:p>
        </w:tc>
        <w:tc>
          <w:tcPr>
            <w:tcW w:w="3273" w:type="pct"/>
            <w:tcBorders>
              <w:top w:val="single" w:sz="4" w:space="0" w:color="7F7F7F" w:themeColor="text1" w:themeTint="80"/>
            </w:tcBorders>
            <w:vAlign w:val="center"/>
          </w:tcPr>
          <w:p w14:paraId="28209910"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Flexible film</w:t>
            </w:r>
          </w:p>
          <w:p w14:paraId="13CFAF05"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Twine and rope</w:t>
            </w:r>
          </w:p>
          <w:p w14:paraId="367ED50E" w14:textId="7FE2A59B"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Other agricultural applications </w:t>
            </w:r>
          </w:p>
        </w:tc>
      </w:tr>
      <w:tr w:rsidR="001419F6" w:rsidRPr="001847C4" w14:paraId="5BE321CD" w14:textId="77777777" w:rsidTr="00B300C1">
        <w:tc>
          <w:tcPr>
            <w:tcW w:w="1727" w:type="pct"/>
            <w:vAlign w:val="center"/>
          </w:tcPr>
          <w:p w14:paraId="7AA4E07F" w14:textId="364CFDA1"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Automotive </w:t>
            </w:r>
          </w:p>
        </w:tc>
        <w:tc>
          <w:tcPr>
            <w:tcW w:w="3273" w:type="pct"/>
            <w:vAlign w:val="center"/>
          </w:tcPr>
          <w:p w14:paraId="6F00F471"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Vehicle body</w:t>
            </w:r>
          </w:p>
          <w:p w14:paraId="1D2037F1"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Tyres</w:t>
            </w:r>
          </w:p>
          <w:p w14:paraId="2245693E" w14:textId="27FEF836"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Other automotive </w:t>
            </w:r>
          </w:p>
        </w:tc>
      </w:tr>
      <w:tr w:rsidR="001419F6" w:rsidRPr="001847C4" w14:paraId="7DCB6BCA" w14:textId="77777777" w:rsidTr="00B300C1">
        <w:tc>
          <w:tcPr>
            <w:tcW w:w="1727" w:type="pct"/>
          </w:tcPr>
          <w:p w14:paraId="649B699F" w14:textId="59B3B2CA"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Built environment </w:t>
            </w:r>
          </w:p>
        </w:tc>
        <w:tc>
          <w:tcPr>
            <w:tcW w:w="3273" w:type="pct"/>
            <w:vAlign w:val="center"/>
          </w:tcPr>
          <w:p w14:paraId="4065BC47"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Pipes and cables</w:t>
            </w:r>
          </w:p>
          <w:p w14:paraId="10B0A1CC"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Windows and doors</w:t>
            </w:r>
          </w:p>
          <w:p w14:paraId="6B38E59B"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Insulation</w:t>
            </w:r>
          </w:p>
          <w:p w14:paraId="35365574"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Fit-out</w:t>
            </w:r>
          </w:p>
          <w:p w14:paraId="25F9967E"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Carpet and other floor coverings</w:t>
            </w:r>
          </w:p>
          <w:p w14:paraId="392FE75B" w14:textId="0763219B"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Other built environment </w:t>
            </w:r>
          </w:p>
        </w:tc>
      </w:tr>
      <w:tr w:rsidR="001419F6" w:rsidRPr="001847C4" w14:paraId="5F2D1E4F" w14:textId="77777777" w:rsidTr="00B300C1">
        <w:tc>
          <w:tcPr>
            <w:tcW w:w="1727" w:type="pct"/>
          </w:tcPr>
          <w:p w14:paraId="2F2570ED" w14:textId="670279C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Electrical &amp; electronic</w:t>
            </w:r>
          </w:p>
        </w:tc>
        <w:tc>
          <w:tcPr>
            <w:tcW w:w="3273" w:type="pct"/>
          </w:tcPr>
          <w:p w14:paraId="15C3BC4F"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TVs and computers</w:t>
            </w:r>
          </w:p>
          <w:p w14:paraId="06670DAC"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Power tools</w:t>
            </w:r>
          </w:p>
          <w:p w14:paraId="4B32E769"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Toys</w:t>
            </w:r>
          </w:p>
          <w:p w14:paraId="474E707E"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White goods and small appliances</w:t>
            </w:r>
          </w:p>
          <w:p w14:paraId="4A69FD74" w14:textId="4EDA749C"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Other electrical and electronic </w:t>
            </w:r>
          </w:p>
        </w:tc>
      </w:tr>
      <w:tr w:rsidR="001419F6" w:rsidRPr="001847C4" w14:paraId="55059CC6" w14:textId="77777777" w:rsidTr="00B300C1">
        <w:tc>
          <w:tcPr>
            <w:tcW w:w="1727" w:type="pct"/>
            <w:vAlign w:val="center"/>
          </w:tcPr>
          <w:p w14:paraId="0C5E14AF" w14:textId="6A8589F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Packaging – municipal </w:t>
            </w:r>
          </w:p>
        </w:tc>
        <w:tc>
          <w:tcPr>
            <w:tcW w:w="3273" w:type="pct"/>
            <w:vAlign w:val="center"/>
          </w:tcPr>
          <w:p w14:paraId="356F9CDF"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Flexible packaging</w:t>
            </w:r>
          </w:p>
          <w:p w14:paraId="74623FAA" w14:textId="3EB24A8A" w:rsidR="001419F6" w:rsidRPr="001847C4" w:rsidRDefault="001419F6" w:rsidP="00E63800">
            <w:pPr>
              <w:pStyle w:val="StyleTableTextRight"/>
              <w:keepNext/>
              <w:widowControl/>
              <w:jc w:val="left"/>
              <w:rPr>
                <w:rFonts w:cs="Arial"/>
                <w:color w:val="auto"/>
                <w:sz w:val="20"/>
              </w:rPr>
            </w:pPr>
            <w:r w:rsidRPr="001847C4">
              <w:rPr>
                <w:rFonts w:cs="Arial"/>
                <w:color w:val="auto"/>
                <w:sz w:val="20"/>
              </w:rPr>
              <w:t>Rigid packaging</w:t>
            </w:r>
          </w:p>
          <w:p w14:paraId="104C2A76" w14:textId="509CD751"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Other packaging </w:t>
            </w:r>
          </w:p>
        </w:tc>
      </w:tr>
      <w:tr w:rsidR="001419F6" w:rsidRPr="001847C4" w14:paraId="2899EA46" w14:textId="77777777" w:rsidTr="00107CD9">
        <w:tc>
          <w:tcPr>
            <w:tcW w:w="1727" w:type="pct"/>
            <w:tcBorders>
              <w:bottom w:val="single" w:sz="4" w:space="0" w:color="7F7F7F" w:themeColor="text1" w:themeTint="80"/>
            </w:tcBorders>
            <w:vAlign w:val="center"/>
          </w:tcPr>
          <w:p w14:paraId="1577C703" w14:textId="5D73D94B" w:rsidR="001419F6" w:rsidRPr="001847C4" w:rsidRDefault="001419F6" w:rsidP="00E63800">
            <w:pPr>
              <w:pStyle w:val="StyleTableTextRight"/>
              <w:keepNext/>
              <w:widowControl/>
              <w:jc w:val="left"/>
              <w:rPr>
                <w:rFonts w:cs="Arial"/>
                <w:color w:val="auto"/>
                <w:sz w:val="20"/>
              </w:rPr>
            </w:pPr>
            <w:r w:rsidRPr="001847C4">
              <w:rPr>
                <w:rFonts w:cs="Arial"/>
                <w:color w:val="auto"/>
                <w:sz w:val="20"/>
              </w:rPr>
              <w:t xml:space="preserve">Packaging – C&amp;I </w:t>
            </w:r>
          </w:p>
        </w:tc>
        <w:tc>
          <w:tcPr>
            <w:tcW w:w="3273" w:type="pct"/>
            <w:tcBorders>
              <w:bottom w:val="single" w:sz="4" w:space="0" w:color="7F7F7F" w:themeColor="text1" w:themeTint="80"/>
            </w:tcBorders>
            <w:vAlign w:val="center"/>
          </w:tcPr>
          <w:p w14:paraId="188705BD"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Flexible packaging</w:t>
            </w:r>
          </w:p>
          <w:p w14:paraId="0EF3EFA4" w14:textId="77777777" w:rsidR="001419F6" w:rsidRPr="001847C4" w:rsidRDefault="001419F6" w:rsidP="00E63800">
            <w:pPr>
              <w:pStyle w:val="StyleTableTextRight"/>
              <w:keepNext/>
              <w:widowControl/>
              <w:jc w:val="left"/>
              <w:rPr>
                <w:rFonts w:cs="Arial"/>
                <w:color w:val="auto"/>
                <w:sz w:val="20"/>
              </w:rPr>
            </w:pPr>
            <w:r w:rsidRPr="001847C4">
              <w:rPr>
                <w:rFonts w:cs="Arial"/>
                <w:color w:val="auto"/>
                <w:sz w:val="20"/>
              </w:rPr>
              <w:t>Rigid packaging</w:t>
            </w:r>
          </w:p>
          <w:p w14:paraId="2F1A8CD7" w14:textId="3F3D2119" w:rsidR="001419F6" w:rsidRPr="001847C4" w:rsidRDefault="001419F6" w:rsidP="00E63800">
            <w:pPr>
              <w:pStyle w:val="StyleTableTextRight"/>
              <w:keepNext/>
              <w:widowControl/>
              <w:jc w:val="left"/>
              <w:rPr>
                <w:rFonts w:cs="Arial"/>
                <w:color w:val="auto"/>
                <w:sz w:val="20"/>
              </w:rPr>
            </w:pPr>
            <w:r w:rsidRPr="001847C4">
              <w:rPr>
                <w:rFonts w:cs="Arial"/>
                <w:color w:val="auto"/>
                <w:sz w:val="20"/>
              </w:rPr>
              <w:t>Other packaging</w:t>
            </w:r>
          </w:p>
        </w:tc>
      </w:tr>
      <w:tr w:rsidR="001419F6" w:rsidRPr="001847C4" w14:paraId="5732B630" w14:textId="77777777" w:rsidTr="00107CD9">
        <w:tc>
          <w:tcPr>
            <w:tcW w:w="1727" w:type="pct"/>
            <w:tcBorders>
              <w:top w:val="single" w:sz="4" w:space="0" w:color="7F7F7F" w:themeColor="text1" w:themeTint="80"/>
              <w:bottom w:val="single" w:sz="4" w:space="0" w:color="7F7F7F" w:themeColor="text1" w:themeTint="80"/>
            </w:tcBorders>
            <w:vAlign w:val="center"/>
          </w:tcPr>
          <w:p w14:paraId="016FC53E" w14:textId="1FFBFFF5" w:rsidR="001419F6" w:rsidRPr="001847C4" w:rsidRDefault="001419F6" w:rsidP="00E63800">
            <w:pPr>
              <w:pStyle w:val="StyleTableTextRight"/>
              <w:keepNext/>
              <w:widowControl/>
              <w:jc w:val="left"/>
              <w:rPr>
                <w:rFonts w:cs="Arial"/>
                <w:color w:val="auto"/>
                <w:sz w:val="20"/>
              </w:rPr>
            </w:pPr>
            <w:r w:rsidRPr="001847C4">
              <w:rPr>
                <w:rFonts w:cs="Arial"/>
                <w:color w:val="auto"/>
                <w:sz w:val="20"/>
              </w:rPr>
              <w:t>Other application area</w:t>
            </w:r>
          </w:p>
        </w:tc>
        <w:tc>
          <w:tcPr>
            <w:tcW w:w="3273" w:type="pct"/>
            <w:tcBorders>
              <w:top w:val="single" w:sz="4" w:space="0" w:color="7F7F7F" w:themeColor="text1" w:themeTint="80"/>
              <w:bottom w:val="single" w:sz="4" w:space="0" w:color="7F7F7F" w:themeColor="text1" w:themeTint="80"/>
            </w:tcBorders>
            <w:vAlign w:val="center"/>
          </w:tcPr>
          <w:p w14:paraId="0E044EDB" w14:textId="77777777" w:rsidR="001419F6" w:rsidRPr="001847C4" w:rsidRDefault="001419F6" w:rsidP="00E63800">
            <w:pPr>
              <w:pStyle w:val="StyleTableTextRight"/>
              <w:keepNext/>
              <w:widowControl/>
              <w:jc w:val="left"/>
              <w:rPr>
                <w:color w:val="auto"/>
                <w:sz w:val="20"/>
              </w:rPr>
            </w:pPr>
            <w:r w:rsidRPr="001847C4">
              <w:rPr>
                <w:color w:val="auto"/>
                <w:sz w:val="20"/>
              </w:rPr>
              <w:t>Household products</w:t>
            </w:r>
          </w:p>
          <w:p w14:paraId="2C629055" w14:textId="77777777" w:rsidR="001419F6" w:rsidRPr="001847C4" w:rsidRDefault="001419F6" w:rsidP="00E63800">
            <w:pPr>
              <w:pStyle w:val="StyleTableTextRight"/>
              <w:keepNext/>
              <w:widowControl/>
              <w:jc w:val="left"/>
              <w:rPr>
                <w:color w:val="auto"/>
                <w:sz w:val="20"/>
              </w:rPr>
            </w:pPr>
            <w:r w:rsidRPr="001847C4">
              <w:rPr>
                <w:color w:val="auto"/>
                <w:sz w:val="20"/>
              </w:rPr>
              <w:t>Furniture</w:t>
            </w:r>
          </w:p>
          <w:p w14:paraId="06FF03A8" w14:textId="77777777" w:rsidR="001419F6" w:rsidRPr="001847C4" w:rsidRDefault="001419F6" w:rsidP="00E63800">
            <w:pPr>
              <w:pStyle w:val="StyleTableTextRight"/>
              <w:keepNext/>
              <w:widowControl/>
              <w:jc w:val="left"/>
              <w:rPr>
                <w:color w:val="auto"/>
                <w:sz w:val="20"/>
              </w:rPr>
            </w:pPr>
            <w:r w:rsidRPr="001847C4">
              <w:rPr>
                <w:color w:val="auto"/>
                <w:sz w:val="20"/>
              </w:rPr>
              <w:t>Clothing and footwear</w:t>
            </w:r>
          </w:p>
          <w:p w14:paraId="0AF612A4" w14:textId="77777777" w:rsidR="001419F6" w:rsidRPr="001847C4" w:rsidRDefault="001419F6" w:rsidP="00E63800">
            <w:pPr>
              <w:pStyle w:val="StyleTableTextRight"/>
              <w:keepNext/>
              <w:widowControl/>
              <w:jc w:val="left"/>
              <w:rPr>
                <w:color w:val="auto"/>
                <w:sz w:val="20"/>
              </w:rPr>
            </w:pPr>
            <w:r w:rsidRPr="001847C4">
              <w:rPr>
                <w:color w:val="auto"/>
                <w:sz w:val="20"/>
              </w:rPr>
              <w:t>Rope, cable, twine and thread</w:t>
            </w:r>
          </w:p>
          <w:p w14:paraId="23BF3D79" w14:textId="77777777" w:rsidR="001419F6" w:rsidRPr="001847C4" w:rsidRDefault="001419F6" w:rsidP="00E63800">
            <w:pPr>
              <w:pStyle w:val="StyleTableTextRight"/>
              <w:keepNext/>
              <w:widowControl/>
              <w:jc w:val="left"/>
              <w:rPr>
                <w:color w:val="auto"/>
                <w:sz w:val="20"/>
              </w:rPr>
            </w:pPr>
            <w:r w:rsidRPr="001847C4">
              <w:rPr>
                <w:color w:val="auto"/>
                <w:sz w:val="20"/>
              </w:rPr>
              <w:t>Textiles</w:t>
            </w:r>
          </w:p>
          <w:p w14:paraId="37EE9764" w14:textId="377AC5FC" w:rsidR="001419F6" w:rsidRPr="001847C4" w:rsidRDefault="001419F6" w:rsidP="00E63800">
            <w:pPr>
              <w:pStyle w:val="StyleTableTextRight"/>
              <w:keepNext/>
              <w:widowControl/>
              <w:jc w:val="left"/>
              <w:rPr>
                <w:color w:val="auto"/>
                <w:sz w:val="20"/>
              </w:rPr>
            </w:pPr>
            <w:r w:rsidRPr="001847C4">
              <w:rPr>
                <w:color w:val="auto"/>
                <w:sz w:val="20"/>
              </w:rPr>
              <w:t xml:space="preserve">All other applications </w:t>
            </w:r>
          </w:p>
        </w:tc>
      </w:tr>
    </w:tbl>
    <w:p w14:paraId="5916C141" w14:textId="77777777" w:rsidR="001419F6" w:rsidRDefault="001419F6" w:rsidP="00E63800">
      <w:pPr>
        <w:keepNext/>
        <w:rPr>
          <w:rStyle w:val="Tablefooter"/>
          <w:rFonts w:cs="Arial"/>
          <w:szCs w:val="16"/>
        </w:rPr>
      </w:pPr>
    </w:p>
    <w:p w14:paraId="1213905F" w14:textId="40550780" w:rsidR="00C91213" w:rsidRPr="009053BF" w:rsidRDefault="00C91213" w:rsidP="00E63800">
      <w:pPr>
        <w:keepNext/>
        <w:rPr>
          <w:rStyle w:val="Tablefooter"/>
          <w:rFonts w:cs="Arial"/>
          <w:i/>
          <w:szCs w:val="16"/>
        </w:rPr>
      </w:pPr>
      <w:r w:rsidRPr="009053BF">
        <w:rPr>
          <w:rStyle w:val="Tablefooter"/>
          <w:rFonts w:cs="Arial"/>
          <w:szCs w:val="16"/>
        </w:rPr>
        <w:t xml:space="preserve">Source: </w:t>
      </w:r>
      <w:r w:rsidR="0000536E" w:rsidRPr="0000536E">
        <w:rPr>
          <w:rStyle w:val="Tablefooter"/>
          <w:rFonts w:cs="Arial"/>
          <w:szCs w:val="16"/>
        </w:rPr>
        <w:t>Envisage Works</w:t>
      </w:r>
      <w:r w:rsidRPr="009053BF">
        <w:rPr>
          <w:rStyle w:val="Tablefooter"/>
          <w:rFonts w:cs="Arial"/>
          <w:szCs w:val="16"/>
        </w:rPr>
        <w:t xml:space="preserve">, </w:t>
      </w:r>
      <w:r w:rsidRPr="009053BF">
        <w:rPr>
          <w:rStyle w:val="Tablefooter"/>
          <w:rFonts w:cs="Arial"/>
          <w:i/>
          <w:szCs w:val="16"/>
        </w:rPr>
        <w:t>201</w:t>
      </w:r>
      <w:r w:rsidR="008856B0">
        <w:rPr>
          <w:rStyle w:val="Tablefooter"/>
          <w:rFonts w:cs="Arial"/>
          <w:i/>
          <w:szCs w:val="16"/>
        </w:rPr>
        <w:t>6</w:t>
      </w:r>
      <w:r w:rsidRPr="009053BF">
        <w:rPr>
          <w:rStyle w:val="Tablefooter"/>
          <w:rFonts w:cs="Arial"/>
          <w:i/>
          <w:szCs w:val="16"/>
        </w:rPr>
        <w:t>-1</w:t>
      </w:r>
      <w:r w:rsidR="008856B0">
        <w:rPr>
          <w:rStyle w:val="Tablefooter"/>
          <w:rFonts w:cs="Arial"/>
          <w:i/>
          <w:szCs w:val="16"/>
        </w:rPr>
        <w:t>7</w:t>
      </w:r>
      <w:r w:rsidRPr="009053BF">
        <w:rPr>
          <w:rStyle w:val="Tablefooter"/>
          <w:rFonts w:cs="Arial"/>
          <w:i/>
          <w:szCs w:val="16"/>
        </w:rPr>
        <w:t xml:space="preserve"> </w:t>
      </w:r>
      <w:r w:rsidR="0000536E">
        <w:rPr>
          <w:rStyle w:val="Tablefooter"/>
          <w:rFonts w:cs="Arial"/>
          <w:i/>
          <w:szCs w:val="16"/>
        </w:rPr>
        <w:t>Australian</w:t>
      </w:r>
      <w:r w:rsidRPr="009053BF">
        <w:rPr>
          <w:rStyle w:val="Tablefooter"/>
          <w:rFonts w:cs="Arial"/>
          <w:i/>
          <w:szCs w:val="16"/>
        </w:rPr>
        <w:t xml:space="preserve"> Plastics Recycling Survey</w:t>
      </w:r>
    </w:p>
    <w:p w14:paraId="1396587E" w14:textId="77777777" w:rsidR="00C91213" w:rsidRDefault="00C91213" w:rsidP="00C91213">
      <w:pPr>
        <w:spacing w:after="0" w:line="240" w:lineRule="auto"/>
        <w:rPr>
          <w:rStyle w:val="Tablefooter"/>
          <w:i/>
          <w:sz w:val="15"/>
          <w:szCs w:val="15"/>
        </w:rPr>
      </w:pPr>
      <w:r>
        <w:rPr>
          <w:rStyle w:val="Tablefooter"/>
          <w:i/>
          <w:sz w:val="15"/>
          <w:szCs w:val="15"/>
        </w:rPr>
        <w:br w:type="page"/>
      </w:r>
    </w:p>
    <w:p w14:paraId="09CD944C" w14:textId="239EAF40" w:rsidR="00C91213" w:rsidRPr="004A3ABC" w:rsidRDefault="007C2987" w:rsidP="001354FA">
      <w:pPr>
        <w:pStyle w:val="Heading2"/>
      </w:pPr>
      <w:bookmarkStart w:id="53" w:name="_Toc462415205"/>
      <w:bookmarkStart w:id="54" w:name="_Toc525308009"/>
      <w:r w:rsidRPr="004A3ABC">
        <w:lastRenderedPageBreak/>
        <w:t xml:space="preserve">Appendix A: </w:t>
      </w:r>
      <w:bookmarkEnd w:id="53"/>
      <w:r w:rsidRPr="004A3ABC">
        <w:t>Glossary</w:t>
      </w:r>
      <w:bookmarkEnd w:id="54"/>
    </w:p>
    <w:p w14:paraId="71B30C6A" w14:textId="2423A994" w:rsidR="00201E49" w:rsidRPr="00201E49" w:rsidRDefault="00201E49" w:rsidP="00FC4C03">
      <w:pPr>
        <w:jc w:val="both"/>
        <w:rPr>
          <w:rFonts w:cs="Arial"/>
          <w:sz w:val="20"/>
          <w:szCs w:val="20"/>
        </w:rPr>
      </w:pPr>
      <w:r w:rsidRPr="00201E49">
        <w:rPr>
          <w:rFonts w:cs="Arial"/>
          <w:b/>
          <w:sz w:val="20"/>
          <w:szCs w:val="20"/>
        </w:rPr>
        <w:t>Commercial &amp; industrial (C&amp;I):</w:t>
      </w:r>
      <w:r w:rsidRPr="00201E49">
        <w:rPr>
          <w:rFonts w:cs="Arial"/>
          <w:sz w:val="20"/>
          <w:szCs w:val="20"/>
        </w:rPr>
        <w:t xml:space="preserve"> Comprises solid waste </w:t>
      </w:r>
      <w:r w:rsidR="00A03B97">
        <w:rPr>
          <w:rFonts w:cs="Arial"/>
          <w:sz w:val="20"/>
          <w:szCs w:val="20"/>
        </w:rPr>
        <w:t>managed</w:t>
      </w:r>
      <w:r w:rsidR="00A03B97" w:rsidRPr="00201E49">
        <w:rPr>
          <w:rFonts w:cs="Arial"/>
          <w:sz w:val="20"/>
          <w:szCs w:val="20"/>
        </w:rPr>
        <w:t xml:space="preserve"> </w:t>
      </w:r>
      <w:r w:rsidRPr="00201E49">
        <w:rPr>
          <w:rFonts w:cs="Arial"/>
          <w:sz w:val="20"/>
          <w:szCs w:val="20"/>
        </w:rPr>
        <w:t xml:space="preserve">by the business sector as well as solid waste created by state and federal government entities, schools and tertiary institutions. Unless otherwise noted, C&amp;I waste does not include waste from the Construction &amp; </w:t>
      </w:r>
      <w:r w:rsidR="00D328B3">
        <w:rPr>
          <w:rFonts w:cs="Arial"/>
          <w:sz w:val="20"/>
          <w:szCs w:val="20"/>
        </w:rPr>
        <w:t>D</w:t>
      </w:r>
      <w:r w:rsidRPr="00201E49">
        <w:rPr>
          <w:rFonts w:cs="Arial"/>
          <w:sz w:val="20"/>
          <w:szCs w:val="20"/>
        </w:rPr>
        <w:t>emolition (C&amp;D) sector.</w:t>
      </w:r>
    </w:p>
    <w:p w14:paraId="7CF021EF" w14:textId="147A2E31" w:rsidR="00201E49" w:rsidRPr="00201E49" w:rsidRDefault="00201E49" w:rsidP="00FC4C03">
      <w:pPr>
        <w:jc w:val="both"/>
        <w:rPr>
          <w:rFonts w:cs="Arial"/>
          <w:sz w:val="20"/>
          <w:szCs w:val="20"/>
        </w:rPr>
      </w:pPr>
      <w:r w:rsidRPr="00201E49">
        <w:rPr>
          <w:rFonts w:cs="Arial"/>
          <w:b/>
          <w:bCs/>
          <w:sz w:val="20"/>
          <w:szCs w:val="20"/>
        </w:rPr>
        <w:t>Commingled materials:</w:t>
      </w:r>
      <w:r w:rsidRPr="00201E49">
        <w:rPr>
          <w:rFonts w:cs="Arial"/>
          <w:sz w:val="20"/>
          <w:szCs w:val="20"/>
        </w:rPr>
        <w:t xml:space="preserve"> Materials mixed together, such as </w:t>
      </w:r>
      <w:r w:rsidR="00C3173D">
        <w:rPr>
          <w:rFonts w:cs="Arial"/>
          <w:sz w:val="20"/>
          <w:szCs w:val="20"/>
        </w:rPr>
        <w:t xml:space="preserve">paper, </w:t>
      </w:r>
      <w:r w:rsidRPr="00201E49">
        <w:rPr>
          <w:rFonts w:cs="Arial"/>
          <w:sz w:val="20"/>
          <w:szCs w:val="20"/>
        </w:rPr>
        <w:t xml:space="preserve">plastic bottles with glass and metal containers. Commingled recyclable materials require sorting after collection before they can be recycled. </w:t>
      </w:r>
    </w:p>
    <w:p w14:paraId="2352CF87" w14:textId="555664CA" w:rsidR="00201E49" w:rsidRPr="00201E49" w:rsidRDefault="00201E49" w:rsidP="00FC4C03">
      <w:pPr>
        <w:jc w:val="both"/>
        <w:rPr>
          <w:rFonts w:cs="Arial"/>
          <w:sz w:val="20"/>
          <w:szCs w:val="20"/>
        </w:rPr>
      </w:pPr>
      <w:r w:rsidRPr="00201E49">
        <w:rPr>
          <w:rFonts w:cs="Arial"/>
          <w:b/>
          <w:bCs/>
          <w:sz w:val="20"/>
          <w:szCs w:val="20"/>
        </w:rPr>
        <w:t>Construction &amp; demolition (C&amp;D):</w:t>
      </w:r>
      <w:r w:rsidRPr="00201E49">
        <w:rPr>
          <w:rFonts w:cs="Arial"/>
          <w:sz w:val="20"/>
          <w:szCs w:val="20"/>
        </w:rPr>
        <w:t xml:space="preserve"> Comprises solid waste </w:t>
      </w:r>
      <w:r w:rsidR="00A03B97">
        <w:rPr>
          <w:rFonts w:cs="Arial"/>
          <w:sz w:val="20"/>
          <w:szCs w:val="20"/>
        </w:rPr>
        <w:t>managed</w:t>
      </w:r>
      <w:r w:rsidR="00A03B97" w:rsidRPr="00201E49">
        <w:rPr>
          <w:rFonts w:cs="Arial"/>
          <w:sz w:val="20"/>
          <w:szCs w:val="20"/>
        </w:rPr>
        <w:t xml:space="preserve"> </w:t>
      </w:r>
      <w:r w:rsidRPr="00201E49">
        <w:rPr>
          <w:rFonts w:cs="Arial"/>
          <w:sz w:val="20"/>
          <w:szCs w:val="20"/>
        </w:rPr>
        <w:t xml:space="preserve">by the </w:t>
      </w:r>
      <w:r w:rsidR="00C3173D">
        <w:rPr>
          <w:rFonts w:cs="Arial"/>
          <w:sz w:val="20"/>
          <w:szCs w:val="20"/>
        </w:rPr>
        <w:t>c</w:t>
      </w:r>
      <w:r w:rsidR="00C3173D" w:rsidRPr="00201E49">
        <w:rPr>
          <w:rFonts w:cs="Arial"/>
          <w:sz w:val="20"/>
          <w:szCs w:val="20"/>
        </w:rPr>
        <w:t xml:space="preserve">onstruction </w:t>
      </w:r>
      <w:r w:rsidRPr="00201E49">
        <w:rPr>
          <w:rFonts w:cs="Arial"/>
          <w:sz w:val="20"/>
          <w:szCs w:val="20"/>
        </w:rPr>
        <w:t>and demolition sector. Unless otherwise noted, C&amp;D waste does not include waste from the C&amp;I sector.</w:t>
      </w:r>
    </w:p>
    <w:p w14:paraId="3AF031B4" w14:textId="029F044F" w:rsidR="00201E49" w:rsidRPr="00201E49" w:rsidRDefault="00201E49" w:rsidP="00FC4C03">
      <w:pPr>
        <w:jc w:val="both"/>
        <w:rPr>
          <w:rFonts w:cs="Arial"/>
          <w:sz w:val="20"/>
          <w:szCs w:val="20"/>
        </w:rPr>
      </w:pPr>
      <w:r w:rsidRPr="00201E49">
        <w:rPr>
          <w:rFonts w:cs="Arial"/>
          <w:b/>
          <w:bCs/>
          <w:sz w:val="20"/>
          <w:szCs w:val="20"/>
        </w:rPr>
        <w:t>Garden organics:</w:t>
      </w:r>
      <w:r w:rsidRPr="00201E49">
        <w:rPr>
          <w:rFonts w:cs="Arial"/>
          <w:sz w:val="20"/>
          <w:szCs w:val="20"/>
        </w:rPr>
        <w:t xml:space="preserve"> Organics derived from garden sources e.g. grass clippings and tree prunings</w:t>
      </w:r>
      <w:r w:rsidR="00C3173D">
        <w:rPr>
          <w:rFonts w:cs="Arial"/>
          <w:sz w:val="20"/>
          <w:szCs w:val="20"/>
        </w:rPr>
        <w:t>.</w:t>
      </w:r>
    </w:p>
    <w:p w14:paraId="2BAFA10E" w14:textId="77777777" w:rsidR="00201E49" w:rsidRPr="00201E49" w:rsidRDefault="00201E49" w:rsidP="00FC4C03">
      <w:pPr>
        <w:jc w:val="both"/>
        <w:rPr>
          <w:rFonts w:cs="Arial"/>
          <w:sz w:val="20"/>
          <w:szCs w:val="20"/>
        </w:rPr>
      </w:pPr>
      <w:r w:rsidRPr="00201E49">
        <w:rPr>
          <w:rFonts w:cs="Arial"/>
          <w:b/>
          <w:sz w:val="20"/>
          <w:szCs w:val="20"/>
        </w:rPr>
        <w:t>High density polyethylene (HDPE):</w:t>
      </w:r>
      <w:r w:rsidRPr="00201E49">
        <w:rPr>
          <w:rFonts w:cs="Arial"/>
          <w:sz w:val="20"/>
          <w:szCs w:val="20"/>
        </w:rPr>
        <w:t xml:space="preserve"> A member of the polyethylene family of plastics, used to make products such as milk bottles, pipes and shopping bags. HDPE may be coloured or opaque.</w:t>
      </w:r>
    </w:p>
    <w:p w14:paraId="0BC267B0" w14:textId="2A922C1C" w:rsidR="00201E49" w:rsidRPr="00201E49" w:rsidRDefault="00201E49" w:rsidP="00FC4C03">
      <w:pPr>
        <w:jc w:val="both"/>
        <w:rPr>
          <w:rFonts w:cs="Arial"/>
          <w:sz w:val="20"/>
          <w:szCs w:val="20"/>
        </w:rPr>
      </w:pPr>
      <w:r w:rsidRPr="00201E49">
        <w:rPr>
          <w:rFonts w:cs="Arial"/>
          <w:b/>
          <w:bCs/>
          <w:sz w:val="20"/>
          <w:szCs w:val="20"/>
        </w:rPr>
        <w:t>Kerbside collection:</w:t>
      </w:r>
      <w:r w:rsidRPr="00201E49">
        <w:rPr>
          <w:rFonts w:cs="Arial"/>
          <w:sz w:val="20"/>
          <w:szCs w:val="20"/>
        </w:rPr>
        <w:t xml:space="preserve"> Collection of household materials that are left at the kerbside for collection by local collection services</w:t>
      </w:r>
      <w:r w:rsidR="00C3173D">
        <w:rPr>
          <w:rFonts w:cs="Arial"/>
          <w:sz w:val="20"/>
          <w:szCs w:val="20"/>
        </w:rPr>
        <w:t xml:space="preserve"> generally includes residual waste, garden </w:t>
      </w:r>
      <w:r w:rsidR="0043290E">
        <w:rPr>
          <w:rFonts w:cs="Arial"/>
          <w:sz w:val="20"/>
          <w:szCs w:val="20"/>
        </w:rPr>
        <w:t xml:space="preserve">(and in some instance also includes food) </w:t>
      </w:r>
      <w:r w:rsidR="00C3173D">
        <w:rPr>
          <w:rFonts w:cs="Arial"/>
          <w:sz w:val="20"/>
          <w:szCs w:val="20"/>
        </w:rPr>
        <w:t xml:space="preserve">organics and recyclables </w:t>
      </w:r>
      <w:r w:rsidR="00C3173D" w:rsidRPr="00201E49">
        <w:rPr>
          <w:rFonts w:cs="Arial"/>
          <w:sz w:val="20"/>
          <w:szCs w:val="20"/>
        </w:rPr>
        <w:t>(</w:t>
      </w:r>
      <w:r w:rsidR="00C3173D">
        <w:rPr>
          <w:rFonts w:cs="Arial"/>
          <w:sz w:val="20"/>
          <w:szCs w:val="20"/>
        </w:rPr>
        <w:t xml:space="preserve">either </w:t>
      </w:r>
      <w:r w:rsidR="00C3173D" w:rsidRPr="00201E49">
        <w:rPr>
          <w:rFonts w:cs="Arial"/>
          <w:sz w:val="20"/>
          <w:szCs w:val="20"/>
        </w:rPr>
        <w:t>separated or commingled)</w:t>
      </w:r>
      <w:r w:rsidRPr="00201E49">
        <w:rPr>
          <w:rFonts w:cs="Arial"/>
          <w:sz w:val="20"/>
          <w:szCs w:val="20"/>
        </w:rPr>
        <w:t xml:space="preserve">. </w:t>
      </w:r>
    </w:p>
    <w:p w14:paraId="3C1076FF" w14:textId="77777777" w:rsidR="00201E49" w:rsidRPr="00201E49" w:rsidRDefault="00201E49" w:rsidP="00FC4C03">
      <w:pPr>
        <w:jc w:val="both"/>
        <w:rPr>
          <w:rFonts w:cs="Arial"/>
          <w:sz w:val="20"/>
          <w:szCs w:val="20"/>
        </w:rPr>
      </w:pPr>
      <w:r w:rsidRPr="00201E49">
        <w:rPr>
          <w:rFonts w:cs="Arial"/>
          <w:b/>
          <w:bCs/>
          <w:sz w:val="20"/>
          <w:szCs w:val="20"/>
        </w:rPr>
        <w:t>Landfill:</w:t>
      </w:r>
      <w:r w:rsidRPr="00201E49">
        <w:rPr>
          <w:rFonts w:cs="Arial"/>
          <w:sz w:val="20"/>
          <w:szCs w:val="20"/>
        </w:rPr>
        <w:t xml:space="preserve"> Sites that are licensed by EPA Victoria for the disposal of materials (both waste and potentially recyclable material). Also known as tips.</w:t>
      </w:r>
    </w:p>
    <w:p w14:paraId="5EB1E6FB" w14:textId="77777777" w:rsidR="00201E49" w:rsidRPr="00201E49" w:rsidRDefault="00201E49" w:rsidP="00FC4C03">
      <w:pPr>
        <w:jc w:val="both"/>
        <w:rPr>
          <w:rFonts w:cs="Arial"/>
          <w:sz w:val="20"/>
          <w:szCs w:val="20"/>
        </w:rPr>
      </w:pPr>
      <w:r w:rsidRPr="00201E49">
        <w:rPr>
          <w:rFonts w:cs="Arial"/>
          <w:b/>
          <w:bCs/>
          <w:sz w:val="20"/>
          <w:szCs w:val="20"/>
        </w:rPr>
        <w:t>Linear low density polyethylene (LLDPE):</w:t>
      </w:r>
      <w:r w:rsidRPr="00201E49">
        <w:rPr>
          <w:rFonts w:cs="Arial"/>
          <w:sz w:val="20"/>
          <w:szCs w:val="20"/>
        </w:rPr>
        <w:t xml:space="preserve"> A member of the polyolefin family of plastics, LLDPE is a strong and flexible plastic usually used in film for packaging, bags and for industrial products such as pressure pipe.</w:t>
      </w:r>
    </w:p>
    <w:p w14:paraId="69F71CEC" w14:textId="77777777" w:rsidR="00201E49" w:rsidRPr="00201E49" w:rsidRDefault="00201E49" w:rsidP="00FC4C03">
      <w:pPr>
        <w:jc w:val="both"/>
        <w:rPr>
          <w:rFonts w:cs="Arial"/>
          <w:sz w:val="20"/>
          <w:szCs w:val="20"/>
        </w:rPr>
      </w:pPr>
      <w:r w:rsidRPr="00201E49">
        <w:rPr>
          <w:rFonts w:cs="Arial"/>
          <w:b/>
          <w:bCs/>
          <w:sz w:val="20"/>
          <w:szCs w:val="20"/>
        </w:rPr>
        <w:t>Low density polyethylene (LDPE):</w:t>
      </w:r>
      <w:r w:rsidRPr="00201E49">
        <w:rPr>
          <w:rFonts w:cs="Arial"/>
          <w:sz w:val="20"/>
          <w:szCs w:val="20"/>
        </w:rPr>
        <w:t xml:space="preserve"> A member of the polyolefin family of plastics, LDPE is a flexible material usually used as film for packaging or as bags. </w:t>
      </w:r>
    </w:p>
    <w:p w14:paraId="481D7F99" w14:textId="77777777" w:rsidR="00201E49" w:rsidRPr="00201E49" w:rsidRDefault="00201E49" w:rsidP="00FC4C03">
      <w:pPr>
        <w:jc w:val="both"/>
        <w:rPr>
          <w:rFonts w:cs="Arial"/>
          <w:sz w:val="20"/>
          <w:szCs w:val="20"/>
        </w:rPr>
      </w:pPr>
      <w:r w:rsidRPr="00201E49">
        <w:rPr>
          <w:rFonts w:cs="Arial"/>
          <w:b/>
          <w:bCs/>
          <w:sz w:val="20"/>
          <w:szCs w:val="20"/>
        </w:rPr>
        <w:t>Mulch:</w:t>
      </w:r>
      <w:r w:rsidRPr="00201E49">
        <w:rPr>
          <w:rFonts w:cs="Arial"/>
          <w:sz w:val="20"/>
          <w:szCs w:val="20"/>
        </w:rPr>
        <w:t xml:space="preserve"> Any composted or non–composted organic material, excluding plastic, which is suitable for placing on soil surfaces to restrict moisture loss from the soil and to provide a source of nutrients to aid plant growth. </w:t>
      </w:r>
    </w:p>
    <w:p w14:paraId="2EB4DFB5" w14:textId="7EF5B1B4" w:rsidR="00201E49" w:rsidRPr="00201E49" w:rsidRDefault="00201E49" w:rsidP="00FC4C03">
      <w:pPr>
        <w:jc w:val="both"/>
        <w:rPr>
          <w:rFonts w:cs="Arial"/>
          <w:sz w:val="20"/>
          <w:szCs w:val="20"/>
        </w:rPr>
      </w:pPr>
      <w:r w:rsidRPr="00201E49">
        <w:rPr>
          <w:rFonts w:cs="Arial"/>
          <w:b/>
          <w:bCs/>
          <w:sz w:val="20"/>
          <w:szCs w:val="20"/>
        </w:rPr>
        <w:t>Municipal:</w:t>
      </w:r>
      <w:r w:rsidRPr="00201E49">
        <w:rPr>
          <w:rFonts w:cs="Arial"/>
          <w:sz w:val="20"/>
          <w:szCs w:val="20"/>
        </w:rPr>
        <w:t xml:space="preserve"> Solid waste </w:t>
      </w:r>
      <w:r w:rsidR="00A03B97">
        <w:rPr>
          <w:rFonts w:cs="Arial"/>
          <w:sz w:val="20"/>
          <w:szCs w:val="20"/>
        </w:rPr>
        <w:t xml:space="preserve">managed </w:t>
      </w:r>
      <w:r w:rsidR="0043290E">
        <w:rPr>
          <w:rFonts w:cs="Arial"/>
          <w:sz w:val="20"/>
          <w:szCs w:val="20"/>
        </w:rPr>
        <w:t>predominantly</w:t>
      </w:r>
      <w:r w:rsidRPr="00201E49">
        <w:rPr>
          <w:rFonts w:cs="Arial"/>
          <w:sz w:val="20"/>
          <w:szCs w:val="20"/>
        </w:rPr>
        <w:t xml:space="preserve"> from domestic premises (</w:t>
      </w:r>
      <w:r w:rsidR="00C3173D">
        <w:rPr>
          <w:rFonts w:cs="Arial"/>
          <w:sz w:val="20"/>
          <w:szCs w:val="20"/>
        </w:rPr>
        <w:t>residual</w:t>
      </w:r>
      <w:r w:rsidR="00C3173D" w:rsidRPr="00201E49">
        <w:rPr>
          <w:rFonts w:cs="Arial"/>
          <w:sz w:val="20"/>
          <w:szCs w:val="20"/>
        </w:rPr>
        <w:t xml:space="preserve"> </w:t>
      </w:r>
      <w:r w:rsidRPr="00201E49">
        <w:rPr>
          <w:rFonts w:cs="Arial"/>
          <w:sz w:val="20"/>
          <w:szCs w:val="20"/>
        </w:rPr>
        <w:t xml:space="preserve">and hard waste) and council activities such as street sweeping, litter collection and street tree lopping. </w:t>
      </w:r>
      <w:r w:rsidR="00633A99">
        <w:rPr>
          <w:rFonts w:cs="Arial"/>
          <w:sz w:val="20"/>
          <w:szCs w:val="20"/>
        </w:rPr>
        <w:t>Municipal waste a</w:t>
      </w:r>
      <w:r w:rsidRPr="00201E49">
        <w:rPr>
          <w:rFonts w:cs="Arial"/>
          <w:sz w:val="20"/>
          <w:szCs w:val="20"/>
        </w:rPr>
        <w:t>lso includes waste dropped</w:t>
      </w:r>
      <w:r w:rsidR="00C3173D">
        <w:rPr>
          <w:rFonts w:cs="Arial"/>
          <w:sz w:val="20"/>
          <w:szCs w:val="20"/>
        </w:rPr>
        <w:t>-</w:t>
      </w:r>
      <w:r w:rsidRPr="00201E49">
        <w:rPr>
          <w:rFonts w:cs="Arial"/>
          <w:sz w:val="20"/>
          <w:szCs w:val="20"/>
        </w:rPr>
        <w:t>off at transfer stations and construction waste from residential owner / occupier renovations.</w:t>
      </w:r>
    </w:p>
    <w:p w14:paraId="6BF6F566" w14:textId="56C62FE8" w:rsidR="00201E49" w:rsidRPr="00201E49" w:rsidRDefault="00201E49" w:rsidP="00FC4C03">
      <w:pPr>
        <w:jc w:val="both"/>
        <w:rPr>
          <w:rFonts w:cs="Arial"/>
          <w:sz w:val="20"/>
          <w:szCs w:val="20"/>
        </w:rPr>
      </w:pPr>
      <w:r w:rsidRPr="00201E49">
        <w:rPr>
          <w:rFonts w:cs="Arial"/>
          <w:b/>
          <w:bCs/>
          <w:sz w:val="20"/>
          <w:szCs w:val="20"/>
        </w:rPr>
        <w:t>Non–ferrous metals:</w:t>
      </w:r>
      <w:r w:rsidRPr="00201E49">
        <w:rPr>
          <w:rFonts w:cs="Arial"/>
          <w:sz w:val="20"/>
          <w:szCs w:val="20"/>
        </w:rPr>
        <w:t xml:space="preserve"> Those metals that contain very little or no iron e.g. copper, brass, bronze and aluminium.</w:t>
      </w:r>
    </w:p>
    <w:p w14:paraId="7C31314D" w14:textId="77777777" w:rsidR="00201E49" w:rsidRPr="00201E49" w:rsidRDefault="00201E49" w:rsidP="00FC4C03">
      <w:pPr>
        <w:jc w:val="both"/>
        <w:rPr>
          <w:rFonts w:cs="Arial"/>
          <w:sz w:val="20"/>
          <w:szCs w:val="20"/>
        </w:rPr>
      </w:pPr>
      <w:r w:rsidRPr="00201E49">
        <w:rPr>
          <w:rFonts w:cs="Arial"/>
          <w:b/>
          <w:bCs/>
          <w:sz w:val="20"/>
          <w:szCs w:val="20"/>
        </w:rPr>
        <w:t>Polyethylene terephthalate (PET):</w:t>
      </w:r>
      <w:r w:rsidRPr="00201E49">
        <w:rPr>
          <w:rFonts w:cs="Arial"/>
          <w:sz w:val="20"/>
          <w:szCs w:val="20"/>
        </w:rPr>
        <w:t xml:space="preserve"> A clear, tough, light and shatterproof type of plastic, used to make products such as soft drink bottles, film packaging and fabrics.</w:t>
      </w:r>
    </w:p>
    <w:p w14:paraId="063D62DE" w14:textId="77777777" w:rsidR="00201E49" w:rsidRPr="00201E49" w:rsidRDefault="00201E49" w:rsidP="00FC4C03">
      <w:pPr>
        <w:jc w:val="both"/>
        <w:rPr>
          <w:rFonts w:cs="Arial"/>
          <w:sz w:val="20"/>
          <w:szCs w:val="20"/>
        </w:rPr>
      </w:pPr>
      <w:r w:rsidRPr="00201E49">
        <w:rPr>
          <w:rFonts w:cs="Arial"/>
          <w:b/>
          <w:bCs/>
          <w:sz w:val="20"/>
          <w:szCs w:val="20"/>
        </w:rPr>
        <w:t>Polypropylene (PP):</w:t>
      </w:r>
      <w:r w:rsidRPr="00201E49">
        <w:rPr>
          <w:rFonts w:cs="Arial"/>
          <w:sz w:val="20"/>
          <w:szCs w:val="20"/>
        </w:rPr>
        <w:t xml:space="preserve"> A member of the polyolefin family of plastics. PP is light, rigid and glossy and is used to make products such as washing machine agitators, clear film packaging, carpet fibres and housewares.</w:t>
      </w:r>
    </w:p>
    <w:p w14:paraId="7C0696EB" w14:textId="4D893471" w:rsidR="00201E49" w:rsidRPr="00201E49" w:rsidRDefault="00201E49" w:rsidP="00FC4C03">
      <w:pPr>
        <w:jc w:val="both"/>
        <w:rPr>
          <w:rFonts w:cs="Arial"/>
          <w:sz w:val="20"/>
          <w:szCs w:val="20"/>
        </w:rPr>
      </w:pPr>
      <w:r w:rsidRPr="00201E49">
        <w:rPr>
          <w:rFonts w:cs="Arial"/>
          <w:b/>
          <w:bCs/>
          <w:sz w:val="20"/>
          <w:szCs w:val="20"/>
        </w:rPr>
        <w:t>Polystyrene (PS):</w:t>
      </w:r>
      <w:r w:rsidRPr="00201E49">
        <w:rPr>
          <w:rFonts w:cs="Arial"/>
          <w:sz w:val="20"/>
          <w:szCs w:val="20"/>
        </w:rPr>
        <w:t xml:space="preserve"> A member of the styrene family of plastics, PS is easy to mould and is used to make refrigerator and washing machine components. It can be foamed to make single</w:t>
      </w:r>
      <w:r>
        <w:rPr>
          <w:rFonts w:cs="Arial"/>
          <w:sz w:val="20"/>
          <w:szCs w:val="20"/>
        </w:rPr>
        <w:t>-</w:t>
      </w:r>
      <w:r w:rsidRPr="00201E49">
        <w:rPr>
          <w:rFonts w:cs="Arial"/>
          <w:sz w:val="20"/>
          <w:szCs w:val="20"/>
        </w:rPr>
        <w:t>use packaging, such as cups, meat and produce trays.</w:t>
      </w:r>
    </w:p>
    <w:p w14:paraId="23D89F06" w14:textId="77777777" w:rsidR="00201E49" w:rsidRPr="00201E49" w:rsidRDefault="00201E49" w:rsidP="00FC4C03">
      <w:pPr>
        <w:jc w:val="both"/>
        <w:rPr>
          <w:rFonts w:cs="Arial"/>
          <w:sz w:val="20"/>
          <w:szCs w:val="20"/>
        </w:rPr>
      </w:pPr>
      <w:r w:rsidRPr="00201E49">
        <w:rPr>
          <w:rFonts w:cs="Arial"/>
          <w:b/>
          <w:bCs/>
          <w:sz w:val="20"/>
          <w:szCs w:val="20"/>
        </w:rPr>
        <w:t>Polyvinyl chloride (PVC):</w:t>
      </w:r>
      <w:r w:rsidRPr="00201E49">
        <w:rPr>
          <w:rFonts w:cs="Arial"/>
          <w:sz w:val="20"/>
          <w:szCs w:val="20"/>
        </w:rPr>
        <w:t xml:space="preserve"> A member of the vinyl family of plastics, PVC can be clear, flexible or rigid and is used to make products such as fruit juice bottles, credit cards, pipes and hoses. </w:t>
      </w:r>
    </w:p>
    <w:p w14:paraId="6B70E796" w14:textId="3AF0E5CD" w:rsidR="007C2987" w:rsidRPr="00EC66A3" w:rsidRDefault="007C2987" w:rsidP="001354FA">
      <w:pPr>
        <w:pStyle w:val="Heading2"/>
      </w:pPr>
      <w:bookmarkStart w:id="55" w:name="_Toc525308010"/>
      <w:r w:rsidRPr="00EC66A3">
        <w:lastRenderedPageBreak/>
        <w:t>Appendix B: Survey methodology</w:t>
      </w:r>
      <w:bookmarkEnd w:id="55"/>
    </w:p>
    <w:p w14:paraId="3CE5C87F" w14:textId="4B25912F" w:rsidR="007C2987" w:rsidRPr="007C2987" w:rsidRDefault="007C2987" w:rsidP="00D01076">
      <w:pPr>
        <w:spacing w:after="100"/>
        <w:jc w:val="both"/>
        <w:rPr>
          <w:rFonts w:cs="Arial"/>
          <w:sz w:val="20"/>
          <w:szCs w:val="20"/>
        </w:rPr>
      </w:pPr>
      <w:r w:rsidRPr="007C2987">
        <w:rPr>
          <w:rFonts w:cs="Arial"/>
          <w:sz w:val="20"/>
          <w:szCs w:val="20"/>
        </w:rPr>
        <w:t>The Victorian Recycling Industry Annual Survey 201</w:t>
      </w:r>
      <w:r w:rsidR="007644DE">
        <w:rPr>
          <w:rFonts w:cs="Arial"/>
          <w:sz w:val="20"/>
          <w:szCs w:val="20"/>
        </w:rPr>
        <w:t>6</w:t>
      </w:r>
      <w:r w:rsidRPr="007C2987">
        <w:rPr>
          <w:rFonts w:cs="Arial"/>
          <w:sz w:val="20"/>
          <w:szCs w:val="20"/>
        </w:rPr>
        <w:t>-1</w:t>
      </w:r>
      <w:r w:rsidR="007644DE">
        <w:rPr>
          <w:rFonts w:cs="Arial"/>
          <w:sz w:val="20"/>
          <w:szCs w:val="20"/>
        </w:rPr>
        <w:t>7</w:t>
      </w:r>
      <w:r w:rsidRPr="007C2987">
        <w:rPr>
          <w:rFonts w:cs="Arial"/>
          <w:sz w:val="20"/>
          <w:szCs w:val="20"/>
        </w:rPr>
        <w:t xml:space="preserve"> </w:t>
      </w:r>
      <w:r w:rsidR="0043290E">
        <w:rPr>
          <w:rFonts w:cs="Arial"/>
          <w:sz w:val="20"/>
          <w:szCs w:val="20"/>
        </w:rPr>
        <w:t xml:space="preserve">(VRIAS) </w:t>
      </w:r>
      <w:r w:rsidRPr="007C2987">
        <w:rPr>
          <w:rFonts w:cs="Arial"/>
          <w:sz w:val="20"/>
          <w:szCs w:val="20"/>
        </w:rPr>
        <w:t xml:space="preserve">was conducted in </w:t>
      </w:r>
      <w:r w:rsidR="007644DE">
        <w:rPr>
          <w:rFonts w:cs="Arial"/>
          <w:sz w:val="20"/>
          <w:szCs w:val="20"/>
        </w:rPr>
        <w:t>September</w:t>
      </w:r>
      <w:r>
        <w:rPr>
          <w:rFonts w:cs="Arial"/>
          <w:sz w:val="20"/>
          <w:szCs w:val="20"/>
        </w:rPr>
        <w:t xml:space="preserve"> 201</w:t>
      </w:r>
      <w:r w:rsidR="007644DE">
        <w:rPr>
          <w:rFonts w:cs="Arial"/>
          <w:sz w:val="20"/>
          <w:szCs w:val="20"/>
        </w:rPr>
        <w:t>7</w:t>
      </w:r>
      <w:r>
        <w:rPr>
          <w:rFonts w:cs="Arial"/>
          <w:sz w:val="20"/>
          <w:szCs w:val="20"/>
        </w:rPr>
        <w:t xml:space="preserve"> to </w:t>
      </w:r>
      <w:r w:rsidR="009631CF">
        <w:rPr>
          <w:rFonts w:cs="Arial"/>
          <w:sz w:val="20"/>
          <w:szCs w:val="20"/>
        </w:rPr>
        <w:t>February</w:t>
      </w:r>
      <w:r>
        <w:rPr>
          <w:rFonts w:cs="Arial"/>
          <w:sz w:val="20"/>
          <w:szCs w:val="20"/>
        </w:rPr>
        <w:t xml:space="preserve"> 201</w:t>
      </w:r>
      <w:r w:rsidR="007644DE">
        <w:rPr>
          <w:rFonts w:cs="Arial"/>
          <w:sz w:val="20"/>
          <w:szCs w:val="20"/>
        </w:rPr>
        <w:t>8</w:t>
      </w:r>
      <w:r>
        <w:rPr>
          <w:rFonts w:cs="Arial"/>
          <w:sz w:val="20"/>
          <w:szCs w:val="20"/>
        </w:rPr>
        <w:t xml:space="preserve">. </w:t>
      </w:r>
      <w:r w:rsidR="0043290E">
        <w:rPr>
          <w:rFonts w:cs="Arial"/>
          <w:sz w:val="20"/>
          <w:szCs w:val="20"/>
        </w:rPr>
        <w:t>VRIAS</w:t>
      </w:r>
      <w:r>
        <w:rPr>
          <w:rFonts w:cs="Arial"/>
          <w:sz w:val="20"/>
          <w:szCs w:val="20"/>
        </w:rPr>
        <w:t xml:space="preserve"> sought </w:t>
      </w:r>
      <w:r w:rsidRPr="007C2987">
        <w:rPr>
          <w:rFonts w:cs="Arial"/>
          <w:sz w:val="20"/>
          <w:szCs w:val="20"/>
        </w:rPr>
        <w:t xml:space="preserve">data from </w:t>
      </w:r>
      <w:r w:rsidR="00A66C3F">
        <w:rPr>
          <w:rFonts w:cs="Arial"/>
          <w:sz w:val="20"/>
          <w:szCs w:val="20"/>
        </w:rPr>
        <w:t>7</w:t>
      </w:r>
      <w:r w:rsidR="009B01E5">
        <w:rPr>
          <w:rFonts w:cs="Arial"/>
          <w:sz w:val="20"/>
          <w:szCs w:val="20"/>
        </w:rPr>
        <w:t>0</w:t>
      </w:r>
      <w:r w:rsidRPr="007C2987">
        <w:rPr>
          <w:rFonts w:cs="Arial"/>
          <w:sz w:val="20"/>
          <w:szCs w:val="20"/>
        </w:rPr>
        <w:t xml:space="preserve"> Victorian </w:t>
      </w:r>
      <w:r w:rsidR="00A66C3F">
        <w:rPr>
          <w:rFonts w:cs="Arial"/>
          <w:sz w:val="20"/>
          <w:szCs w:val="20"/>
        </w:rPr>
        <w:t xml:space="preserve">waste </w:t>
      </w:r>
      <w:r w:rsidRPr="007C2987">
        <w:rPr>
          <w:rFonts w:cs="Arial"/>
          <w:sz w:val="20"/>
          <w:szCs w:val="20"/>
        </w:rPr>
        <w:t xml:space="preserve">reprocessing businesses. Data on plastics recovery from </w:t>
      </w:r>
      <w:r w:rsidR="009B01E5">
        <w:rPr>
          <w:rFonts w:cs="Arial"/>
          <w:sz w:val="20"/>
          <w:szCs w:val="20"/>
        </w:rPr>
        <w:t>22</w:t>
      </w:r>
      <w:r w:rsidRPr="007C2987">
        <w:rPr>
          <w:rFonts w:cs="Arial"/>
          <w:sz w:val="20"/>
          <w:szCs w:val="20"/>
        </w:rPr>
        <w:t xml:space="preserve"> plastic reprocessors in Victoria was also obtained from the 201</w:t>
      </w:r>
      <w:r w:rsidR="009B01E5">
        <w:rPr>
          <w:rFonts w:cs="Arial"/>
          <w:sz w:val="20"/>
          <w:szCs w:val="20"/>
        </w:rPr>
        <w:t>6</w:t>
      </w:r>
      <w:r w:rsidRPr="007C2987">
        <w:rPr>
          <w:rFonts w:cs="Arial"/>
          <w:sz w:val="20"/>
          <w:szCs w:val="20"/>
        </w:rPr>
        <w:t>-1</w:t>
      </w:r>
      <w:r w:rsidR="009B01E5">
        <w:rPr>
          <w:rFonts w:cs="Arial"/>
          <w:sz w:val="20"/>
          <w:szCs w:val="20"/>
        </w:rPr>
        <w:t>7</w:t>
      </w:r>
      <w:r w:rsidRPr="007C2987">
        <w:rPr>
          <w:rFonts w:cs="Arial"/>
          <w:sz w:val="20"/>
          <w:szCs w:val="20"/>
        </w:rPr>
        <w:t xml:space="preserve"> </w:t>
      </w:r>
      <w:r w:rsidR="009631CF">
        <w:rPr>
          <w:rFonts w:cs="Arial"/>
          <w:sz w:val="20"/>
          <w:szCs w:val="20"/>
        </w:rPr>
        <w:t>Australian</w:t>
      </w:r>
      <w:r w:rsidRPr="007C2987">
        <w:rPr>
          <w:rFonts w:cs="Arial"/>
          <w:sz w:val="20"/>
          <w:szCs w:val="20"/>
        </w:rPr>
        <w:t xml:space="preserve"> Plastics Recycling Survey, and incorporated into the </w:t>
      </w:r>
      <w:r w:rsidR="00AA1BBD">
        <w:rPr>
          <w:rFonts w:cs="Arial"/>
          <w:sz w:val="20"/>
          <w:szCs w:val="20"/>
        </w:rPr>
        <w:t xml:space="preserve">VRIAR </w:t>
      </w:r>
      <w:r w:rsidRPr="007C2987">
        <w:rPr>
          <w:rFonts w:cs="Arial"/>
          <w:sz w:val="20"/>
          <w:szCs w:val="20"/>
        </w:rPr>
        <w:t>201</w:t>
      </w:r>
      <w:r w:rsidR="009B01E5">
        <w:rPr>
          <w:rFonts w:cs="Arial"/>
          <w:sz w:val="20"/>
          <w:szCs w:val="20"/>
        </w:rPr>
        <w:t>6</w:t>
      </w:r>
      <w:r w:rsidRPr="007C2987">
        <w:rPr>
          <w:rFonts w:cs="Arial"/>
          <w:sz w:val="20"/>
          <w:szCs w:val="20"/>
        </w:rPr>
        <w:t>-1</w:t>
      </w:r>
      <w:r w:rsidR="009B01E5">
        <w:rPr>
          <w:rFonts w:cs="Arial"/>
          <w:sz w:val="20"/>
          <w:szCs w:val="20"/>
        </w:rPr>
        <w:t>7</w:t>
      </w:r>
      <w:r w:rsidRPr="007C2987">
        <w:rPr>
          <w:rFonts w:cs="Arial"/>
          <w:sz w:val="20"/>
          <w:szCs w:val="20"/>
        </w:rPr>
        <w:t>.</w:t>
      </w:r>
    </w:p>
    <w:p w14:paraId="56499597" w14:textId="37F3F1FF" w:rsidR="007C2987" w:rsidRPr="007C2987" w:rsidRDefault="007C2987" w:rsidP="00D01076">
      <w:pPr>
        <w:spacing w:after="100"/>
        <w:jc w:val="both"/>
        <w:rPr>
          <w:rFonts w:cs="Arial"/>
          <w:sz w:val="20"/>
          <w:szCs w:val="20"/>
        </w:rPr>
      </w:pPr>
      <w:r w:rsidRPr="005A0D35">
        <w:rPr>
          <w:rFonts w:cs="Arial"/>
          <w:sz w:val="20"/>
          <w:szCs w:val="20"/>
        </w:rPr>
        <w:t>Re</w:t>
      </w:r>
      <w:r w:rsidR="00DC2C0E" w:rsidRPr="005A0D35">
        <w:rPr>
          <w:rFonts w:cs="Arial"/>
          <w:sz w:val="20"/>
          <w:szCs w:val="20"/>
        </w:rPr>
        <w:t xml:space="preserve">source recovery </w:t>
      </w:r>
      <w:r w:rsidRPr="005A0D35">
        <w:rPr>
          <w:rFonts w:cs="Arial"/>
          <w:sz w:val="20"/>
          <w:szCs w:val="20"/>
        </w:rPr>
        <w:t>cover</w:t>
      </w:r>
      <w:r w:rsidR="00275AB1" w:rsidRPr="005A0D35">
        <w:rPr>
          <w:rFonts w:cs="Arial"/>
          <w:sz w:val="20"/>
          <w:szCs w:val="20"/>
        </w:rPr>
        <w:t>s</w:t>
      </w:r>
      <w:r w:rsidRPr="005A0D35">
        <w:rPr>
          <w:rFonts w:cs="Arial"/>
          <w:sz w:val="20"/>
          <w:szCs w:val="20"/>
        </w:rPr>
        <w:t xml:space="preserve"> a wide range of activities, including collection</w:t>
      </w:r>
      <w:r w:rsidR="00F9306D" w:rsidRPr="005A0D35">
        <w:rPr>
          <w:rFonts w:cs="Arial"/>
          <w:sz w:val="20"/>
          <w:szCs w:val="20"/>
        </w:rPr>
        <w:t xml:space="preserve">, </w:t>
      </w:r>
      <w:r w:rsidRPr="005A0D35">
        <w:rPr>
          <w:rFonts w:cs="Arial"/>
          <w:sz w:val="20"/>
          <w:szCs w:val="20"/>
        </w:rPr>
        <w:t>sorting, reprocessing and manufacture of new products</w:t>
      </w:r>
      <w:r w:rsidR="00DC2C0E" w:rsidRPr="005A0D35">
        <w:rPr>
          <w:rFonts w:cs="Arial"/>
          <w:sz w:val="20"/>
          <w:szCs w:val="20"/>
        </w:rPr>
        <w:t>, or energy from waste</w:t>
      </w:r>
      <w:r w:rsidRPr="005A0D35">
        <w:rPr>
          <w:rFonts w:cs="Arial"/>
          <w:sz w:val="20"/>
          <w:szCs w:val="20"/>
        </w:rPr>
        <w:t>. Rec</w:t>
      </w:r>
      <w:r w:rsidR="00DC2C0E" w:rsidRPr="005A0D35">
        <w:rPr>
          <w:rFonts w:cs="Arial"/>
          <w:sz w:val="20"/>
          <w:szCs w:val="20"/>
        </w:rPr>
        <w:t>ycling (or reprocessing) of recovered materials, typically an industrial process, results in a material or product that can be productively used. Energy recovery is the process by which</w:t>
      </w:r>
      <w:r w:rsidR="00F9306D" w:rsidRPr="005A0D35">
        <w:rPr>
          <w:rFonts w:cs="Arial"/>
          <w:sz w:val="20"/>
          <w:szCs w:val="20"/>
        </w:rPr>
        <w:t xml:space="preserve"> embodied</w:t>
      </w:r>
      <w:r w:rsidR="00DC2C0E" w:rsidRPr="005A0D35">
        <w:rPr>
          <w:rFonts w:cs="Arial"/>
          <w:sz w:val="20"/>
          <w:szCs w:val="20"/>
        </w:rPr>
        <w:t xml:space="preserve"> energy is captured for use; it is a form of resource recovery,</w:t>
      </w:r>
      <w:r w:rsidR="00F9306D" w:rsidRPr="005A0D35">
        <w:rPr>
          <w:rFonts w:cs="Arial"/>
          <w:sz w:val="20"/>
          <w:szCs w:val="20"/>
        </w:rPr>
        <w:t xml:space="preserve"> but is</w:t>
      </w:r>
      <w:r w:rsidR="00DC2C0E" w:rsidRPr="005A0D35">
        <w:rPr>
          <w:rFonts w:cs="Arial"/>
          <w:sz w:val="20"/>
          <w:szCs w:val="20"/>
        </w:rPr>
        <w:t xml:space="preserve"> not recycling</w:t>
      </w:r>
      <w:r w:rsidRPr="005A0D35">
        <w:rPr>
          <w:rFonts w:cs="Arial"/>
          <w:sz w:val="20"/>
          <w:szCs w:val="20"/>
        </w:rPr>
        <w:t>.</w:t>
      </w:r>
      <w:r w:rsidRPr="007C2987">
        <w:rPr>
          <w:rFonts w:cs="Arial"/>
          <w:sz w:val="20"/>
          <w:szCs w:val="20"/>
        </w:rPr>
        <w:t xml:space="preserve"> </w:t>
      </w:r>
    </w:p>
    <w:p w14:paraId="5FFC9972" w14:textId="71C5FF8F" w:rsidR="007C2987" w:rsidRPr="007C2987" w:rsidRDefault="007C2987" w:rsidP="00D01076">
      <w:pPr>
        <w:spacing w:after="100"/>
        <w:jc w:val="both"/>
        <w:rPr>
          <w:rFonts w:cs="Arial"/>
          <w:sz w:val="20"/>
          <w:szCs w:val="20"/>
        </w:rPr>
      </w:pPr>
      <w:r w:rsidRPr="007C2987">
        <w:rPr>
          <w:rFonts w:cs="Arial"/>
          <w:sz w:val="20"/>
          <w:szCs w:val="20"/>
        </w:rPr>
        <w:t xml:space="preserve">To avoid double counting, the focus of this survey is only on material recovered for reprocessing and </w:t>
      </w:r>
      <w:r w:rsidR="00AB1075" w:rsidRPr="007C2987">
        <w:rPr>
          <w:rFonts w:cs="Arial"/>
          <w:sz w:val="20"/>
          <w:szCs w:val="20"/>
        </w:rPr>
        <w:t>no</w:t>
      </w:r>
      <w:r w:rsidR="00F23419">
        <w:rPr>
          <w:rFonts w:cs="Arial"/>
          <w:sz w:val="20"/>
          <w:szCs w:val="20"/>
        </w:rPr>
        <w:t>t</w:t>
      </w:r>
      <w:r w:rsidRPr="007C2987">
        <w:rPr>
          <w:rFonts w:cs="Arial"/>
          <w:sz w:val="20"/>
          <w:szCs w:val="20"/>
        </w:rPr>
        <w:t xml:space="preserve"> other stages of the recovered material life cycle, such as collection, sorting and manufacturing. The survey does not include materials that have been collected and baled only, or that have been resold in their original state for reuse, such as clothing sold through second-hand or charity stores. The omission of reused materials is not in any way intended to undervalue this important activity.</w:t>
      </w:r>
    </w:p>
    <w:p w14:paraId="78979136" w14:textId="1A52C59E" w:rsidR="007C2987" w:rsidRPr="007C2987" w:rsidRDefault="007C2987" w:rsidP="00B300C1">
      <w:pPr>
        <w:spacing w:after="0"/>
        <w:jc w:val="both"/>
        <w:rPr>
          <w:rFonts w:cs="Arial"/>
          <w:sz w:val="20"/>
          <w:szCs w:val="20"/>
        </w:rPr>
      </w:pPr>
      <w:r w:rsidRPr="007C2987">
        <w:rPr>
          <w:rFonts w:cs="Arial"/>
          <w:sz w:val="20"/>
          <w:szCs w:val="20"/>
        </w:rPr>
        <w:t>Each reprocessing business was emailed a survey developed for their specific industry category and asked to provide information for the 201</w:t>
      </w:r>
      <w:r w:rsidR="00D53870">
        <w:rPr>
          <w:rFonts w:cs="Arial"/>
          <w:sz w:val="20"/>
          <w:szCs w:val="20"/>
        </w:rPr>
        <w:t>6</w:t>
      </w:r>
      <w:r w:rsidRPr="007C2987">
        <w:rPr>
          <w:rFonts w:cs="Arial"/>
          <w:sz w:val="20"/>
          <w:szCs w:val="20"/>
        </w:rPr>
        <w:t>-1</w:t>
      </w:r>
      <w:r w:rsidR="00D53870">
        <w:rPr>
          <w:rFonts w:cs="Arial"/>
          <w:sz w:val="20"/>
          <w:szCs w:val="20"/>
        </w:rPr>
        <w:t>7</w:t>
      </w:r>
      <w:r w:rsidRPr="007C2987">
        <w:rPr>
          <w:rFonts w:cs="Arial"/>
          <w:sz w:val="20"/>
          <w:szCs w:val="20"/>
        </w:rPr>
        <w:t xml:space="preserve"> financial year about the amount of material diverted from landfill (recovered) for reprocessing, including:</w:t>
      </w:r>
    </w:p>
    <w:p w14:paraId="69AACCE9" w14:textId="77777777" w:rsidR="007C2987" w:rsidRPr="007C2987" w:rsidRDefault="007C2987" w:rsidP="00D01076">
      <w:pPr>
        <w:pStyle w:val="ListBullet"/>
      </w:pPr>
      <w:r w:rsidRPr="007C2987">
        <w:t>tonnes received by their Victorian site</w:t>
      </w:r>
    </w:p>
    <w:p w14:paraId="5883F011" w14:textId="77777777" w:rsidR="007C2987" w:rsidRPr="007C2987" w:rsidRDefault="007C2987" w:rsidP="00D01076">
      <w:pPr>
        <w:pStyle w:val="ListBullet"/>
      </w:pPr>
      <w:r w:rsidRPr="007C2987">
        <w:t>tonnes received from other facilities</w:t>
      </w:r>
    </w:p>
    <w:p w14:paraId="589DABD1" w14:textId="77777777" w:rsidR="007C2987" w:rsidRPr="007C2987" w:rsidRDefault="007C2987" w:rsidP="00D01076">
      <w:pPr>
        <w:pStyle w:val="ListBullet"/>
      </w:pPr>
      <w:r w:rsidRPr="007C2987">
        <w:t>tonnes imported or exported for reprocessing, both interstate and overseas</w:t>
      </w:r>
    </w:p>
    <w:p w14:paraId="33D5637E" w14:textId="77777777" w:rsidR="007C2987" w:rsidRPr="007C2987" w:rsidRDefault="007C2987" w:rsidP="00D01076">
      <w:pPr>
        <w:pStyle w:val="ListBullet"/>
      </w:pPr>
      <w:r w:rsidRPr="007C2987">
        <w:t>tonnes stockpiled (unprocessed and processed)</w:t>
      </w:r>
    </w:p>
    <w:p w14:paraId="1C56A833" w14:textId="77777777" w:rsidR="007C2987" w:rsidRPr="007C2987" w:rsidRDefault="007C2987" w:rsidP="00D01076">
      <w:pPr>
        <w:pStyle w:val="ListBullet"/>
      </w:pPr>
      <w:r w:rsidRPr="007C2987">
        <w:t>tonnes reprocessed on-site</w:t>
      </w:r>
    </w:p>
    <w:p w14:paraId="437F74AF" w14:textId="77777777" w:rsidR="007C2987" w:rsidRPr="007C2987" w:rsidRDefault="007C2987" w:rsidP="00D01076">
      <w:pPr>
        <w:pStyle w:val="ListBullet"/>
      </w:pPr>
      <w:r w:rsidRPr="007C2987">
        <w:t>amount of material disposed of to landfill due to contamination or as processing waste</w:t>
      </w:r>
    </w:p>
    <w:p w14:paraId="0BAC3458" w14:textId="77777777" w:rsidR="007C2987" w:rsidRPr="007C2987" w:rsidRDefault="007C2987" w:rsidP="00D01076">
      <w:pPr>
        <w:pStyle w:val="ListBullet"/>
      </w:pPr>
      <w:r w:rsidRPr="007C2987">
        <w:t>sector/s from which the recovered materials for reprocessing were received</w:t>
      </w:r>
    </w:p>
    <w:p w14:paraId="6860D47B" w14:textId="77777777" w:rsidR="007C2987" w:rsidRPr="007C2987" w:rsidRDefault="007C2987" w:rsidP="00D01076">
      <w:pPr>
        <w:pStyle w:val="ListBullet"/>
      </w:pPr>
      <w:r w:rsidRPr="007C2987">
        <w:t>major products made from their reprocessing operations and the subsequent markets (defined by the ANZSIC code divisions for all materials excluding organics) to which the products are sold</w:t>
      </w:r>
    </w:p>
    <w:p w14:paraId="65C45B95" w14:textId="77777777" w:rsidR="007C2987" w:rsidRPr="007C2987" w:rsidRDefault="007C2987" w:rsidP="00D01076">
      <w:pPr>
        <w:pStyle w:val="ListBullet"/>
      </w:pPr>
      <w:r w:rsidRPr="007C2987">
        <w:t>number of full time equivalent staff directly employed in the company’s recycling operations</w:t>
      </w:r>
    </w:p>
    <w:p w14:paraId="38FA485C" w14:textId="77777777" w:rsidR="007C2987" w:rsidRPr="007C2987" w:rsidRDefault="007C2987" w:rsidP="00D01076">
      <w:pPr>
        <w:pStyle w:val="ListBullet"/>
      </w:pPr>
      <w:r w:rsidRPr="007C2987">
        <w:t>levels of expenditure on research and development and capital investment for activities associated with the reprocessing of secondary use materials.</w:t>
      </w:r>
    </w:p>
    <w:p w14:paraId="6ECA0D22" w14:textId="772A3BC2" w:rsidR="000A3458" w:rsidRPr="000A3458" w:rsidRDefault="000A3458" w:rsidP="00D01076">
      <w:pPr>
        <w:autoSpaceDE w:val="0"/>
        <w:spacing w:before="100" w:after="100"/>
        <w:jc w:val="both"/>
        <w:rPr>
          <w:rFonts w:cs="Arial"/>
          <w:sz w:val="20"/>
          <w:szCs w:val="20"/>
        </w:rPr>
      </w:pPr>
      <w:r w:rsidRPr="000A3458">
        <w:rPr>
          <w:rFonts w:cs="Arial"/>
          <w:sz w:val="20"/>
          <w:szCs w:val="20"/>
        </w:rPr>
        <w:t xml:space="preserve">The survey collects data from businesses </w:t>
      </w:r>
      <w:r w:rsidR="00C36669">
        <w:rPr>
          <w:rFonts w:cs="Arial"/>
          <w:sz w:val="20"/>
          <w:szCs w:val="20"/>
        </w:rPr>
        <w:t>that</w:t>
      </w:r>
      <w:r w:rsidR="00C36669" w:rsidRPr="000A3458">
        <w:rPr>
          <w:rFonts w:cs="Arial"/>
          <w:sz w:val="20"/>
          <w:szCs w:val="20"/>
        </w:rPr>
        <w:t xml:space="preserve"> </w:t>
      </w:r>
      <w:r w:rsidRPr="000A3458">
        <w:rPr>
          <w:rFonts w:cs="Arial"/>
          <w:sz w:val="20"/>
          <w:szCs w:val="20"/>
        </w:rPr>
        <w:t>respond. Estimates are generally not undertaken for non-responding companies except if the volume of material is significant and an estimation based on historical trends can be made with some certainty. Due to the voluntary nature of the survey, it is expected that there will be a degree of variation from year to year. Every attempt is made to include the large reprocessing businesses to ensure that yearly variations are minimised. Data has been aggregated for reporting purposes at the state level to retain confidentiality.</w:t>
      </w:r>
    </w:p>
    <w:p w14:paraId="74B6B41B" w14:textId="72B7C4E5" w:rsidR="007C2987" w:rsidRDefault="007C2987" w:rsidP="00D01076">
      <w:pPr>
        <w:autoSpaceDE w:val="0"/>
        <w:spacing w:after="100"/>
        <w:jc w:val="both"/>
        <w:rPr>
          <w:rFonts w:cs="Arial"/>
          <w:sz w:val="20"/>
          <w:szCs w:val="20"/>
        </w:rPr>
      </w:pPr>
      <w:r w:rsidRPr="007C2987">
        <w:rPr>
          <w:rFonts w:cs="Arial"/>
          <w:sz w:val="20"/>
          <w:szCs w:val="20"/>
        </w:rPr>
        <w:t>A total of 6</w:t>
      </w:r>
      <w:r w:rsidR="00D53870">
        <w:rPr>
          <w:rFonts w:cs="Arial"/>
          <w:sz w:val="20"/>
          <w:szCs w:val="20"/>
        </w:rPr>
        <w:t>3</w:t>
      </w:r>
      <w:r w:rsidRPr="007C2987">
        <w:rPr>
          <w:rFonts w:cs="Arial"/>
          <w:sz w:val="20"/>
          <w:szCs w:val="20"/>
        </w:rPr>
        <w:t xml:space="preserve"> of the </w:t>
      </w:r>
      <w:r w:rsidR="00A66C3F">
        <w:rPr>
          <w:rFonts w:cs="Arial"/>
          <w:sz w:val="20"/>
          <w:szCs w:val="20"/>
        </w:rPr>
        <w:t>7</w:t>
      </w:r>
      <w:r w:rsidR="00D53870">
        <w:rPr>
          <w:rFonts w:cs="Arial"/>
          <w:sz w:val="20"/>
          <w:szCs w:val="20"/>
        </w:rPr>
        <w:t>0</w:t>
      </w:r>
      <w:r w:rsidRPr="007C2987">
        <w:rPr>
          <w:rFonts w:cs="Arial"/>
          <w:sz w:val="20"/>
          <w:szCs w:val="20"/>
        </w:rPr>
        <w:t xml:space="preserve"> Victorian reprocessing businesses responded, representing a 9</w:t>
      </w:r>
      <w:r w:rsidR="009631CF">
        <w:rPr>
          <w:rFonts w:cs="Arial"/>
          <w:sz w:val="20"/>
          <w:szCs w:val="20"/>
        </w:rPr>
        <w:t>0</w:t>
      </w:r>
      <w:r w:rsidRPr="007C2987">
        <w:rPr>
          <w:rFonts w:cs="Arial"/>
          <w:sz w:val="20"/>
          <w:szCs w:val="20"/>
        </w:rPr>
        <w:t xml:space="preserve">% response rate. </w:t>
      </w:r>
      <w:r w:rsidR="00F9306D">
        <w:rPr>
          <w:rFonts w:cs="Arial"/>
          <w:sz w:val="20"/>
          <w:szCs w:val="20"/>
        </w:rPr>
        <w:t>VRIAS</w:t>
      </w:r>
      <w:r w:rsidR="00C36669">
        <w:rPr>
          <w:rFonts w:cs="Arial"/>
          <w:sz w:val="20"/>
          <w:szCs w:val="20"/>
        </w:rPr>
        <w:t xml:space="preserve"> aims</w:t>
      </w:r>
      <w:r w:rsidR="00EE32BE">
        <w:rPr>
          <w:rFonts w:cs="Arial"/>
          <w:sz w:val="20"/>
          <w:szCs w:val="20"/>
        </w:rPr>
        <w:t xml:space="preserve"> </w:t>
      </w:r>
      <w:r w:rsidR="00B00A00" w:rsidRPr="00B00A00">
        <w:rPr>
          <w:rFonts w:cs="Arial"/>
          <w:sz w:val="20"/>
          <w:szCs w:val="20"/>
        </w:rPr>
        <w:t xml:space="preserve">at getting </w:t>
      </w:r>
      <w:r w:rsidR="00B00A00">
        <w:rPr>
          <w:rFonts w:cs="Arial"/>
          <w:sz w:val="20"/>
          <w:szCs w:val="20"/>
        </w:rPr>
        <w:t>all large reprocessors in the State to respond to allow a comprehensive analysis of the data. H</w:t>
      </w:r>
      <w:r w:rsidR="00B00A00" w:rsidRPr="00B00A00">
        <w:rPr>
          <w:rFonts w:cs="Arial"/>
          <w:sz w:val="20"/>
          <w:szCs w:val="20"/>
        </w:rPr>
        <w:t>owever</w:t>
      </w:r>
      <w:r w:rsidR="00B00A00">
        <w:rPr>
          <w:rFonts w:cs="Arial"/>
          <w:sz w:val="20"/>
          <w:szCs w:val="20"/>
        </w:rPr>
        <w:t>, for 201</w:t>
      </w:r>
      <w:r w:rsidR="00D53870">
        <w:rPr>
          <w:rFonts w:cs="Arial"/>
          <w:sz w:val="20"/>
          <w:szCs w:val="20"/>
        </w:rPr>
        <w:t>6</w:t>
      </w:r>
      <w:r w:rsidR="00B00A00">
        <w:rPr>
          <w:rFonts w:cs="Arial"/>
          <w:sz w:val="20"/>
          <w:szCs w:val="20"/>
        </w:rPr>
        <w:t>-1</w:t>
      </w:r>
      <w:r w:rsidR="00D53870">
        <w:rPr>
          <w:rFonts w:cs="Arial"/>
          <w:sz w:val="20"/>
          <w:szCs w:val="20"/>
        </w:rPr>
        <w:t>7</w:t>
      </w:r>
      <w:r w:rsidR="006A559F">
        <w:rPr>
          <w:rFonts w:cs="Arial"/>
          <w:sz w:val="20"/>
          <w:szCs w:val="20"/>
        </w:rPr>
        <w:t xml:space="preserve"> a large a</w:t>
      </w:r>
      <w:r w:rsidR="00B00A00">
        <w:rPr>
          <w:rFonts w:cs="Arial"/>
          <w:sz w:val="20"/>
          <w:szCs w:val="20"/>
        </w:rPr>
        <w:t xml:space="preserve">ggregate, masonry and soil </w:t>
      </w:r>
      <w:r w:rsidR="006A559F">
        <w:rPr>
          <w:rFonts w:cs="Arial"/>
          <w:sz w:val="20"/>
          <w:szCs w:val="20"/>
        </w:rPr>
        <w:t>as well as a m</w:t>
      </w:r>
      <w:r w:rsidR="00A33592">
        <w:rPr>
          <w:rFonts w:cs="Arial"/>
          <w:sz w:val="20"/>
          <w:szCs w:val="20"/>
        </w:rPr>
        <w:t xml:space="preserve">etal </w:t>
      </w:r>
      <w:r w:rsidR="00B00A00">
        <w:rPr>
          <w:rFonts w:cs="Arial"/>
          <w:sz w:val="20"/>
          <w:szCs w:val="20"/>
        </w:rPr>
        <w:t xml:space="preserve">reprocessor </w:t>
      </w:r>
      <w:r w:rsidR="00FA04C2">
        <w:rPr>
          <w:rFonts w:cs="Arial"/>
          <w:sz w:val="20"/>
          <w:szCs w:val="20"/>
        </w:rPr>
        <w:t>did not</w:t>
      </w:r>
      <w:r w:rsidR="00B00A00">
        <w:rPr>
          <w:rFonts w:cs="Arial"/>
          <w:sz w:val="20"/>
          <w:szCs w:val="20"/>
        </w:rPr>
        <w:t xml:space="preserve"> provide any data. The average for the last </w:t>
      </w:r>
      <w:r w:rsidR="0070349D">
        <w:rPr>
          <w:rFonts w:cs="Arial"/>
          <w:sz w:val="20"/>
          <w:szCs w:val="20"/>
        </w:rPr>
        <w:t>five</w:t>
      </w:r>
      <w:r w:rsidR="00B00A00">
        <w:rPr>
          <w:rFonts w:cs="Arial"/>
          <w:sz w:val="20"/>
          <w:szCs w:val="20"/>
        </w:rPr>
        <w:t xml:space="preserve"> years of reported data was used </w:t>
      </w:r>
      <w:r w:rsidR="00C36669">
        <w:rPr>
          <w:rFonts w:cs="Arial"/>
          <w:sz w:val="20"/>
          <w:szCs w:val="20"/>
        </w:rPr>
        <w:t xml:space="preserve">to estimate </w:t>
      </w:r>
      <w:r w:rsidR="00FA04C2">
        <w:rPr>
          <w:rFonts w:cs="Arial"/>
          <w:sz w:val="20"/>
          <w:szCs w:val="20"/>
        </w:rPr>
        <w:t xml:space="preserve">the </w:t>
      </w:r>
      <w:r w:rsidR="00B00A00">
        <w:rPr>
          <w:rFonts w:cs="Arial"/>
          <w:sz w:val="20"/>
          <w:szCs w:val="20"/>
        </w:rPr>
        <w:t>201</w:t>
      </w:r>
      <w:r w:rsidR="00A33592">
        <w:rPr>
          <w:rFonts w:cs="Arial"/>
          <w:sz w:val="20"/>
          <w:szCs w:val="20"/>
        </w:rPr>
        <w:t>6</w:t>
      </w:r>
      <w:r w:rsidR="00B00A00">
        <w:rPr>
          <w:rFonts w:cs="Arial"/>
          <w:sz w:val="20"/>
          <w:szCs w:val="20"/>
        </w:rPr>
        <w:t>-1</w:t>
      </w:r>
      <w:r w:rsidR="00A33592">
        <w:rPr>
          <w:rFonts w:cs="Arial"/>
          <w:sz w:val="20"/>
          <w:szCs w:val="20"/>
        </w:rPr>
        <w:t>7</w:t>
      </w:r>
      <w:r w:rsidR="00B00A00">
        <w:rPr>
          <w:rFonts w:cs="Arial"/>
          <w:sz w:val="20"/>
          <w:szCs w:val="20"/>
        </w:rPr>
        <w:t xml:space="preserve"> response. Nevertheless, </w:t>
      </w:r>
      <w:r w:rsidR="00FA04C2">
        <w:rPr>
          <w:rFonts w:cs="Arial"/>
          <w:sz w:val="20"/>
          <w:szCs w:val="20"/>
        </w:rPr>
        <w:t>i</w:t>
      </w:r>
      <w:r w:rsidRPr="007C2987">
        <w:rPr>
          <w:rFonts w:cs="Arial"/>
          <w:sz w:val="20"/>
          <w:szCs w:val="20"/>
        </w:rPr>
        <w:t xml:space="preserve">t is estimated that the </w:t>
      </w:r>
      <w:r w:rsidR="00A66C3F">
        <w:rPr>
          <w:rFonts w:cs="Arial"/>
          <w:sz w:val="20"/>
          <w:szCs w:val="20"/>
        </w:rPr>
        <w:t>6</w:t>
      </w:r>
      <w:r w:rsidR="00D53870">
        <w:rPr>
          <w:rFonts w:cs="Arial"/>
          <w:sz w:val="20"/>
          <w:szCs w:val="20"/>
        </w:rPr>
        <w:t>3</w:t>
      </w:r>
      <w:r w:rsidRPr="007C2987">
        <w:rPr>
          <w:rFonts w:cs="Arial"/>
          <w:sz w:val="20"/>
          <w:szCs w:val="20"/>
        </w:rPr>
        <w:t xml:space="preserve"> responding reprocessing businesses recover more than </w:t>
      </w:r>
      <w:r w:rsidR="00B00A00">
        <w:rPr>
          <w:rFonts w:cs="Arial"/>
          <w:sz w:val="20"/>
          <w:szCs w:val="20"/>
        </w:rPr>
        <w:t>8</w:t>
      </w:r>
      <w:r w:rsidR="00D53870">
        <w:rPr>
          <w:rFonts w:cs="Arial"/>
          <w:sz w:val="20"/>
          <w:szCs w:val="20"/>
        </w:rPr>
        <w:t>5</w:t>
      </w:r>
      <w:r w:rsidRPr="007C2987">
        <w:rPr>
          <w:rFonts w:cs="Arial"/>
          <w:sz w:val="20"/>
          <w:szCs w:val="20"/>
        </w:rPr>
        <w:t>% by weight of all material recovered in Victoria.</w:t>
      </w:r>
      <w:r w:rsidR="009631CF">
        <w:rPr>
          <w:rFonts w:cs="Arial"/>
          <w:sz w:val="20"/>
          <w:szCs w:val="20"/>
        </w:rPr>
        <w:t xml:space="preserve"> </w:t>
      </w:r>
    </w:p>
    <w:p w14:paraId="202862FA" w14:textId="09B34255" w:rsidR="007C2987" w:rsidRPr="007C2987" w:rsidRDefault="007C2987" w:rsidP="00D01076">
      <w:pPr>
        <w:spacing w:after="100"/>
        <w:jc w:val="both"/>
        <w:rPr>
          <w:rFonts w:cs="Arial"/>
          <w:sz w:val="20"/>
          <w:szCs w:val="20"/>
        </w:rPr>
      </w:pPr>
      <w:r w:rsidRPr="007C2987">
        <w:rPr>
          <w:rFonts w:cs="Arial"/>
          <w:sz w:val="20"/>
          <w:szCs w:val="20"/>
        </w:rPr>
        <w:t xml:space="preserve">Additional information was sought from the </w:t>
      </w:r>
      <w:r w:rsidR="0070349D">
        <w:rPr>
          <w:rFonts w:cs="Arial"/>
          <w:sz w:val="20"/>
          <w:szCs w:val="20"/>
        </w:rPr>
        <w:t>ABS</w:t>
      </w:r>
      <w:r w:rsidRPr="007C2987">
        <w:rPr>
          <w:rFonts w:cs="Arial"/>
          <w:sz w:val="20"/>
          <w:szCs w:val="20"/>
        </w:rPr>
        <w:t xml:space="preserve"> on the export of materials from Australia to overseas markets for reprocessing during the 201</w:t>
      </w:r>
      <w:r w:rsidR="00D53870">
        <w:rPr>
          <w:rFonts w:cs="Arial"/>
          <w:sz w:val="20"/>
          <w:szCs w:val="20"/>
        </w:rPr>
        <w:t>6</w:t>
      </w:r>
      <w:r w:rsidRPr="007C2987">
        <w:rPr>
          <w:rFonts w:cs="Arial"/>
          <w:sz w:val="20"/>
          <w:szCs w:val="20"/>
        </w:rPr>
        <w:t>-1</w:t>
      </w:r>
      <w:r w:rsidR="00D53870">
        <w:rPr>
          <w:rFonts w:cs="Arial"/>
          <w:sz w:val="20"/>
          <w:szCs w:val="20"/>
        </w:rPr>
        <w:t>7</w:t>
      </w:r>
      <w:r w:rsidRPr="007C2987">
        <w:rPr>
          <w:rFonts w:cs="Arial"/>
          <w:sz w:val="20"/>
          <w:szCs w:val="20"/>
        </w:rPr>
        <w:t xml:space="preserve"> financial year. This data aims to capture materials exported from companies not surveyed by </w:t>
      </w:r>
      <w:r w:rsidR="0070349D">
        <w:rPr>
          <w:rFonts w:cs="Arial"/>
          <w:sz w:val="20"/>
          <w:szCs w:val="20"/>
        </w:rPr>
        <w:t>SV</w:t>
      </w:r>
      <w:r w:rsidRPr="007C2987">
        <w:rPr>
          <w:rFonts w:cs="Arial"/>
          <w:sz w:val="20"/>
          <w:szCs w:val="20"/>
        </w:rPr>
        <w:t>, such as export traders.</w:t>
      </w:r>
    </w:p>
    <w:p w14:paraId="4869CB57" w14:textId="4EC6ADCD" w:rsidR="007C2987" w:rsidRPr="007C2987" w:rsidRDefault="007C2987" w:rsidP="00D01076">
      <w:pPr>
        <w:spacing w:after="100"/>
        <w:jc w:val="both"/>
        <w:rPr>
          <w:rFonts w:cs="Arial"/>
          <w:sz w:val="20"/>
          <w:szCs w:val="20"/>
        </w:rPr>
      </w:pPr>
      <w:r w:rsidRPr="007C2987">
        <w:rPr>
          <w:rFonts w:cs="Arial"/>
          <w:sz w:val="20"/>
          <w:szCs w:val="20"/>
        </w:rPr>
        <w:t xml:space="preserve">Data on solid waste disposed to licensed landfills was sourced from the EPA’s landfill levy returns. </w:t>
      </w:r>
    </w:p>
    <w:p w14:paraId="256C4E08" w14:textId="1A6096A8" w:rsidR="00724D17" w:rsidRPr="00B300C1" w:rsidRDefault="007C2987" w:rsidP="00B300C1">
      <w:r w:rsidRPr="007C2987">
        <w:rPr>
          <w:rFonts w:cs="Arial"/>
          <w:sz w:val="20"/>
          <w:szCs w:val="20"/>
        </w:rPr>
        <w:t xml:space="preserve">The reporting of food organics material recovery data no longer includes any prescribed industrial waste figures, such as meat leftover from rendering processes or grease traps. </w:t>
      </w:r>
    </w:p>
    <w:p w14:paraId="3E89D5C1" w14:textId="1561B167" w:rsidR="00CD2B3D" w:rsidRPr="00EC66A3" w:rsidRDefault="00CD2B3D" w:rsidP="001354FA">
      <w:pPr>
        <w:pStyle w:val="Heading2"/>
      </w:pPr>
      <w:bookmarkStart w:id="56" w:name="_Toc525308011"/>
      <w:r w:rsidRPr="00EC66A3">
        <w:lastRenderedPageBreak/>
        <w:t>Appendix C: Material</w:t>
      </w:r>
      <w:r w:rsidR="00C85393">
        <w:t>-</w:t>
      </w:r>
      <w:r w:rsidRPr="00EC66A3">
        <w:t>specific recovery data</w:t>
      </w:r>
      <w:bookmarkEnd w:id="56"/>
    </w:p>
    <w:p w14:paraId="387AF7C5" w14:textId="28808554" w:rsidR="00310355" w:rsidRDefault="00DD5414" w:rsidP="00B300C1">
      <w:pPr>
        <w:pStyle w:val="Heading3"/>
        <w:rPr>
          <w:lang w:val="en" w:eastAsia="en-AU"/>
        </w:rPr>
      </w:pPr>
      <w:bookmarkStart w:id="57" w:name="_Toc525308012"/>
      <w:r w:rsidRPr="00310355">
        <w:t>Aggregates, masonry and soil</w:t>
      </w:r>
      <w:bookmarkEnd w:id="57"/>
      <w:r w:rsidRPr="00310355">
        <w:t xml:space="preserve"> </w:t>
      </w:r>
    </w:p>
    <w:p w14:paraId="60F7E24A" w14:textId="7037FC16" w:rsidR="00310355" w:rsidRPr="00B300C1" w:rsidRDefault="00F23419" w:rsidP="009065E2">
      <w:pPr>
        <w:shd w:val="clear" w:color="auto" w:fill="FFFFFF"/>
        <w:spacing w:line="240" w:lineRule="atLeast"/>
        <w:rPr>
          <w:rFonts w:eastAsia="Times New Roman" w:cs="Arial"/>
          <w:sz w:val="20"/>
          <w:szCs w:val="20"/>
          <w:lang w:val="en" w:eastAsia="en-AU"/>
        </w:rPr>
      </w:pPr>
      <w:r w:rsidRPr="00322921">
        <w:rPr>
          <w:rFonts w:eastAsia="Times New Roman" w:cs="Arial"/>
          <w:sz w:val="20"/>
          <w:szCs w:val="20"/>
          <w:lang w:val="en" w:eastAsia="en-AU"/>
        </w:rPr>
        <w:t>In 201</w:t>
      </w:r>
      <w:r w:rsidR="00A83327">
        <w:rPr>
          <w:rFonts w:eastAsia="Times New Roman" w:cs="Arial"/>
          <w:sz w:val="20"/>
          <w:szCs w:val="20"/>
          <w:lang w:val="en" w:eastAsia="en-AU"/>
        </w:rPr>
        <w:t>6</w:t>
      </w:r>
      <w:r w:rsidRPr="00322921">
        <w:rPr>
          <w:rFonts w:eastAsia="Times New Roman" w:cs="Arial"/>
          <w:sz w:val="20"/>
          <w:szCs w:val="20"/>
          <w:lang w:val="en" w:eastAsia="en-AU"/>
        </w:rPr>
        <w:t>-1</w:t>
      </w:r>
      <w:r w:rsidR="00A83327">
        <w:rPr>
          <w:rFonts w:eastAsia="Times New Roman" w:cs="Arial"/>
          <w:sz w:val="20"/>
          <w:szCs w:val="20"/>
          <w:lang w:val="en" w:eastAsia="en-AU"/>
        </w:rPr>
        <w:t>7</w:t>
      </w:r>
      <w:r w:rsidRPr="00322921">
        <w:rPr>
          <w:rFonts w:eastAsia="Times New Roman" w:cs="Arial"/>
          <w:sz w:val="20"/>
          <w:szCs w:val="20"/>
          <w:lang w:val="en" w:eastAsia="en-AU"/>
        </w:rPr>
        <w:t xml:space="preserve"> the amount of </w:t>
      </w:r>
      <w:r w:rsidRPr="004D07E7">
        <w:rPr>
          <w:rFonts w:eastAsia="Times New Roman" w:cs="Arial"/>
          <w:i/>
          <w:sz w:val="20"/>
          <w:szCs w:val="20"/>
          <w:lang w:val="en" w:eastAsia="en-AU"/>
        </w:rPr>
        <w:t>aggregates, masonry and soil</w:t>
      </w:r>
      <w:r w:rsidRPr="00322921">
        <w:rPr>
          <w:rFonts w:eastAsia="Times New Roman" w:cs="Arial"/>
          <w:sz w:val="20"/>
          <w:szCs w:val="20"/>
          <w:lang w:val="en" w:eastAsia="en-AU"/>
        </w:rPr>
        <w:t xml:space="preserve"> recovered for reprocessing in Victoria</w:t>
      </w:r>
      <w:r w:rsidR="00A83327">
        <w:rPr>
          <w:rFonts w:eastAsia="Times New Roman" w:cs="Arial"/>
          <w:sz w:val="20"/>
          <w:szCs w:val="20"/>
          <w:lang w:val="en" w:eastAsia="en-AU"/>
        </w:rPr>
        <w:t xml:space="preserve"> decrease</w:t>
      </w:r>
      <w:r w:rsidR="009065E2">
        <w:rPr>
          <w:rFonts w:eastAsia="Times New Roman" w:cs="Arial"/>
          <w:sz w:val="20"/>
          <w:szCs w:val="20"/>
          <w:lang w:val="en" w:eastAsia="en-AU"/>
        </w:rPr>
        <w:t>d</w:t>
      </w:r>
      <w:r w:rsidR="00E63800">
        <w:rPr>
          <w:rFonts w:eastAsia="Times New Roman" w:cs="Arial"/>
          <w:sz w:val="20"/>
          <w:szCs w:val="20"/>
          <w:lang w:val="en" w:eastAsia="en-AU"/>
        </w:rPr>
        <w:t xml:space="preserve"> half a percentage point </w:t>
      </w:r>
      <w:r w:rsidR="00420443">
        <w:rPr>
          <w:rFonts w:eastAsia="Times New Roman" w:cs="Arial"/>
          <w:sz w:val="20"/>
          <w:szCs w:val="20"/>
          <w:lang w:val="en" w:eastAsia="en-AU"/>
        </w:rPr>
        <w:t>from 2015</w:t>
      </w:r>
      <w:r w:rsidR="00A83327">
        <w:rPr>
          <w:rFonts w:eastAsia="Times New Roman" w:cs="Arial"/>
          <w:sz w:val="20"/>
          <w:szCs w:val="20"/>
          <w:lang w:val="en" w:eastAsia="en-AU"/>
        </w:rPr>
        <w:t>-16 to</w:t>
      </w:r>
      <w:r w:rsidRPr="00322921">
        <w:rPr>
          <w:rFonts w:eastAsia="Times New Roman" w:cs="Arial"/>
          <w:sz w:val="20"/>
          <w:szCs w:val="20"/>
          <w:lang w:val="en" w:eastAsia="en-AU"/>
        </w:rPr>
        <w:t xml:space="preserve"> </w:t>
      </w:r>
      <w:r w:rsidRPr="00B300C1">
        <w:rPr>
          <w:rFonts w:eastAsia="Times New Roman" w:cs="Arial"/>
          <w:bCs/>
          <w:sz w:val="20"/>
          <w:szCs w:val="20"/>
          <w:lang w:val="en" w:eastAsia="en-AU"/>
        </w:rPr>
        <w:t xml:space="preserve">4.1 million tonnes. </w:t>
      </w:r>
      <w:r w:rsidR="00D328B3">
        <w:rPr>
          <w:rFonts w:eastAsia="Times New Roman" w:cs="Arial"/>
          <w:bCs/>
          <w:sz w:val="20"/>
          <w:szCs w:val="20"/>
          <w:lang w:val="en" w:eastAsia="en-AU"/>
        </w:rPr>
        <w:t>T</w:t>
      </w:r>
      <w:r w:rsidR="00D328B3" w:rsidRPr="00310355">
        <w:rPr>
          <w:rFonts w:eastAsia="Times New Roman" w:cs="Arial"/>
          <w:sz w:val="20"/>
          <w:szCs w:val="20"/>
          <w:lang w:val="en" w:eastAsia="en-AU"/>
        </w:rPr>
        <w:t xml:space="preserve">he </w:t>
      </w:r>
      <w:r w:rsidR="00D328B3">
        <w:rPr>
          <w:rFonts w:eastAsia="Times New Roman" w:cs="Arial"/>
          <w:sz w:val="20"/>
          <w:szCs w:val="20"/>
          <w:lang w:val="en" w:eastAsia="en-AU"/>
        </w:rPr>
        <w:t>C&amp;D</w:t>
      </w:r>
      <w:r w:rsidR="00D328B3" w:rsidRPr="00310355">
        <w:rPr>
          <w:rFonts w:eastAsia="Times New Roman" w:cs="Arial"/>
          <w:sz w:val="20"/>
          <w:szCs w:val="20"/>
          <w:lang w:val="en" w:eastAsia="en-AU"/>
        </w:rPr>
        <w:t xml:space="preserve"> sector</w:t>
      </w:r>
      <w:r w:rsidR="00D328B3">
        <w:rPr>
          <w:rFonts w:eastAsia="Times New Roman" w:cs="Arial"/>
          <w:sz w:val="20"/>
          <w:szCs w:val="20"/>
          <w:lang w:val="en" w:eastAsia="en-AU"/>
        </w:rPr>
        <w:t xml:space="preserve"> again</w:t>
      </w:r>
      <w:r w:rsidR="00D328B3" w:rsidRPr="00310355">
        <w:rPr>
          <w:rFonts w:eastAsia="Times New Roman" w:cs="Arial"/>
          <w:sz w:val="20"/>
          <w:szCs w:val="20"/>
          <w:lang w:val="en" w:eastAsia="en-AU"/>
        </w:rPr>
        <w:t xml:space="preserve"> contributed </w:t>
      </w:r>
      <w:r w:rsidR="00D328B3">
        <w:rPr>
          <w:rFonts w:eastAsia="Times New Roman" w:cs="Arial"/>
          <w:sz w:val="20"/>
          <w:szCs w:val="20"/>
          <w:lang w:val="en" w:eastAsia="en-AU"/>
        </w:rPr>
        <w:t>almost 100</w:t>
      </w:r>
      <w:r w:rsidR="00D328B3" w:rsidRPr="00310355">
        <w:rPr>
          <w:rFonts w:eastAsia="Times New Roman" w:cs="Arial"/>
          <w:sz w:val="20"/>
          <w:szCs w:val="20"/>
          <w:lang w:val="en" w:eastAsia="en-AU"/>
        </w:rPr>
        <w:t>%</w:t>
      </w:r>
      <w:r w:rsidR="00D328B3">
        <w:rPr>
          <w:rFonts w:eastAsia="Times New Roman" w:cs="Arial"/>
          <w:sz w:val="20"/>
          <w:szCs w:val="20"/>
          <w:lang w:val="en" w:eastAsia="en-AU"/>
        </w:rPr>
        <w:t>.</w:t>
      </w:r>
    </w:p>
    <w:p w14:paraId="76782550" w14:textId="295B6F1B" w:rsidR="00DD5414" w:rsidRPr="00310355" w:rsidRDefault="00DD5414" w:rsidP="00310355">
      <w:pPr>
        <w:shd w:val="clear" w:color="auto" w:fill="FFFFFF"/>
        <w:spacing w:after="0" w:line="260" w:lineRule="atLeast"/>
        <w:rPr>
          <w:rFonts w:eastAsia="Times New Roman" w:cs="Arial"/>
          <w:sz w:val="20"/>
          <w:szCs w:val="20"/>
          <w:lang w:val="en" w:eastAsia="en-AU"/>
        </w:rPr>
      </w:pPr>
      <w:r w:rsidRPr="00310355">
        <w:rPr>
          <w:rFonts w:eastAsia="Times New Roman" w:cs="Arial"/>
          <w:sz w:val="20"/>
          <w:szCs w:val="20"/>
          <w:lang w:val="en" w:eastAsia="en-AU"/>
        </w:rPr>
        <w:t>In 201</w:t>
      </w:r>
      <w:r w:rsidR="0082630D">
        <w:rPr>
          <w:rFonts w:eastAsia="Times New Roman" w:cs="Arial"/>
          <w:sz w:val="20"/>
          <w:szCs w:val="20"/>
          <w:lang w:val="en" w:eastAsia="en-AU"/>
        </w:rPr>
        <w:t>6</w:t>
      </w:r>
      <w:r w:rsidRPr="00310355">
        <w:rPr>
          <w:rFonts w:eastAsia="Times New Roman" w:cs="Arial"/>
          <w:sz w:val="20"/>
          <w:szCs w:val="20"/>
          <w:lang w:val="en" w:eastAsia="en-AU"/>
        </w:rPr>
        <w:t>-1</w:t>
      </w:r>
      <w:r w:rsidR="0082630D">
        <w:rPr>
          <w:rFonts w:eastAsia="Times New Roman" w:cs="Arial"/>
          <w:sz w:val="20"/>
          <w:szCs w:val="20"/>
          <w:lang w:val="en" w:eastAsia="en-AU"/>
        </w:rPr>
        <w:t>7</w:t>
      </w:r>
      <w:r w:rsidR="00D328B3">
        <w:rPr>
          <w:rFonts w:eastAsia="Times New Roman" w:cs="Arial"/>
          <w:sz w:val="20"/>
          <w:szCs w:val="20"/>
          <w:lang w:val="en" w:eastAsia="en-AU"/>
        </w:rPr>
        <w:t>,</w:t>
      </w:r>
      <w:r w:rsidRPr="00310355">
        <w:rPr>
          <w:rFonts w:eastAsia="Times New Roman" w:cs="Arial"/>
          <w:sz w:val="20"/>
          <w:szCs w:val="20"/>
          <w:lang w:val="en" w:eastAsia="en-AU"/>
        </w:rPr>
        <w:t xml:space="preserve"> of the total </w:t>
      </w:r>
      <w:r w:rsidR="00983110" w:rsidRPr="004D07E7">
        <w:rPr>
          <w:rFonts w:eastAsia="Times New Roman" w:cs="Arial"/>
          <w:i/>
          <w:sz w:val="20"/>
          <w:szCs w:val="20"/>
          <w:lang w:val="en" w:eastAsia="en-AU"/>
        </w:rPr>
        <w:t>a</w:t>
      </w:r>
      <w:r w:rsidRPr="004D07E7">
        <w:rPr>
          <w:rFonts w:eastAsia="Times New Roman" w:cs="Arial"/>
          <w:i/>
          <w:sz w:val="20"/>
          <w:szCs w:val="20"/>
          <w:lang w:val="en" w:eastAsia="en-AU"/>
        </w:rPr>
        <w:t>ggregates, masonry and soil</w:t>
      </w:r>
      <w:r w:rsidRPr="00983110">
        <w:rPr>
          <w:rFonts w:eastAsia="Times New Roman" w:cs="Arial"/>
          <w:sz w:val="20"/>
          <w:szCs w:val="20"/>
          <w:lang w:val="en" w:eastAsia="en-AU"/>
        </w:rPr>
        <w:t xml:space="preserve"> recovered</w:t>
      </w:r>
      <w:r w:rsidRPr="00310355">
        <w:rPr>
          <w:rFonts w:eastAsia="Times New Roman" w:cs="Arial"/>
          <w:sz w:val="20"/>
          <w:szCs w:val="20"/>
          <w:lang w:val="en" w:eastAsia="en-AU"/>
        </w:rPr>
        <w:t>:</w:t>
      </w:r>
    </w:p>
    <w:p w14:paraId="7A3C6AAA" w14:textId="63A9BB2D" w:rsidR="00DD5414" w:rsidRPr="00310355" w:rsidRDefault="00E63800" w:rsidP="00D01076">
      <w:pPr>
        <w:pStyle w:val="ListBullet"/>
      </w:pPr>
      <w:r>
        <w:t>c</w:t>
      </w:r>
      <w:r w:rsidR="00DD5414" w:rsidRPr="00310355">
        <w:t xml:space="preserve">oncrete accounted for </w:t>
      </w:r>
      <w:r w:rsidR="001479A3">
        <w:t>5</w:t>
      </w:r>
      <w:r w:rsidR="0082630D">
        <w:t>6</w:t>
      </w:r>
      <w:r w:rsidR="00DD5414" w:rsidRPr="00310355">
        <w:t xml:space="preserve">% and decreased by </w:t>
      </w:r>
      <w:r w:rsidR="0082630D">
        <w:t>5</w:t>
      </w:r>
      <w:r w:rsidR="00DD5414" w:rsidRPr="00310355">
        <w:t xml:space="preserve">% from the previous year to </w:t>
      </w:r>
      <w:r w:rsidR="001479A3">
        <w:t>2</w:t>
      </w:r>
      <w:r w:rsidR="00DD5414" w:rsidRPr="00310355">
        <w:t>.</w:t>
      </w:r>
      <w:r w:rsidR="0082630D">
        <w:t>26</w:t>
      </w:r>
      <w:r w:rsidR="00DD5414" w:rsidRPr="00310355">
        <w:t xml:space="preserve"> million tonnes</w:t>
      </w:r>
    </w:p>
    <w:p w14:paraId="7AD4FEA7" w14:textId="1AA8F281" w:rsidR="00DD5414" w:rsidRPr="00310355" w:rsidRDefault="00E63800" w:rsidP="00D01076">
      <w:pPr>
        <w:pStyle w:val="ListBullet"/>
      </w:pPr>
      <w:r>
        <w:t>m</w:t>
      </w:r>
      <w:r w:rsidR="00DD5414" w:rsidRPr="00310355">
        <w:t xml:space="preserve">ixed </w:t>
      </w:r>
      <w:r w:rsidR="001479A3" w:rsidRPr="004D07E7">
        <w:rPr>
          <w:i/>
        </w:rPr>
        <w:t>Aggregates, masonry and soil</w:t>
      </w:r>
      <w:r w:rsidR="00DD5414" w:rsidRPr="00310355">
        <w:t xml:space="preserve"> accounted for </w:t>
      </w:r>
      <w:r w:rsidR="0082630D">
        <w:t>8</w:t>
      </w:r>
      <w:r w:rsidR="00DD5414" w:rsidRPr="00310355">
        <w:t xml:space="preserve">% and </w:t>
      </w:r>
      <w:r w:rsidR="0082630D">
        <w:t>de</w:t>
      </w:r>
      <w:r w:rsidR="00DD5414" w:rsidRPr="00310355">
        <w:t xml:space="preserve">creased </w:t>
      </w:r>
      <w:r w:rsidR="009065E2">
        <w:t xml:space="preserve">from 553,000 </w:t>
      </w:r>
      <w:r w:rsidR="00DD5414" w:rsidRPr="00310355">
        <w:t xml:space="preserve">to </w:t>
      </w:r>
      <w:r w:rsidR="0082630D">
        <w:t>345</w:t>
      </w:r>
      <w:r w:rsidR="009065E2">
        <w:t>,000 tonnes</w:t>
      </w:r>
    </w:p>
    <w:p w14:paraId="583A5975" w14:textId="2D9C0557" w:rsidR="00DD5414" w:rsidRPr="00310355" w:rsidRDefault="00E63800" w:rsidP="00D01076">
      <w:pPr>
        <w:pStyle w:val="ListBullet"/>
      </w:pPr>
      <w:r>
        <w:t>r</w:t>
      </w:r>
      <w:r w:rsidR="009065E2">
        <w:t>ock/</w:t>
      </w:r>
      <w:r w:rsidR="00DD5414" w:rsidRPr="00310355">
        <w:t>excavation stone accounted for 1</w:t>
      </w:r>
      <w:r w:rsidR="00752127">
        <w:t>5</w:t>
      </w:r>
      <w:r w:rsidR="00DD5414" w:rsidRPr="00310355">
        <w:t xml:space="preserve">% and </w:t>
      </w:r>
      <w:r w:rsidR="00752127">
        <w:t>in</w:t>
      </w:r>
      <w:r w:rsidR="00DD5414" w:rsidRPr="00310355">
        <w:t xml:space="preserve">creased by </w:t>
      </w:r>
      <w:r w:rsidR="00752127">
        <w:t>32</w:t>
      </w:r>
      <w:r w:rsidR="00DD5414" w:rsidRPr="00310355">
        <w:t xml:space="preserve">% to </w:t>
      </w:r>
      <w:r w:rsidR="00752127">
        <w:t>622</w:t>
      </w:r>
      <w:r w:rsidR="00DD5414" w:rsidRPr="00310355">
        <w:t>,000 tonnes</w:t>
      </w:r>
    </w:p>
    <w:p w14:paraId="5186C308" w14:textId="135F4E31" w:rsidR="00DD5414" w:rsidRPr="00310355" w:rsidRDefault="00E63800" w:rsidP="00D01076">
      <w:pPr>
        <w:pStyle w:val="ListBullet"/>
      </w:pPr>
      <w:r>
        <w:t>b</w:t>
      </w:r>
      <w:r w:rsidR="00DD5414" w:rsidRPr="00310355">
        <w:t xml:space="preserve">rick whole/ brick rubble accounted for </w:t>
      </w:r>
      <w:r w:rsidR="001479A3">
        <w:t>1</w:t>
      </w:r>
      <w:r w:rsidR="00752127">
        <w:t>4</w:t>
      </w:r>
      <w:r w:rsidR="00DD5414" w:rsidRPr="00310355">
        <w:t xml:space="preserve">% and </w:t>
      </w:r>
      <w:r w:rsidR="001479A3">
        <w:t>in</w:t>
      </w:r>
      <w:r w:rsidR="00DD5414" w:rsidRPr="00310355">
        <w:t xml:space="preserve">creased by </w:t>
      </w:r>
      <w:r w:rsidR="001479A3">
        <w:t>3</w:t>
      </w:r>
      <w:r w:rsidR="00752127">
        <w:t>8</w:t>
      </w:r>
      <w:r w:rsidR="00DD5414" w:rsidRPr="00310355">
        <w:t xml:space="preserve">% to </w:t>
      </w:r>
      <w:r w:rsidR="00752127">
        <w:t>586</w:t>
      </w:r>
      <w:r w:rsidR="00DD5414" w:rsidRPr="00310355">
        <w:t>,000 tonnes</w:t>
      </w:r>
    </w:p>
    <w:p w14:paraId="39F4E877" w14:textId="098397EB" w:rsidR="00DD5414" w:rsidRPr="00310355" w:rsidRDefault="00E63800" w:rsidP="00D01076">
      <w:pPr>
        <w:pStyle w:val="ListBullet"/>
      </w:pPr>
      <w:r>
        <w:t>a</w:t>
      </w:r>
      <w:r w:rsidR="00DD5414" w:rsidRPr="00310355">
        <w:t xml:space="preserve">sphalt accounted for 4% and </w:t>
      </w:r>
      <w:r w:rsidR="00752127">
        <w:t>in</w:t>
      </w:r>
      <w:r w:rsidR="00DD5414" w:rsidRPr="00310355">
        <w:t xml:space="preserve">creased by </w:t>
      </w:r>
      <w:r w:rsidR="00752127">
        <w:t>1</w:t>
      </w:r>
      <w:r w:rsidR="00DD5414" w:rsidRPr="00310355">
        <w:t>% to 1</w:t>
      </w:r>
      <w:r w:rsidR="001479A3">
        <w:t>5</w:t>
      </w:r>
      <w:r w:rsidR="00752127">
        <w:t>9</w:t>
      </w:r>
      <w:r w:rsidR="00DD5414" w:rsidRPr="00310355">
        <w:t>,000 tonnes</w:t>
      </w:r>
    </w:p>
    <w:p w14:paraId="0386FFEA" w14:textId="00C4B1C4" w:rsidR="00DD5414" w:rsidRPr="00310355" w:rsidRDefault="00E63800" w:rsidP="00D01076">
      <w:pPr>
        <w:pStyle w:val="ListBullet"/>
      </w:pPr>
      <w:r>
        <w:t>s</w:t>
      </w:r>
      <w:r w:rsidR="00DD5414" w:rsidRPr="00310355">
        <w:t xml:space="preserve">oil / sand accounted for </w:t>
      </w:r>
      <w:r w:rsidR="00752127">
        <w:t>1</w:t>
      </w:r>
      <w:r w:rsidR="00DD5414" w:rsidRPr="00310355">
        <w:t xml:space="preserve">% and </w:t>
      </w:r>
      <w:r w:rsidR="00752127">
        <w:t>de</w:t>
      </w:r>
      <w:r w:rsidR="00DD5414" w:rsidRPr="00310355">
        <w:t xml:space="preserve">creased by </w:t>
      </w:r>
      <w:r w:rsidR="00752127">
        <w:t>15</w:t>
      </w:r>
      <w:r w:rsidR="00DD5414" w:rsidRPr="00310355">
        <w:t xml:space="preserve">% to </w:t>
      </w:r>
      <w:r w:rsidR="00752127">
        <w:t>59</w:t>
      </w:r>
      <w:r w:rsidR="00DD5414" w:rsidRPr="00310355">
        <w:t>,000 tonnes</w:t>
      </w:r>
    </w:p>
    <w:p w14:paraId="6D146FF3" w14:textId="7B9F873C" w:rsidR="00DD5414" w:rsidRPr="00310355" w:rsidRDefault="00E63800" w:rsidP="00D01076">
      <w:pPr>
        <w:pStyle w:val="ListBullet"/>
      </w:pPr>
      <w:r>
        <w:t>p</w:t>
      </w:r>
      <w:r w:rsidR="00DD5414" w:rsidRPr="00310355">
        <w:t xml:space="preserve">lasterboard accounted for 1% and </w:t>
      </w:r>
      <w:r w:rsidR="001479A3">
        <w:t>de</w:t>
      </w:r>
      <w:r w:rsidR="00DD5414" w:rsidRPr="00310355">
        <w:t xml:space="preserve">creased by </w:t>
      </w:r>
      <w:r w:rsidR="00752127">
        <w:t>7</w:t>
      </w:r>
      <w:r w:rsidR="00DD5414" w:rsidRPr="00310355">
        <w:t xml:space="preserve">% to </w:t>
      </w:r>
      <w:r w:rsidR="00752127">
        <w:t>34</w:t>
      </w:r>
      <w:r w:rsidR="00DD5414" w:rsidRPr="00310355">
        <w:t>,000 tonnes.</w:t>
      </w:r>
    </w:p>
    <w:p w14:paraId="454CEC9D" w14:textId="77777777" w:rsidR="00B35307" w:rsidRDefault="00B35307" w:rsidP="00420443">
      <w:pPr>
        <w:pStyle w:val="Caption"/>
      </w:pPr>
    </w:p>
    <w:p w14:paraId="5D1A93F7" w14:textId="1E33D3B1" w:rsidR="00814D40" w:rsidRDefault="00BA256A" w:rsidP="00420443">
      <w:pPr>
        <w:pStyle w:val="Caption"/>
      </w:pPr>
      <w:r>
        <w:t>Composition of a</w:t>
      </w:r>
      <w:r w:rsidR="00DD5414" w:rsidRPr="00310355">
        <w:t>ggregates, masonry &amp; soil material recovered for reprocessing (by weight), Victoria 201</w:t>
      </w:r>
      <w:r w:rsidR="00752127">
        <w:t>6</w:t>
      </w:r>
      <w:r w:rsidR="00DD5414" w:rsidRPr="00310355">
        <w:t>-1</w:t>
      </w:r>
      <w:r w:rsidR="00752127">
        <w:t>7</w:t>
      </w:r>
    </w:p>
    <w:p w14:paraId="036D0035" w14:textId="02827664" w:rsidR="0082630D" w:rsidRDefault="001229C1" w:rsidP="00275AB1">
      <w:pPr>
        <w:jc w:val="center"/>
      </w:pPr>
      <w:r w:rsidRPr="001229C1">
        <w:rPr>
          <w:noProof/>
          <w:lang w:eastAsia="en-AU"/>
        </w:rPr>
        <w:drawing>
          <wp:inline distT="0" distB="0" distL="0" distR="0" wp14:anchorId="295FD133" wp14:editId="507B195A">
            <wp:extent cx="4251600" cy="2412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1600" cy="2412000"/>
                    </a:xfrm>
                    <a:prstGeom prst="rect">
                      <a:avLst/>
                    </a:prstGeom>
                    <a:noFill/>
                    <a:ln>
                      <a:noFill/>
                    </a:ln>
                  </pic:spPr>
                </pic:pic>
              </a:graphicData>
            </a:graphic>
          </wp:inline>
        </w:drawing>
      </w:r>
    </w:p>
    <w:p w14:paraId="62049C44" w14:textId="0F43636A" w:rsidR="00A73028" w:rsidRDefault="00A73028" w:rsidP="00275AB1">
      <w:pPr>
        <w:jc w:val="center"/>
      </w:pPr>
    </w:p>
    <w:p w14:paraId="27498D23" w14:textId="77777777" w:rsidR="00B14C19" w:rsidRDefault="00B14C19" w:rsidP="00275AB1">
      <w:pPr>
        <w:jc w:val="center"/>
      </w:pPr>
    </w:p>
    <w:p w14:paraId="0F426ACC" w14:textId="04E78CC5" w:rsidR="002C27A5" w:rsidRPr="009065E2" w:rsidRDefault="00DD5414" w:rsidP="009065E2">
      <w:pPr>
        <w:shd w:val="clear" w:color="auto" w:fill="FFFFFF"/>
        <w:spacing w:after="0" w:line="240" w:lineRule="atLeast"/>
        <w:jc w:val="both"/>
        <w:rPr>
          <w:rFonts w:eastAsia="Times New Roman" w:cs="Arial"/>
          <w:sz w:val="20"/>
          <w:szCs w:val="20"/>
          <w:lang w:val="en" w:eastAsia="en-AU"/>
        </w:rPr>
      </w:pPr>
      <w:r w:rsidRPr="00310355">
        <w:rPr>
          <w:rFonts w:eastAsia="Times New Roman" w:cs="Arial"/>
          <w:sz w:val="20"/>
          <w:szCs w:val="20"/>
          <w:lang w:val="en" w:eastAsia="en-AU"/>
        </w:rPr>
        <w:t xml:space="preserve">The </w:t>
      </w:r>
      <w:r w:rsidR="00D01076">
        <w:rPr>
          <w:rFonts w:eastAsia="Times New Roman" w:cs="Arial"/>
          <w:sz w:val="20"/>
          <w:szCs w:val="20"/>
          <w:lang w:val="en" w:eastAsia="en-AU"/>
        </w:rPr>
        <w:t xml:space="preserve">following </w:t>
      </w:r>
      <w:r w:rsidR="00B14C19">
        <w:rPr>
          <w:rFonts w:eastAsia="Times New Roman" w:cs="Arial"/>
          <w:sz w:val="20"/>
          <w:szCs w:val="20"/>
          <w:lang w:val="en" w:eastAsia="en-AU"/>
        </w:rPr>
        <w:t>chart</w:t>
      </w:r>
      <w:r w:rsidRPr="00310355">
        <w:rPr>
          <w:rFonts w:eastAsia="Times New Roman" w:cs="Arial"/>
          <w:sz w:val="20"/>
          <w:szCs w:val="20"/>
          <w:lang w:val="en" w:eastAsia="en-AU"/>
        </w:rPr>
        <w:t xml:space="preserve"> shows the change in the recovery of </w:t>
      </w:r>
      <w:r w:rsidR="009065E2">
        <w:rPr>
          <w:rFonts w:eastAsia="Times New Roman" w:cs="Arial"/>
          <w:i/>
          <w:sz w:val="20"/>
          <w:szCs w:val="20"/>
          <w:lang w:val="en" w:eastAsia="en-AU"/>
        </w:rPr>
        <w:t>a</w:t>
      </w:r>
      <w:r w:rsidRPr="00310355">
        <w:rPr>
          <w:rFonts w:eastAsia="Times New Roman" w:cs="Arial"/>
          <w:i/>
          <w:sz w:val="20"/>
          <w:szCs w:val="20"/>
          <w:lang w:val="en" w:eastAsia="en-AU"/>
        </w:rPr>
        <w:t>ggregates, masonry and soil</w:t>
      </w:r>
      <w:r w:rsidRPr="00310355">
        <w:rPr>
          <w:rFonts w:eastAsia="Times New Roman" w:cs="Arial"/>
          <w:sz w:val="20"/>
          <w:szCs w:val="20"/>
          <w:lang w:val="en" w:eastAsia="en-AU"/>
        </w:rPr>
        <w:t xml:space="preserve"> material over the past 10 years. Incoming material to reprocessors varies from year to year according to available stockpile space in Victoria which, in turn, is impacted by both available feedstock and market demand for processed product. This year’s recovery increase is likely attributed to the reprocessing of stockpiled material over previous years and the continuous increase in construction.</w:t>
      </w:r>
    </w:p>
    <w:p w14:paraId="551E6C0C" w14:textId="0F5A1E20" w:rsidR="00DD5414" w:rsidRDefault="00BA256A" w:rsidP="00A73028">
      <w:pPr>
        <w:pStyle w:val="Caption"/>
        <w:keepNext/>
      </w:pPr>
      <w:r>
        <w:lastRenderedPageBreak/>
        <w:t>Recovered a</w:t>
      </w:r>
      <w:r w:rsidR="00DD5414" w:rsidRPr="00310355">
        <w:t>ggregates, masonry &amp; soil was</w:t>
      </w:r>
      <w:r w:rsidR="00310355" w:rsidRPr="00310355">
        <w:t xml:space="preserve">te recovered for reprocessing, </w:t>
      </w:r>
      <w:r w:rsidR="00DD5414" w:rsidRPr="00310355">
        <w:t>Victoria 200</w:t>
      </w:r>
      <w:r w:rsidR="0056477A">
        <w:t>7</w:t>
      </w:r>
      <w:r w:rsidR="00DD5414" w:rsidRPr="00310355">
        <w:t>-0</w:t>
      </w:r>
      <w:r w:rsidR="0056477A">
        <w:t>8</w:t>
      </w:r>
      <w:r w:rsidR="00DD5414" w:rsidRPr="00310355">
        <w:t xml:space="preserve"> to 201</w:t>
      </w:r>
      <w:r w:rsidR="0056477A">
        <w:t>6</w:t>
      </w:r>
      <w:r w:rsidR="00DD5414" w:rsidRPr="00310355">
        <w:t>-1</w:t>
      </w:r>
      <w:r w:rsidR="0056477A">
        <w:t>7</w:t>
      </w:r>
    </w:p>
    <w:p w14:paraId="6E4EF3B6" w14:textId="3DBB9C9C" w:rsidR="00DD5414" w:rsidRDefault="00811D19" w:rsidP="00954A83">
      <w:pPr>
        <w:keepNext/>
        <w:rPr>
          <w:rFonts w:cs="Arial"/>
          <w:sz w:val="20"/>
          <w:szCs w:val="20"/>
        </w:rPr>
      </w:pPr>
      <w:r w:rsidRPr="0052197D">
        <w:rPr>
          <w:noProof/>
          <w:lang w:eastAsia="en-AU"/>
        </w:rPr>
        <w:drawing>
          <wp:inline distT="0" distB="0" distL="0" distR="0" wp14:anchorId="6173E8D5" wp14:editId="36B81D41">
            <wp:extent cx="4532400" cy="26496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2400" cy="2649600"/>
                    </a:xfrm>
                    <a:prstGeom prst="rect">
                      <a:avLst/>
                    </a:prstGeom>
                    <a:noFill/>
                    <a:ln>
                      <a:noFill/>
                    </a:ln>
                  </pic:spPr>
                </pic:pic>
              </a:graphicData>
            </a:graphic>
          </wp:inline>
        </w:drawing>
      </w:r>
    </w:p>
    <w:p w14:paraId="3E54394A" w14:textId="77777777" w:rsidR="00A73028" w:rsidRDefault="00A73028" w:rsidP="009065E2">
      <w:pPr>
        <w:jc w:val="center"/>
        <w:rPr>
          <w:rFonts w:cs="Arial"/>
          <w:sz w:val="20"/>
          <w:szCs w:val="20"/>
        </w:rPr>
      </w:pPr>
      <w:r>
        <w:rPr>
          <w:rFonts w:cs="Arial"/>
          <w:sz w:val="20"/>
          <w:szCs w:val="20"/>
        </w:rPr>
        <w:br w:type="page"/>
      </w:r>
    </w:p>
    <w:p w14:paraId="46AF080D" w14:textId="25D1A996" w:rsidR="00DD5414" w:rsidRPr="00310355" w:rsidRDefault="00DD5414" w:rsidP="005A3C70">
      <w:pPr>
        <w:pStyle w:val="Heading3"/>
      </w:pPr>
      <w:bookmarkStart w:id="58" w:name="_Toc525308013"/>
      <w:r w:rsidRPr="00310355">
        <w:lastRenderedPageBreak/>
        <w:t>Glass</w:t>
      </w:r>
      <w:bookmarkEnd w:id="58"/>
      <w:r w:rsidRPr="00310355">
        <w:t xml:space="preserve"> </w:t>
      </w:r>
    </w:p>
    <w:p w14:paraId="1911FB8E" w14:textId="282126D1" w:rsidR="00310355" w:rsidRPr="00420443" w:rsidRDefault="00DD5414" w:rsidP="00162021">
      <w:pPr>
        <w:rPr>
          <w:sz w:val="20"/>
          <w:szCs w:val="20"/>
          <w:lang w:val="en" w:eastAsia="en-AU"/>
        </w:rPr>
      </w:pPr>
      <w:r w:rsidRPr="00420443">
        <w:rPr>
          <w:sz w:val="20"/>
          <w:szCs w:val="20"/>
          <w:lang w:val="en" w:eastAsia="en-AU"/>
        </w:rPr>
        <w:t>In 201</w:t>
      </w:r>
      <w:r w:rsidR="0007386C" w:rsidRPr="00420443">
        <w:rPr>
          <w:sz w:val="20"/>
          <w:szCs w:val="20"/>
          <w:lang w:val="en" w:eastAsia="en-AU"/>
        </w:rPr>
        <w:t>6</w:t>
      </w:r>
      <w:r w:rsidRPr="00420443">
        <w:rPr>
          <w:sz w:val="20"/>
          <w:szCs w:val="20"/>
          <w:lang w:val="en" w:eastAsia="en-AU"/>
        </w:rPr>
        <w:t>-1</w:t>
      </w:r>
      <w:r w:rsidR="0007386C" w:rsidRPr="00420443">
        <w:rPr>
          <w:sz w:val="20"/>
          <w:szCs w:val="20"/>
          <w:lang w:val="en" w:eastAsia="en-AU"/>
        </w:rPr>
        <w:t>7</w:t>
      </w:r>
      <w:r w:rsidRPr="00420443">
        <w:rPr>
          <w:sz w:val="20"/>
          <w:szCs w:val="20"/>
          <w:lang w:val="en" w:eastAsia="en-AU"/>
        </w:rPr>
        <w:t xml:space="preserve"> the amount of </w:t>
      </w:r>
      <w:r w:rsidR="00983110" w:rsidRPr="00420443">
        <w:rPr>
          <w:sz w:val="20"/>
          <w:szCs w:val="20"/>
          <w:lang w:val="en" w:eastAsia="en-AU"/>
        </w:rPr>
        <w:t>g</w:t>
      </w:r>
      <w:r w:rsidRPr="00420443">
        <w:rPr>
          <w:sz w:val="20"/>
          <w:szCs w:val="20"/>
          <w:lang w:val="en" w:eastAsia="en-AU"/>
        </w:rPr>
        <w:t xml:space="preserve">lass recovered for reprocessing in Victoria was </w:t>
      </w:r>
      <w:r w:rsidRPr="00420443">
        <w:rPr>
          <w:b/>
          <w:bCs/>
          <w:sz w:val="20"/>
          <w:szCs w:val="20"/>
          <w:lang w:val="en" w:eastAsia="en-AU"/>
        </w:rPr>
        <w:t>1</w:t>
      </w:r>
      <w:r w:rsidR="00AD7010" w:rsidRPr="00420443">
        <w:rPr>
          <w:b/>
          <w:bCs/>
          <w:sz w:val="20"/>
          <w:szCs w:val="20"/>
          <w:lang w:val="en" w:eastAsia="en-AU"/>
        </w:rPr>
        <w:t>3</w:t>
      </w:r>
      <w:r w:rsidR="0007386C" w:rsidRPr="00420443">
        <w:rPr>
          <w:b/>
          <w:bCs/>
          <w:sz w:val="20"/>
          <w:szCs w:val="20"/>
          <w:lang w:val="en" w:eastAsia="en-AU"/>
        </w:rPr>
        <w:t>7</w:t>
      </w:r>
      <w:r w:rsidRPr="00420443">
        <w:rPr>
          <w:b/>
          <w:bCs/>
          <w:sz w:val="20"/>
          <w:szCs w:val="20"/>
          <w:lang w:val="en" w:eastAsia="en-AU"/>
        </w:rPr>
        <w:t>,000 tonnes</w:t>
      </w:r>
      <w:r w:rsidRPr="00420443">
        <w:rPr>
          <w:sz w:val="20"/>
          <w:szCs w:val="20"/>
          <w:lang w:val="en" w:eastAsia="en-AU"/>
        </w:rPr>
        <w:t xml:space="preserve">. This figure </w:t>
      </w:r>
      <w:r w:rsidR="00AD7010" w:rsidRPr="00420443">
        <w:rPr>
          <w:sz w:val="20"/>
          <w:szCs w:val="20"/>
          <w:lang w:val="en" w:eastAsia="en-AU"/>
        </w:rPr>
        <w:t>de</w:t>
      </w:r>
      <w:r w:rsidRPr="00420443">
        <w:rPr>
          <w:sz w:val="20"/>
          <w:szCs w:val="20"/>
          <w:lang w:val="en" w:eastAsia="en-AU"/>
        </w:rPr>
        <w:t xml:space="preserve">creased by </w:t>
      </w:r>
      <w:r w:rsidR="00126BFD" w:rsidRPr="00420443">
        <w:rPr>
          <w:sz w:val="20"/>
          <w:szCs w:val="20"/>
          <w:lang w:val="en" w:eastAsia="en-AU"/>
        </w:rPr>
        <w:t>21% from 20</w:t>
      </w:r>
      <w:r w:rsidRPr="00420443">
        <w:rPr>
          <w:sz w:val="20"/>
          <w:szCs w:val="20"/>
          <w:lang w:val="en" w:eastAsia="en-AU"/>
        </w:rPr>
        <w:t>1</w:t>
      </w:r>
      <w:r w:rsidR="00AD7010" w:rsidRPr="00420443">
        <w:rPr>
          <w:sz w:val="20"/>
          <w:szCs w:val="20"/>
          <w:lang w:val="en" w:eastAsia="en-AU"/>
        </w:rPr>
        <w:t>5</w:t>
      </w:r>
      <w:r w:rsidR="00126BFD" w:rsidRPr="00420443">
        <w:rPr>
          <w:sz w:val="20"/>
          <w:szCs w:val="20"/>
          <w:lang w:val="en" w:eastAsia="en-AU"/>
        </w:rPr>
        <w:t>-16</w:t>
      </w:r>
      <w:r w:rsidRPr="00420443">
        <w:rPr>
          <w:sz w:val="20"/>
          <w:szCs w:val="20"/>
          <w:lang w:val="en" w:eastAsia="en-AU"/>
        </w:rPr>
        <w:t xml:space="preserve">. </w:t>
      </w:r>
    </w:p>
    <w:p w14:paraId="7BB2C98E" w14:textId="35EB2AD1" w:rsidR="00D56B28" w:rsidRPr="00322921" w:rsidRDefault="00DD5414" w:rsidP="00B300C1">
      <w:pPr>
        <w:shd w:val="clear" w:color="auto" w:fill="FFFFFF"/>
        <w:spacing w:line="260" w:lineRule="atLeast"/>
        <w:jc w:val="both"/>
        <w:rPr>
          <w:rFonts w:eastAsia="Times New Roman" w:cs="Arial"/>
          <w:sz w:val="20"/>
          <w:szCs w:val="20"/>
          <w:lang w:val="en" w:eastAsia="en-AU"/>
        </w:rPr>
      </w:pPr>
      <w:r w:rsidRPr="00310355">
        <w:rPr>
          <w:rFonts w:eastAsia="Times New Roman" w:cs="Arial"/>
          <w:sz w:val="20"/>
          <w:szCs w:val="20"/>
          <w:lang w:val="en" w:eastAsia="en-AU"/>
        </w:rPr>
        <w:t xml:space="preserve">The recovery of glass </w:t>
      </w:r>
      <w:r w:rsidR="008856B0">
        <w:rPr>
          <w:rFonts w:eastAsia="Times New Roman" w:cs="Arial"/>
          <w:sz w:val="20"/>
          <w:szCs w:val="20"/>
          <w:lang w:val="en" w:eastAsia="en-AU"/>
        </w:rPr>
        <w:t>had until this year</w:t>
      </w:r>
      <w:r w:rsidRPr="00310355">
        <w:rPr>
          <w:rFonts w:eastAsia="Times New Roman" w:cs="Arial"/>
          <w:sz w:val="20"/>
          <w:szCs w:val="20"/>
          <w:lang w:val="en" w:eastAsia="en-AU"/>
        </w:rPr>
        <w:t xml:space="preserve"> consistently fluctuated between 150</w:t>
      </w:r>
      <w:r w:rsidR="008856B0">
        <w:rPr>
          <w:rFonts w:eastAsia="Times New Roman" w:cs="Arial"/>
          <w:sz w:val="20"/>
          <w:szCs w:val="20"/>
          <w:lang w:val="en" w:eastAsia="en-AU"/>
        </w:rPr>
        <w:t xml:space="preserve">,000 and </w:t>
      </w:r>
      <w:r w:rsidRPr="00310355">
        <w:rPr>
          <w:rFonts w:eastAsia="Times New Roman" w:cs="Arial"/>
          <w:sz w:val="20"/>
          <w:szCs w:val="20"/>
          <w:lang w:val="en" w:eastAsia="en-AU"/>
        </w:rPr>
        <w:t>200</w:t>
      </w:r>
      <w:r w:rsidR="000D189E">
        <w:rPr>
          <w:rFonts w:eastAsia="Times New Roman" w:cs="Arial"/>
          <w:sz w:val="20"/>
          <w:szCs w:val="20"/>
          <w:lang w:val="en" w:eastAsia="en-AU"/>
        </w:rPr>
        <w:t>,000</w:t>
      </w:r>
      <w:r w:rsidRPr="00310355">
        <w:rPr>
          <w:rFonts w:eastAsia="Times New Roman" w:cs="Arial"/>
          <w:sz w:val="20"/>
          <w:szCs w:val="20"/>
          <w:lang w:val="en" w:eastAsia="en-AU"/>
        </w:rPr>
        <w:t xml:space="preserve"> tonnes. </w:t>
      </w:r>
      <w:r w:rsidR="00D56B28" w:rsidRPr="00322921">
        <w:rPr>
          <w:rFonts w:eastAsia="Times New Roman" w:cs="Arial"/>
          <w:sz w:val="20"/>
          <w:szCs w:val="20"/>
          <w:lang w:val="en" w:eastAsia="en-AU"/>
        </w:rPr>
        <w:t>After having achieved the second largest amount of Glass waste recovered reported in the last 10 years</w:t>
      </w:r>
      <w:r w:rsidR="00A70284">
        <w:rPr>
          <w:rFonts w:eastAsia="Times New Roman" w:cs="Arial"/>
          <w:sz w:val="20"/>
          <w:szCs w:val="20"/>
          <w:lang w:val="en" w:eastAsia="en-AU"/>
        </w:rPr>
        <w:t xml:space="preserve"> in 2014-15</w:t>
      </w:r>
      <w:r w:rsidR="00D56B28" w:rsidRPr="00322921">
        <w:rPr>
          <w:rFonts w:eastAsia="Times New Roman" w:cs="Arial"/>
          <w:sz w:val="20"/>
          <w:szCs w:val="20"/>
          <w:lang w:val="en" w:eastAsia="en-AU"/>
        </w:rPr>
        <w:t xml:space="preserve">, </w:t>
      </w:r>
      <w:r w:rsidR="00EA573B">
        <w:rPr>
          <w:rFonts w:eastAsia="Times New Roman" w:cs="Arial"/>
          <w:sz w:val="20"/>
          <w:szCs w:val="20"/>
          <w:lang w:val="en" w:eastAsia="en-AU"/>
        </w:rPr>
        <w:t>glass</w:t>
      </w:r>
      <w:r w:rsidR="00A70284">
        <w:rPr>
          <w:rFonts w:eastAsia="Times New Roman" w:cs="Arial"/>
          <w:sz w:val="20"/>
          <w:szCs w:val="20"/>
          <w:lang w:val="en" w:eastAsia="en-AU"/>
        </w:rPr>
        <w:t xml:space="preserve"> recovery declined by 12% in </w:t>
      </w:r>
      <w:r w:rsidR="00D56B28" w:rsidRPr="00322921">
        <w:rPr>
          <w:rFonts w:eastAsia="Times New Roman" w:cs="Arial"/>
          <w:sz w:val="20"/>
          <w:szCs w:val="20"/>
          <w:lang w:val="en" w:eastAsia="en-AU"/>
        </w:rPr>
        <w:t xml:space="preserve">2015-16 </w:t>
      </w:r>
      <w:r w:rsidR="00A70284">
        <w:rPr>
          <w:rFonts w:eastAsia="Times New Roman" w:cs="Arial"/>
          <w:sz w:val="20"/>
          <w:szCs w:val="20"/>
          <w:lang w:val="en" w:eastAsia="en-AU"/>
        </w:rPr>
        <w:t>and 21% in 2016-17.</w:t>
      </w:r>
      <w:r w:rsidR="00D56B28" w:rsidRPr="00D56B28">
        <w:rPr>
          <w:rFonts w:eastAsia="Times New Roman" w:cs="Arial"/>
          <w:sz w:val="20"/>
          <w:szCs w:val="20"/>
          <w:lang w:val="en" w:eastAsia="en-AU"/>
        </w:rPr>
        <w:t xml:space="preserve"> </w:t>
      </w:r>
    </w:p>
    <w:p w14:paraId="585C5718" w14:textId="77777777" w:rsidR="00AA1D8F" w:rsidRDefault="00AA1D8F" w:rsidP="00162021">
      <w:pPr>
        <w:pStyle w:val="Caption"/>
      </w:pPr>
    </w:p>
    <w:p w14:paraId="1317FA30" w14:textId="4994465E" w:rsidR="00DD5414" w:rsidRDefault="00BA256A" w:rsidP="00162021">
      <w:pPr>
        <w:pStyle w:val="Caption"/>
        <w:rPr>
          <w:lang w:eastAsia="en-AU"/>
        </w:rPr>
      </w:pPr>
      <w:r>
        <w:t>Recovered g</w:t>
      </w:r>
      <w:r w:rsidR="00DD5414" w:rsidRPr="00310355">
        <w:t xml:space="preserve">lass waste recovered for reprocessing, </w:t>
      </w:r>
      <w:r w:rsidR="00DD5414" w:rsidRPr="00310355">
        <w:rPr>
          <w:lang w:eastAsia="en-AU"/>
        </w:rPr>
        <w:t>Victoria 200</w:t>
      </w:r>
      <w:r w:rsidR="00126BFD">
        <w:rPr>
          <w:lang w:eastAsia="en-AU"/>
        </w:rPr>
        <w:t>7</w:t>
      </w:r>
      <w:r w:rsidR="00DD5414" w:rsidRPr="00310355">
        <w:rPr>
          <w:lang w:eastAsia="en-AU"/>
        </w:rPr>
        <w:t>-0</w:t>
      </w:r>
      <w:r w:rsidR="00126BFD">
        <w:rPr>
          <w:lang w:eastAsia="en-AU"/>
        </w:rPr>
        <w:t>8</w:t>
      </w:r>
      <w:r w:rsidR="00DD5414" w:rsidRPr="00310355">
        <w:rPr>
          <w:lang w:eastAsia="en-AU"/>
        </w:rPr>
        <w:t xml:space="preserve"> to 201</w:t>
      </w:r>
      <w:r w:rsidR="00126BFD">
        <w:rPr>
          <w:lang w:eastAsia="en-AU"/>
        </w:rPr>
        <w:t>6</w:t>
      </w:r>
      <w:r w:rsidR="00DD5414" w:rsidRPr="00310355">
        <w:rPr>
          <w:lang w:eastAsia="en-AU"/>
        </w:rPr>
        <w:t>-1</w:t>
      </w:r>
      <w:r w:rsidR="00126BFD">
        <w:rPr>
          <w:lang w:eastAsia="en-AU"/>
        </w:rPr>
        <w:t>7</w:t>
      </w:r>
    </w:p>
    <w:p w14:paraId="620E47DF" w14:textId="3806EED3" w:rsidR="00D56B28" w:rsidRDefault="00811D19" w:rsidP="00FA62F5">
      <w:pPr>
        <w:rPr>
          <w:lang w:eastAsia="en-AU"/>
        </w:rPr>
      </w:pPr>
      <w:r w:rsidRPr="0052197D">
        <w:rPr>
          <w:noProof/>
          <w:lang w:eastAsia="en-AU"/>
        </w:rPr>
        <w:drawing>
          <wp:inline distT="0" distB="0" distL="0" distR="0" wp14:anchorId="7D04EC3D" wp14:editId="40E7ED53">
            <wp:extent cx="4348800" cy="266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8800" cy="2667600"/>
                    </a:xfrm>
                    <a:prstGeom prst="rect">
                      <a:avLst/>
                    </a:prstGeom>
                    <a:noFill/>
                    <a:ln>
                      <a:noFill/>
                    </a:ln>
                  </pic:spPr>
                </pic:pic>
              </a:graphicData>
            </a:graphic>
          </wp:inline>
        </w:drawing>
      </w:r>
    </w:p>
    <w:p w14:paraId="4BE8302D" w14:textId="77777777" w:rsidR="00132D61" w:rsidRDefault="00132D61">
      <w:pPr>
        <w:spacing w:after="160"/>
        <w:rPr>
          <w:rFonts w:eastAsia="Times New Roman" w:cs="Arial"/>
          <w:b/>
          <w:bCs/>
          <w:color w:val="404040" w:themeColor="text1" w:themeTint="BF"/>
          <w:spacing w:val="-5"/>
          <w:sz w:val="28"/>
          <w:szCs w:val="26"/>
        </w:rPr>
      </w:pPr>
      <w:r>
        <w:br w:type="page"/>
      </w:r>
    </w:p>
    <w:p w14:paraId="5B9F483F" w14:textId="0BF27AC4" w:rsidR="00DD5414" w:rsidRPr="00310355" w:rsidRDefault="00DD5414" w:rsidP="005A3C70">
      <w:pPr>
        <w:pStyle w:val="Heading3"/>
      </w:pPr>
      <w:bookmarkStart w:id="59" w:name="_Toc525308014"/>
      <w:r w:rsidRPr="00310355">
        <w:lastRenderedPageBreak/>
        <w:t>Metal</w:t>
      </w:r>
      <w:r w:rsidR="00786AE1">
        <w:t>s</w:t>
      </w:r>
      <w:bookmarkEnd w:id="59"/>
      <w:r w:rsidRPr="00310355">
        <w:t xml:space="preserve"> </w:t>
      </w:r>
    </w:p>
    <w:p w14:paraId="08A379B3" w14:textId="2F3E6BE2" w:rsidR="00DD5414" w:rsidRPr="00310355" w:rsidRDefault="00DD5414" w:rsidP="00310355">
      <w:pPr>
        <w:shd w:val="clear" w:color="auto" w:fill="FFFFFF"/>
        <w:spacing w:after="0" w:line="260" w:lineRule="atLeast"/>
        <w:jc w:val="both"/>
        <w:rPr>
          <w:rFonts w:eastAsia="Times New Roman" w:cs="Arial"/>
          <w:sz w:val="20"/>
          <w:szCs w:val="20"/>
          <w:lang w:val="en" w:eastAsia="en-AU"/>
        </w:rPr>
      </w:pPr>
      <w:r w:rsidRPr="005A0D35">
        <w:rPr>
          <w:rFonts w:eastAsia="Times New Roman" w:cs="Arial"/>
          <w:sz w:val="20"/>
          <w:szCs w:val="20"/>
          <w:lang w:val="en" w:eastAsia="en-AU"/>
        </w:rPr>
        <w:t>In 201</w:t>
      </w:r>
      <w:r w:rsidR="008B61EB" w:rsidRPr="005A0D35">
        <w:rPr>
          <w:rFonts w:eastAsia="Times New Roman" w:cs="Arial"/>
          <w:sz w:val="20"/>
          <w:szCs w:val="20"/>
          <w:lang w:val="en" w:eastAsia="en-AU"/>
        </w:rPr>
        <w:t>6</w:t>
      </w:r>
      <w:r w:rsidRPr="005A0D35">
        <w:rPr>
          <w:rFonts w:eastAsia="Times New Roman" w:cs="Arial"/>
          <w:sz w:val="20"/>
          <w:szCs w:val="20"/>
          <w:lang w:val="en" w:eastAsia="en-AU"/>
        </w:rPr>
        <w:t>-1</w:t>
      </w:r>
      <w:r w:rsidR="008B61EB" w:rsidRPr="005A0D35">
        <w:rPr>
          <w:rFonts w:eastAsia="Times New Roman" w:cs="Arial"/>
          <w:sz w:val="20"/>
          <w:szCs w:val="20"/>
          <w:lang w:val="en" w:eastAsia="en-AU"/>
        </w:rPr>
        <w:t>7</w:t>
      </w:r>
      <w:r w:rsidRPr="005A0D35">
        <w:rPr>
          <w:rFonts w:eastAsia="Times New Roman" w:cs="Arial"/>
          <w:sz w:val="20"/>
          <w:szCs w:val="20"/>
          <w:lang w:val="en" w:eastAsia="en-AU"/>
        </w:rPr>
        <w:t xml:space="preserve"> the amount of </w:t>
      </w:r>
      <w:r w:rsidR="00983110" w:rsidRPr="005A0D35">
        <w:rPr>
          <w:rFonts w:eastAsia="Times New Roman" w:cs="Arial"/>
          <w:sz w:val="20"/>
          <w:szCs w:val="20"/>
          <w:lang w:val="en" w:eastAsia="en-AU"/>
        </w:rPr>
        <w:t>m</w:t>
      </w:r>
      <w:r w:rsidRPr="005A0D35">
        <w:rPr>
          <w:rFonts w:eastAsia="Times New Roman" w:cs="Arial"/>
          <w:sz w:val="20"/>
          <w:szCs w:val="20"/>
          <w:lang w:val="en" w:eastAsia="en-AU"/>
        </w:rPr>
        <w:t xml:space="preserve">etal recovered for reprocessing in Victoria was </w:t>
      </w:r>
      <w:r w:rsidRPr="005A0D35">
        <w:rPr>
          <w:rFonts w:eastAsia="Times New Roman" w:cs="Arial"/>
          <w:bCs/>
          <w:sz w:val="20"/>
          <w:szCs w:val="20"/>
          <w:lang w:val="en" w:eastAsia="en-AU"/>
        </w:rPr>
        <w:t>1.</w:t>
      </w:r>
      <w:r w:rsidR="00A021FA" w:rsidRPr="005A0D35">
        <w:rPr>
          <w:rFonts w:eastAsia="Times New Roman" w:cs="Arial"/>
          <w:bCs/>
          <w:sz w:val="20"/>
          <w:szCs w:val="20"/>
          <w:lang w:val="en" w:eastAsia="en-AU"/>
        </w:rPr>
        <w:t>7</w:t>
      </w:r>
      <w:r w:rsidRPr="005A0D35">
        <w:rPr>
          <w:rFonts w:eastAsia="Times New Roman" w:cs="Arial"/>
          <w:bCs/>
          <w:sz w:val="20"/>
          <w:szCs w:val="20"/>
          <w:lang w:val="en" w:eastAsia="en-AU"/>
        </w:rPr>
        <w:t xml:space="preserve"> million tonnes</w:t>
      </w:r>
      <w:r w:rsidR="00F82B21" w:rsidRPr="005A0D35">
        <w:rPr>
          <w:rFonts w:eastAsia="Times New Roman" w:cs="Arial"/>
          <w:b/>
          <w:bCs/>
          <w:sz w:val="20"/>
          <w:szCs w:val="20"/>
          <w:lang w:val="en" w:eastAsia="en-AU"/>
        </w:rPr>
        <w:t>,</w:t>
      </w:r>
      <w:r w:rsidR="00D56B28" w:rsidRPr="005A0D35">
        <w:rPr>
          <w:rFonts w:eastAsia="Times New Roman" w:cs="Arial"/>
          <w:sz w:val="20"/>
          <w:szCs w:val="20"/>
          <w:lang w:val="en" w:eastAsia="en-AU"/>
        </w:rPr>
        <w:t xml:space="preserve"> an increase of </w:t>
      </w:r>
      <w:r w:rsidR="007C0343" w:rsidRPr="005A0D35">
        <w:rPr>
          <w:rFonts w:eastAsia="Times New Roman" w:cs="Arial"/>
          <w:sz w:val="20"/>
          <w:szCs w:val="20"/>
          <w:lang w:val="en" w:eastAsia="en-AU"/>
        </w:rPr>
        <w:t>19%</w:t>
      </w:r>
      <w:r w:rsidR="00605408" w:rsidRPr="005A0D35">
        <w:rPr>
          <w:rFonts w:eastAsia="Times New Roman" w:cs="Arial"/>
          <w:sz w:val="20"/>
          <w:szCs w:val="20"/>
          <w:lang w:val="en" w:eastAsia="en-AU"/>
        </w:rPr>
        <w:t xml:space="preserve"> </w:t>
      </w:r>
      <w:r w:rsidR="007C0343" w:rsidRPr="005A0D35">
        <w:rPr>
          <w:rFonts w:eastAsia="Times New Roman" w:cs="Arial"/>
          <w:sz w:val="20"/>
          <w:szCs w:val="20"/>
          <w:lang w:val="en" w:eastAsia="en-AU"/>
        </w:rPr>
        <w:t xml:space="preserve">from the previous year and </w:t>
      </w:r>
      <w:r w:rsidR="00605408" w:rsidRPr="005A0D35">
        <w:rPr>
          <w:rFonts w:eastAsia="Times New Roman" w:cs="Arial"/>
          <w:sz w:val="20"/>
          <w:szCs w:val="20"/>
          <w:lang w:val="en" w:eastAsia="en-AU"/>
        </w:rPr>
        <w:t>the highest reported amount since collection of data began</w:t>
      </w:r>
      <w:r w:rsidR="00F82B21">
        <w:rPr>
          <w:rFonts w:eastAsia="Times New Roman" w:cs="Arial"/>
          <w:sz w:val="20"/>
          <w:szCs w:val="20"/>
          <w:lang w:val="en" w:eastAsia="en-AU"/>
        </w:rPr>
        <w:t>.</w:t>
      </w:r>
      <w:r w:rsidRPr="00310355">
        <w:rPr>
          <w:rFonts w:eastAsia="Times New Roman" w:cs="Arial"/>
          <w:sz w:val="20"/>
          <w:szCs w:val="20"/>
          <w:lang w:val="en" w:eastAsia="en-AU"/>
        </w:rPr>
        <w:t xml:space="preserve"> </w:t>
      </w:r>
    </w:p>
    <w:p w14:paraId="52D12C34" w14:textId="76A6E30B" w:rsidR="00DD5414" w:rsidRPr="00310355" w:rsidRDefault="00DD5414" w:rsidP="00786AE1">
      <w:pPr>
        <w:shd w:val="clear" w:color="auto" w:fill="FFFFFF"/>
        <w:spacing w:after="0" w:line="260" w:lineRule="atLeast"/>
        <w:jc w:val="center"/>
        <w:rPr>
          <w:rFonts w:eastAsia="Times New Roman" w:cs="Arial"/>
          <w:sz w:val="20"/>
          <w:szCs w:val="20"/>
          <w:lang w:val="en" w:eastAsia="en-AU"/>
        </w:rPr>
      </w:pPr>
    </w:p>
    <w:p w14:paraId="4D3BAF20" w14:textId="1771F7F8" w:rsidR="00DD5414" w:rsidRPr="00310355" w:rsidRDefault="00DD5414" w:rsidP="00310355">
      <w:pPr>
        <w:shd w:val="clear" w:color="auto" w:fill="FFFFFF"/>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 xml:space="preserve">In </w:t>
      </w:r>
      <w:r w:rsidR="008B61EB" w:rsidRPr="00310355">
        <w:rPr>
          <w:rFonts w:eastAsia="Times New Roman" w:cs="Arial"/>
          <w:sz w:val="20"/>
          <w:szCs w:val="20"/>
          <w:lang w:val="en" w:eastAsia="en-AU"/>
        </w:rPr>
        <w:t>201</w:t>
      </w:r>
      <w:r w:rsidR="008B61EB">
        <w:rPr>
          <w:rFonts w:eastAsia="Times New Roman" w:cs="Arial"/>
          <w:sz w:val="20"/>
          <w:szCs w:val="20"/>
          <w:lang w:val="en" w:eastAsia="en-AU"/>
        </w:rPr>
        <w:t>6</w:t>
      </w:r>
      <w:r w:rsidR="008B61EB" w:rsidRPr="00310355">
        <w:rPr>
          <w:rFonts w:eastAsia="Times New Roman" w:cs="Arial"/>
          <w:sz w:val="20"/>
          <w:szCs w:val="20"/>
          <w:lang w:val="en" w:eastAsia="en-AU"/>
        </w:rPr>
        <w:t>-1</w:t>
      </w:r>
      <w:r w:rsidR="008B61EB">
        <w:rPr>
          <w:rFonts w:eastAsia="Times New Roman" w:cs="Arial"/>
          <w:sz w:val="20"/>
          <w:szCs w:val="20"/>
          <w:lang w:val="en" w:eastAsia="en-AU"/>
        </w:rPr>
        <w:t>7</w:t>
      </w:r>
      <w:r w:rsidRPr="00310355">
        <w:rPr>
          <w:rFonts w:eastAsia="Times New Roman" w:cs="Arial"/>
          <w:sz w:val="20"/>
          <w:szCs w:val="20"/>
          <w:lang w:val="en" w:eastAsia="en-AU"/>
        </w:rPr>
        <w:t xml:space="preserve">, the C&amp;I sector remained Victoria’s principal source of recovered metals, contributing </w:t>
      </w:r>
      <w:r w:rsidR="00B70A78">
        <w:rPr>
          <w:rFonts w:eastAsia="Times New Roman" w:cs="Arial"/>
          <w:sz w:val="20"/>
          <w:szCs w:val="20"/>
          <w:lang w:val="en" w:eastAsia="en-AU"/>
        </w:rPr>
        <w:t>6</w:t>
      </w:r>
      <w:r w:rsidR="00605408">
        <w:rPr>
          <w:rFonts w:eastAsia="Times New Roman" w:cs="Arial"/>
          <w:sz w:val="20"/>
          <w:szCs w:val="20"/>
          <w:lang w:val="en" w:eastAsia="en-AU"/>
        </w:rPr>
        <w:t>9</w:t>
      </w:r>
      <w:r w:rsidRPr="00310355">
        <w:rPr>
          <w:rFonts w:eastAsia="Times New Roman" w:cs="Arial"/>
          <w:sz w:val="20"/>
          <w:szCs w:val="20"/>
          <w:lang w:val="en" w:eastAsia="en-AU"/>
        </w:rPr>
        <w:t>% to the total of metal recovery for reprocessing (</w:t>
      </w:r>
      <w:r w:rsidR="00B70A78">
        <w:rPr>
          <w:rFonts w:eastAsia="Times New Roman" w:cs="Arial"/>
          <w:sz w:val="20"/>
          <w:szCs w:val="20"/>
          <w:lang w:val="en" w:eastAsia="en-AU"/>
        </w:rPr>
        <w:t xml:space="preserve">up </w:t>
      </w:r>
      <w:r w:rsidRPr="00310355">
        <w:rPr>
          <w:rFonts w:eastAsia="Times New Roman" w:cs="Arial"/>
          <w:sz w:val="20"/>
          <w:szCs w:val="20"/>
          <w:lang w:val="en" w:eastAsia="en-AU"/>
        </w:rPr>
        <w:t xml:space="preserve">from </w:t>
      </w:r>
      <w:r w:rsidR="00605408">
        <w:rPr>
          <w:rFonts w:eastAsia="Times New Roman" w:cs="Arial"/>
          <w:sz w:val="20"/>
          <w:szCs w:val="20"/>
          <w:lang w:val="en" w:eastAsia="en-AU"/>
        </w:rPr>
        <w:t>61</w:t>
      </w:r>
      <w:r w:rsidRPr="00310355">
        <w:rPr>
          <w:rFonts w:eastAsia="Times New Roman" w:cs="Arial"/>
          <w:sz w:val="20"/>
          <w:szCs w:val="20"/>
          <w:lang w:val="en" w:eastAsia="en-AU"/>
        </w:rPr>
        <w:t>% the previous year). The Municipal sector contributed 2</w:t>
      </w:r>
      <w:r w:rsidR="00605408">
        <w:rPr>
          <w:rFonts w:eastAsia="Times New Roman" w:cs="Arial"/>
          <w:sz w:val="20"/>
          <w:szCs w:val="20"/>
          <w:lang w:val="en" w:eastAsia="en-AU"/>
        </w:rPr>
        <w:t>3</w:t>
      </w:r>
      <w:r w:rsidRPr="00310355">
        <w:rPr>
          <w:rFonts w:eastAsia="Times New Roman" w:cs="Arial"/>
          <w:sz w:val="20"/>
          <w:szCs w:val="20"/>
          <w:lang w:val="en" w:eastAsia="en-AU"/>
        </w:rPr>
        <w:t>% of the total waste (</w:t>
      </w:r>
      <w:r w:rsidR="00B70A78">
        <w:rPr>
          <w:rFonts w:eastAsia="Times New Roman" w:cs="Arial"/>
          <w:sz w:val="20"/>
          <w:szCs w:val="20"/>
          <w:lang w:val="en" w:eastAsia="en-AU"/>
        </w:rPr>
        <w:t>down</w:t>
      </w:r>
      <w:r w:rsidRPr="00310355">
        <w:rPr>
          <w:rFonts w:eastAsia="Times New Roman" w:cs="Arial"/>
          <w:sz w:val="20"/>
          <w:szCs w:val="20"/>
          <w:lang w:val="en" w:eastAsia="en-AU"/>
        </w:rPr>
        <w:t xml:space="preserve"> from 2</w:t>
      </w:r>
      <w:r w:rsidR="00605408">
        <w:rPr>
          <w:rFonts w:eastAsia="Times New Roman" w:cs="Arial"/>
          <w:sz w:val="20"/>
          <w:szCs w:val="20"/>
          <w:lang w:val="en" w:eastAsia="en-AU"/>
        </w:rPr>
        <w:t>5</w:t>
      </w:r>
      <w:r w:rsidRPr="00310355">
        <w:rPr>
          <w:rFonts w:eastAsia="Times New Roman" w:cs="Arial"/>
          <w:sz w:val="20"/>
          <w:szCs w:val="20"/>
          <w:lang w:val="en" w:eastAsia="en-AU"/>
        </w:rPr>
        <w:t xml:space="preserve">% the previous </w:t>
      </w:r>
      <w:r w:rsidR="00310355" w:rsidRPr="00310355">
        <w:rPr>
          <w:rFonts w:eastAsia="Times New Roman" w:cs="Arial"/>
          <w:sz w:val="20"/>
          <w:szCs w:val="20"/>
          <w:lang w:val="en" w:eastAsia="en-AU"/>
        </w:rPr>
        <w:t>y</w:t>
      </w:r>
      <w:r w:rsidRPr="00310355">
        <w:rPr>
          <w:rFonts w:eastAsia="Times New Roman" w:cs="Arial"/>
          <w:sz w:val="20"/>
          <w:szCs w:val="20"/>
          <w:lang w:val="en" w:eastAsia="en-AU"/>
        </w:rPr>
        <w:t xml:space="preserve">ear) and the </w:t>
      </w:r>
      <w:r w:rsidR="00C85393">
        <w:rPr>
          <w:rFonts w:eastAsia="Times New Roman" w:cs="Arial"/>
          <w:sz w:val="20"/>
          <w:szCs w:val="20"/>
          <w:lang w:val="en" w:eastAsia="en-AU"/>
        </w:rPr>
        <w:t xml:space="preserve">C&amp;D </w:t>
      </w:r>
      <w:r w:rsidRPr="00310355">
        <w:rPr>
          <w:rFonts w:eastAsia="Times New Roman" w:cs="Arial"/>
          <w:sz w:val="20"/>
          <w:szCs w:val="20"/>
          <w:lang w:val="en" w:eastAsia="en-AU"/>
        </w:rPr>
        <w:t xml:space="preserve">sector contributed </w:t>
      </w:r>
      <w:r w:rsidR="00605408">
        <w:rPr>
          <w:rFonts w:eastAsia="Times New Roman" w:cs="Arial"/>
          <w:sz w:val="20"/>
          <w:szCs w:val="20"/>
          <w:lang w:val="en" w:eastAsia="en-AU"/>
        </w:rPr>
        <w:t>8</w:t>
      </w:r>
      <w:r w:rsidRPr="00310355">
        <w:rPr>
          <w:rFonts w:eastAsia="Times New Roman" w:cs="Arial"/>
          <w:sz w:val="20"/>
          <w:szCs w:val="20"/>
          <w:lang w:val="en" w:eastAsia="en-AU"/>
        </w:rPr>
        <w:t>% (</w:t>
      </w:r>
      <w:r w:rsidR="00B70A78">
        <w:rPr>
          <w:rFonts w:eastAsia="Times New Roman" w:cs="Arial"/>
          <w:sz w:val="20"/>
          <w:szCs w:val="20"/>
          <w:lang w:val="en" w:eastAsia="en-AU"/>
        </w:rPr>
        <w:t>down</w:t>
      </w:r>
      <w:r w:rsidRPr="00310355">
        <w:rPr>
          <w:rFonts w:eastAsia="Times New Roman" w:cs="Arial"/>
          <w:sz w:val="20"/>
          <w:szCs w:val="20"/>
          <w:lang w:val="en" w:eastAsia="en-AU"/>
        </w:rPr>
        <w:t xml:space="preserve"> from </w:t>
      </w:r>
      <w:r w:rsidR="00605408">
        <w:rPr>
          <w:rFonts w:eastAsia="Times New Roman" w:cs="Arial"/>
          <w:sz w:val="20"/>
          <w:szCs w:val="20"/>
          <w:lang w:val="en" w:eastAsia="en-AU"/>
        </w:rPr>
        <w:t>1</w:t>
      </w:r>
      <w:r w:rsidR="00B70A78">
        <w:rPr>
          <w:rFonts w:eastAsia="Times New Roman" w:cs="Arial"/>
          <w:sz w:val="20"/>
          <w:szCs w:val="20"/>
          <w:lang w:val="en" w:eastAsia="en-AU"/>
        </w:rPr>
        <w:t>4</w:t>
      </w:r>
      <w:r w:rsidRPr="00310355">
        <w:rPr>
          <w:rFonts w:eastAsia="Times New Roman" w:cs="Arial"/>
          <w:sz w:val="20"/>
          <w:szCs w:val="20"/>
          <w:lang w:val="en" w:eastAsia="en-AU"/>
        </w:rPr>
        <w:t>% in 201</w:t>
      </w:r>
      <w:r w:rsidR="00605408">
        <w:rPr>
          <w:rFonts w:eastAsia="Times New Roman" w:cs="Arial"/>
          <w:sz w:val="20"/>
          <w:szCs w:val="20"/>
          <w:lang w:val="en" w:eastAsia="en-AU"/>
        </w:rPr>
        <w:t>5</w:t>
      </w:r>
      <w:r w:rsidRPr="00310355">
        <w:rPr>
          <w:rFonts w:eastAsia="Times New Roman" w:cs="Arial"/>
          <w:sz w:val="20"/>
          <w:szCs w:val="20"/>
          <w:lang w:val="en" w:eastAsia="en-AU"/>
        </w:rPr>
        <w:t>-1</w:t>
      </w:r>
      <w:r w:rsidR="00605408">
        <w:rPr>
          <w:rFonts w:eastAsia="Times New Roman" w:cs="Arial"/>
          <w:sz w:val="20"/>
          <w:szCs w:val="20"/>
          <w:lang w:val="en" w:eastAsia="en-AU"/>
        </w:rPr>
        <w:t>6</w:t>
      </w:r>
      <w:r w:rsidRPr="00310355">
        <w:rPr>
          <w:rFonts w:eastAsia="Times New Roman" w:cs="Arial"/>
          <w:sz w:val="20"/>
          <w:szCs w:val="20"/>
          <w:lang w:val="en" w:eastAsia="en-AU"/>
        </w:rPr>
        <w:t>).</w:t>
      </w:r>
    </w:p>
    <w:p w14:paraId="11BCC824" w14:textId="77777777" w:rsidR="00920784" w:rsidRDefault="00920784" w:rsidP="00310355">
      <w:pPr>
        <w:shd w:val="clear" w:color="auto" w:fill="FFFFFF"/>
        <w:spacing w:after="0" w:line="260" w:lineRule="atLeast"/>
        <w:outlineLvl w:val="0"/>
        <w:rPr>
          <w:rFonts w:eastAsia="Times New Roman" w:cs="Arial"/>
          <w:b/>
          <w:bCs/>
          <w:spacing w:val="-5"/>
          <w:sz w:val="20"/>
          <w:szCs w:val="20"/>
        </w:rPr>
      </w:pPr>
    </w:p>
    <w:p w14:paraId="1AD6C1F6" w14:textId="157DFD9C" w:rsidR="00A021FA" w:rsidRDefault="00DD5414" w:rsidP="00523FFA">
      <w:pPr>
        <w:pStyle w:val="Caption"/>
      </w:pPr>
      <w:r w:rsidRPr="00310355">
        <w:t xml:space="preserve">Source sectors of </w:t>
      </w:r>
      <w:r w:rsidR="00BA256A">
        <w:t>s</w:t>
      </w:r>
      <w:r w:rsidRPr="00310355">
        <w:t xml:space="preserve">crap </w:t>
      </w:r>
      <w:r w:rsidR="00BA256A">
        <w:t>m</w:t>
      </w:r>
      <w:r w:rsidRPr="00310355">
        <w:t xml:space="preserve">etal received for reprocessing (by weight), Victoria </w:t>
      </w:r>
      <w:r w:rsidR="008B61EB" w:rsidRPr="008B61EB">
        <w:t>2016-17</w:t>
      </w:r>
    </w:p>
    <w:p w14:paraId="077BE146" w14:textId="0F739718" w:rsidR="00A021FA" w:rsidRPr="00310355" w:rsidRDefault="00491DED" w:rsidP="00890DC9">
      <w:pPr>
        <w:jc w:val="center"/>
      </w:pPr>
      <w:r w:rsidRPr="00491DED">
        <w:rPr>
          <w:noProof/>
          <w:lang w:eastAsia="en-AU"/>
        </w:rPr>
        <w:drawing>
          <wp:inline distT="0" distB="0" distL="0" distR="0" wp14:anchorId="1992A79A" wp14:editId="44EC3584">
            <wp:extent cx="4078800" cy="2314800"/>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78800" cy="2314800"/>
                    </a:xfrm>
                    <a:prstGeom prst="rect">
                      <a:avLst/>
                    </a:prstGeom>
                    <a:noFill/>
                    <a:ln>
                      <a:noFill/>
                    </a:ln>
                  </pic:spPr>
                </pic:pic>
              </a:graphicData>
            </a:graphic>
          </wp:inline>
        </w:drawing>
      </w:r>
    </w:p>
    <w:p w14:paraId="7379F825" w14:textId="270832CB" w:rsidR="00DD5414" w:rsidRDefault="00DD5414" w:rsidP="00FA62F5">
      <w:pPr>
        <w:rPr>
          <w:rFonts w:eastAsia="Times New Roman" w:cs="Arial"/>
          <w:sz w:val="20"/>
          <w:szCs w:val="20"/>
          <w:lang w:val="en" w:eastAsia="en-AU"/>
        </w:rPr>
      </w:pPr>
      <w:r w:rsidRPr="00310355">
        <w:rPr>
          <w:rFonts w:eastAsia="Times New Roman" w:cs="Arial"/>
          <w:sz w:val="20"/>
          <w:szCs w:val="20"/>
          <w:lang w:val="en" w:eastAsia="en-AU"/>
        </w:rPr>
        <w:t xml:space="preserve">The graph below shows that </w:t>
      </w:r>
      <w:r w:rsidR="00B70A78" w:rsidRPr="00322921">
        <w:rPr>
          <w:rFonts w:eastAsia="Times New Roman" w:cs="Arial"/>
          <w:sz w:val="20"/>
          <w:szCs w:val="20"/>
          <w:lang w:val="en" w:eastAsia="en-AU"/>
        </w:rPr>
        <w:t xml:space="preserve">Metal recovery in Victoria </w:t>
      </w:r>
      <w:r w:rsidR="00605408">
        <w:rPr>
          <w:rFonts w:eastAsia="Times New Roman" w:cs="Arial"/>
          <w:sz w:val="20"/>
          <w:szCs w:val="20"/>
          <w:lang w:val="en" w:eastAsia="en-AU"/>
        </w:rPr>
        <w:t xml:space="preserve">achieved the highest ever reported amount for 2016-17. It also shows that the recovery </w:t>
      </w:r>
      <w:r w:rsidR="00B70A78" w:rsidRPr="00322921">
        <w:rPr>
          <w:rFonts w:eastAsia="Times New Roman" w:cs="Arial"/>
          <w:sz w:val="20"/>
          <w:szCs w:val="20"/>
          <w:lang w:val="en" w:eastAsia="en-AU"/>
        </w:rPr>
        <w:t>has remained relatively steady since 2009-10 after a large drop</w:t>
      </w:r>
      <w:r w:rsidR="00715C03">
        <w:rPr>
          <w:rFonts w:eastAsia="Times New Roman" w:cs="Arial"/>
          <w:sz w:val="20"/>
          <w:szCs w:val="20"/>
          <w:lang w:val="en" w:eastAsia="en-AU"/>
        </w:rPr>
        <w:t>, likely</w:t>
      </w:r>
      <w:r w:rsidR="00B70A78" w:rsidRPr="00322921">
        <w:rPr>
          <w:rFonts w:eastAsia="Times New Roman" w:cs="Arial"/>
          <w:sz w:val="20"/>
          <w:szCs w:val="20"/>
          <w:lang w:val="en" w:eastAsia="en-AU"/>
        </w:rPr>
        <w:t xml:space="preserve"> due to the global financial crisis. </w:t>
      </w:r>
    </w:p>
    <w:p w14:paraId="00914A6D" w14:textId="77777777" w:rsidR="00954A83" w:rsidRPr="00310355" w:rsidRDefault="00954A83" w:rsidP="00FA62F5">
      <w:pPr>
        <w:rPr>
          <w:rFonts w:eastAsia="Times New Roman" w:cs="Arial"/>
          <w:sz w:val="20"/>
          <w:szCs w:val="20"/>
          <w:lang w:val="en" w:eastAsia="en-AU"/>
        </w:rPr>
      </w:pPr>
    </w:p>
    <w:p w14:paraId="6E09DD96" w14:textId="78626D22" w:rsidR="00DD5414" w:rsidRDefault="00DD5414" w:rsidP="00162021">
      <w:pPr>
        <w:pStyle w:val="Caption"/>
      </w:pPr>
      <w:r w:rsidRPr="00310355">
        <w:t xml:space="preserve">Metal waste recovered for reprocessing, Victoria </w:t>
      </w:r>
      <w:r w:rsidR="00B70A78" w:rsidRPr="00322921">
        <w:t>200</w:t>
      </w:r>
      <w:r w:rsidR="008B61EB">
        <w:t>7</w:t>
      </w:r>
      <w:r w:rsidR="00B70A78" w:rsidRPr="00322921">
        <w:t>-0</w:t>
      </w:r>
      <w:r w:rsidR="008B61EB">
        <w:t>8 to 2016-17</w:t>
      </w:r>
    </w:p>
    <w:p w14:paraId="3E833658" w14:textId="046B8A32" w:rsidR="00DD5414" w:rsidRDefault="00811D19" w:rsidP="00FA62F5">
      <w:r w:rsidRPr="0052197D">
        <w:rPr>
          <w:noProof/>
          <w:lang w:eastAsia="en-AU"/>
        </w:rPr>
        <w:drawing>
          <wp:inline distT="0" distB="0" distL="0" distR="0" wp14:anchorId="2CA160AE" wp14:editId="4606B5BF">
            <wp:extent cx="4539600" cy="264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9600" cy="2649600"/>
                    </a:xfrm>
                    <a:prstGeom prst="rect">
                      <a:avLst/>
                    </a:prstGeom>
                    <a:noFill/>
                    <a:ln>
                      <a:noFill/>
                    </a:ln>
                  </pic:spPr>
                </pic:pic>
              </a:graphicData>
            </a:graphic>
          </wp:inline>
        </w:drawing>
      </w:r>
    </w:p>
    <w:p w14:paraId="118CE17E" w14:textId="438E6292" w:rsidR="00DD5414" w:rsidRPr="00BA256A" w:rsidRDefault="00DD5414" w:rsidP="00786AE1">
      <w:pPr>
        <w:pStyle w:val="Heading3"/>
      </w:pPr>
      <w:bookmarkStart w:id="60" w:name="_Toc525308015"/>
      <w:r w:rsidRPr="00BA256A">
        <w:lastRenderedPageBreak/>
        <w:t>Organics</w:t>
      </w:r>
      <w:bookmarkEnd w:id="60"/>
      <w:r w:rsidRPr="00BA256A">
        <w:t xml:space="preserve"> </w:t>
      </w:r>
    </w:p>
    <w:p w14:paraId="4F7B2682" w14:textId="0429B791" w:rsidR="00DD5414" w:rsidRPr="00310355" w:rsidRDefault="00DD5414" w:rsidP="00310355">
      <w:pPr>
        <w:shd w:val="clear" w:color="auto" w:fill="FFFFFF"/>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In 201</w:t>
      </w:r>
      <w:r w:rsidR="00CC39CE">
        <w:rPr>
          <w:rFonts w:eastAsia="Times New Roman" w:cs="Arial"/>
          <w:sz w:val="20"/>
          <w:szCs w:val="20"/>
          <w:lang w:val="en" w:eastAsia="en-AU"/>
        </w:rPr>
        <w:t>6</w:t>
      </w:r>
      <w:r w:rsidRPr="00310355">
        <w:rPr>
          <w:rFonts w:eastAsia="Times New Roman" w:cs="Arial"/>
          <w:sz w:val="20"/>
          <w:szCs w:val="20"/>
          <w:lang w:val="en" w:eastAsia="en-AU"/>
        </w:rPr>
        <w:t>-1</w:t>
      </w:r>
      <w:r w:rsidR="00CC39CE">
        <w:rPr>
          <w:rFonts w:eastAsia="Times New Roman" w:cs="Arial"/>
          <w:sz w:val="20"/>
          <w:szCs w:val="20"/>
          <w:lang w:val="en" w:eastAsia="en-AU"/>
        </w:rPr>
        <w:t>7</w:t>
      </w:r>
      <w:r w:rsidR="00715C03">
        <w:rPr>
          <w:rFonts w:eastAsia="Times New Roman" w:cs="Arial"/>
          <w:sz w:val="20"/>
          <w:szCs w:val="20"/>
          <w:lang w:val="en" w:eastAsia="en-AU"/>
        </w:rPr>
        <w:t>,</w:t>
      </w:r>
      <w:r w:rsidRPr="00310355">
        <w:rPr>
          <w:rFonts w:eastAsia="Times New Roman" w:cs="Arial"/>
          <w:sz w:val="20"/>
          <w:szCs w:val="20"/>
          <w:lang w:val="en" w:eastAsia="en-AU"/>
        </w:rPr>
        <w:t xml:space="preserve"> the amount of organics recovered for reprocessing in Victoria was </w:t>
      </w:r>
      <w:r w:rsidRPr="00310355">
        <w:rPr>
          <w:rFonts w:eastAsia="Times New Roman" w:cs="Arial"/>
          <w:b/>
          <w:bCs/>
          <w:sz w:val="20"/>
          <w:szCs w:val="20"/>
          <w:lang w:val="en" w:eastAsia="en-AU"/>
        </w:rPr>
        <w:t>1.</w:t>
      </w:r>
      <w:r w:rsidR="0020311E">
        <w:rPr>
          <w:rFonts w:eastAsia="Times New Roman" w:cs="Arial"/>
          <w:b/>
          <w:bCs/>
          <w:sz w:val="20"/>
          <w:szCs w:val="20"/>
          <w:lang w:val="en" w:eastAsia="en-AU"/>
        </w:rPr>
        <w:t>1</w:t>
      </w:r>
      <w:r w:rsidRPr="00310355">
        <w:rPr>
          <w:rFonts w:eastAsia="Times New Roman" w:cs="Arial"/>
          <w:b/>
          <w:bCs/>
          <w:sz w:val="20"/>
          <w:szCs w:val="20"/>
          <w:lang w:val="en" w:eastAsia="en-AU"/>
        </w:rPr>
        <w:t xml:space="preserve"> million tonnes</w:t>
      </w:r>
      <w:r w:rsidRPr="00310355">
        <w:rPr>
          <w:rFonts w:eastAsia="Times New Roman" w:cs="Arial"/>
          <w:sz w:val="20"/>
          <w:szCs w:val="20"/>
          <w:lang w:val="en" w:eastAsia="en-AU"/>
        </w:rPr>
        <w:t xml:space="preserve">. This figure </w:t>
      </w:r>
      <w:r w:rsidR="0020311E">
        <w:rPr>
          <w:rFonts w:eastAsia="Times New Roman" w:cs="Arial"/>
          <w:sz w:val="20"/>
          <w:szCs w:val="20"/>
          <w:lang w:val="en" w:eastAsia="en-AU"/>
        </w:rPr>
        <w:t>in</w:t>
      </w:r>
      <w:r w:rsidRPr="00310355">
        <w:rPr>
          <w:rFonts w:eastAsia="Times New Roman" w:cs="Arial"/>
          <w:sz w:val="20"/>
          <w:szCs w:val="20"/>
          <w:lang w:val="en" w:eastAsia="en-AU"/>
        </w:rPr>
        <w:t xml:space="preserve">creased by </w:t>
      </w:r>
      <w:r w:rsidR="0020311E">
        <w:rPr>
          <w:rFonts w:eastAsia="Times New Roman" w:cs="Arial"/>
          <w:sz w:val="20"/>
          <w:szCs w:val="20"/>
          <w:lang w:val="en" w:eastAsia="en-AU"/>
        </w:rPr>
        <w:t>6</w:t>
      </w:r>
      <w:r w:rsidRPr="00310355">
        <w:rPr>
          <w:rFonts w:eastAsia="Times New Roman" w:cs="Arial"/>
          <w:sz w:val="20"/>
          <w:szCs w:val="20"/>
          <w:lang w:val="en" w:eastAsia="en-AU"/>
        </w:rPr>
        <w:t>% from 201</w:t>
      </w:r>
      <w:r w:rsidR="0020311E">
        <w:rPr>
          <w:rFonts w:eastAsia="Times New Roman" w:cs="Arial"/>
          <w:sz w:val="20"/>
          <w:szCs w:val="20"/>
          <w:lang w:val="en" w:eastAsia="en-AU"/>
        </w:rPr>
        <w:t>5</w:t>
      </w:r>
      <w:r w:rsidRPr="00310355">
        <w:rPr>
          <w:rFonts w:eastAsia="Times New Roman" w:cs="Arial"/>
          <w:sz w:val="20"/>
          <w:szCs w:val="20"/>
          <w:lang w:val="en" w:eastAsia="en-AU"/>
        </w:rPr>
        <w:t>-1</w:t>
      </w:r>
      <w:r w:rsidR="0020311E">
        <w:rPr>
          <w:rFonts w:eastAsia="Times New Roman" w:cs="Arial"/>
          <w:sz w:val="20"/>
          <w:szCs w:val="20"/>
          <w:lang w:val="en" w:eastAsia="en-AU"/>
        </w:rPr>
        <w:t>6</w:t>
      </w:r>
      <w:r w:rsidRPr="00310355">
        <w:rPr>
          <w:rFonts w:eastAsia="Times New Roman" w:cs="Arial"/>
          <w:sz w:val="20"/>
          <w:szCs w:val="20"/>
          <w:lang w:val="en" w:eastAsia="en-AU"/>
        </w:rPr>
        <w:t xml:space="preserve"> (</w:t>
      </w:r>
      <w:r w:rsidR="00746D72">
        <w:rPr>
          <w:rFonts w:eastAsia="Times New Roman" w:cs="Arial"/>
          <w:sz w:val="20"/>
          <w:szCs w:val="20"/>
          <w:lang w:val="en" w:eastAsia="en-AU"/>
        </w:rPr>
        <w:t>1.0</w:t>
      </w:r>
      <w:r w:rsidR="0020311E">
        <w:rPr>
          <w:rFonts w:eastAsia="Times New Roman" w:cs="Arial"/>
          <w:sz w:val="20"/>
          <w:szCs w:val="20"/>
          <w:lang w:val="en" w:eastAsia="en-AU"/>
        </w:rPr>
        <w:t>4</w:t>
      </w:r>
      <w:r w:rsidR="00746D72">
        <w:rPr>
          <w:rFonts w:eastAsia="Times New Roman" w:cs="Arial"/>
          <w:sz w:val="20"/>
          <w:szCs w:val="20"/>
          <w:lang w:val="en" w:eastAsia="en-AU"/>
        </w:rPr>
        <w:t xml:space="preserve"> million</w:t>
      </w:r>
      <w:r w:rsidR="0020311E">
        <w:rPr>
          <w:rFonts w:eastAsia="Times New Roman" w:cs="Arial"/>
          <w:sz w:val="20"/>
          <w:szCs w:val="20"/>
          <w:lang w:val="en" w:eastAsia="en-AU"/>
        </w:rPr>
        <w:t xml:space="preserve"> tonnes) and</w:t>
      </w:r>
      <w:r w:rsidRPr="00310355">
        <w:rPr>
          <w:rFonts w:eastAsia="Times New Roman" w:cs="Arial"/>
          <w:sz w:val="20"/>
          <w:szCs w:val="20"/>
          <w:lang w:val="en" w:eastAsia="en-AU"/>
        </w:rPr>
        <w:t xml:space="preserve"> represents the highest amount of organic material recovered in Victoria since collection started. Th</w:t>
      </w:r>
      <w:r w:rsidR="00746D72">
        <w:rPr>
          <w:rFonts w:eastAsia="Times New Roman" w:cs="Arial"/>
          <w:sz w:val="20"/>
          <w:szCs w:val="20"/>
          <w:lang w:val="en" w:eastAsia="en-AU"/>
        </w:rPr>
        <w:t>e larger amount of organics recovered</w:t>
      </w:r>
      <w:r w:rsidRPr="00310355">
        <w:rPr>
          <w:rFonts w:eastAsia="Times New Roman" w:cs="Arial"/>
          <w:sz w:val="20"/>
          <w:szCs w:val="20"/>
          <w:lang w:val="en" w:eastAsia="en-AU"/>
        </w:rPr>
        <w:t xml:space="preserve"> can be partially attributed to a larger amount of organics reprocessors responding to </w:t>
      </w:r>
      <w:r w:rsidR="00746D72">
        <w:rPr>
          <w:rFonts w:eastAsia="Times New Roman" w:cs="Arial"/>
          <w:sz w:val="20"/>
          <w:szCs w:val="20"/>
          <w:lang w:val="en" w:eastAsia="en-AU"/>
        </w:rPr>
        <w:t>the</w:t>
      </w:r>
      <w:r w:rsidRPr="00310355">
        <w:rPr>
          <w:rFonts w:eastAsia="Times New Roman" w:cs="Arial"/>
          <w:sz w:val="20"/>
          <w:szCs w:val="20"/>
          <w:lang w:val="en" w:eastAsia="en-AU"/>
        </w:rPr>
        <w:t xml:space="preserve"> survey combined with a larger recovery of timber for energy generation purposes.</w:t>
      </w:r>
      <w:r w:rsidR="00BA256A">
        <w:rPr>
          <w:rFonts w:eastAsia="Times New Roman" w:cs="Arial"/>
          <w:sz w:val="20"/>
          <w:szCs w:val="20"/>
          <w:lang w:val="en" w:eastAsia="en-AU"/>
        </w:rPr>
        <w:t xml:space="preserve"> </w:t>
      </w:r>
      <w:r w:rsidRPr="00310355">
        <w:rPr>
          <w:rFonts w:eastAsia="Times New Roman" w:cs="Arial"/>
          <w:sz w:val="20"/>
          <w:szCs w:val="20"/>
          <w:lang w:val="en" w:eastAsia="en-AU"/>
        </w:rPr>
        <w:t>Identifying trends in this waste stream poses numerous challenges, among them the impact of environmental conditions such as long-term drought and legislated water restrictions.</w:t>
      </w:r>
    </w:p>
    <w:p w14:paraId="6DCC19AD" w14:textId="77777777" w:rsidR="00BA256A" w:rsidRDefault="00BA256A" w:rsidP="00310355">
      <w:pPr>
        <w:shd w:val="clear" w:color="auto" w:fill="FFFFFF"/>
        <w:spacing w:after="0" w:line="260" w:lineRule="atLeast"/>
        <w:jc w:val="both"/>
        <w:rPr>
          <w:rFonts w:eastAsia="Times New Roman" w:cs="Arial"/>
          <w:sz w:val="20"/>
          <w:szCs w:val="20"/>
          <w:lang w:val="en" w:eastAsia="en-AU"/>
        </w:rPr>
      </w:pPr>
    </w:p>
    <w:p w14:paraId="428116A1" w14:textId="4BEB3EB3" w:rsidR="00DD5414" w:rsidRPr="00310355" w:rsidRDefault="00DD5414" w:rsidP="00310355">
      <w:pPr>
        <w:shd w:val="clear" w:color="auto" w:fill="FFFFFF"/>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 xml:space="preserve">In </w:t>
      </w:r>
      <w:r w:rsidR="00946B02" w:rsidRPr="00310355">
        <w:rPr>
          <w:rFonts w:eastAsia="Times New Roman" w:cs="Arial"/>
          <w:sz w:val="20"/>
          <w:szCs w:val="20"/>
          <w:lang w:val="en" w:eastAsia="en-AU"/>
        </w:rPr>
        <w:t>201</w:t>
      </w:r>
      <w:r w:rsidR="00946B02">
        <w:rPr>
          <w:rFonts w:eastAsia="Times New Roman" w:cs="Arial"/>
          <w:sz w:val="20"/>
          <w:szCs w:val="20"/>
          <w:lang w:val="en" w:eastAsia="en-AU"/>
        </w:rPr>
        <w:t>6</w:t>
      </w:r>
      <w:r w:rsidR="00946B02" w:rsidRPr="00310355">
        <w:rPr>
          <w:rFonts w:eastAsia="Times New Roman" w:cs="Arial"/>
          <w:sz w:val="20"/>
          <w:szCs w:val="20"/>
          <w:lang w:val="en" w:eastAsia="en-AU"/>
        </w:rPr>
        <w:t>-1</w:t>
      </w:r>
      <w:r w:rsidR="00946B02">
        <w:rPr>
          <w:rFonts w:eastAsia="Times New Roman" w:cs="Arial"/>
          <w:sz w:val="20"/>
          <w:szCs w:val="20"/>
          <w:lang w:val="en" w:eastAsia="en-AU"/>
        </w:rPr>
        <w:t>7</w:t>
      </w:r>
      <w:r w:rsidR="00946B02" w:rsidRPr="00310355">
        <w:rPr>
          <w:rFonts w:eastAsia="Times New Roman" w:cs="Arial"/>
          <w:sz w:val="20"/>
          <w:szCs w:val="20"/>
          <w:lang w:val="en" w:eastAsia="en-AU"/>
        </w:rPr>
        <w:t xml:space="preserve"> </w:t>
      </w:r>
      <w:r w:rsidRPr="00310355">
        <w:rPr>
          <w:rFonts w:eastAsia="Times New Roman" w:cs="Arial"/>
          <w:sz w:val="20"/>
          <w:szCs w:val="20"/>
          <w:lang w:val="en" w:eastAsia="en-AU"/>
        </w:rPr>
        <w:t>of the total organics recovered:</w:t>
      </w:r>
    </w:p>
    <w:p w14:paraId="6D4DEA50" w14:textId="409EB551" w:rsidR="00DD5414" w:rsidRPr="00310355" w:rsidRDefault="00DD5414" w:rsidP="00D01076">
      <w:pPr>
        <w:pStyle w:val="ListBullet"/>
      </w:pPr>
      <w:r w:rsidRPr="00310355">
        <w:t xml:space="preserve">Garden organics accounted for </w:t>
      </w:r>
      <w:r w:rsidR="00746D72">
        <w:t>4</w:t>
      </w:r>
      <w:r w:rsidR="00FF5D18">
        <w:t>7</w:t>
      </w:r>
      <w:r w:rsidRPr="00310355">
        <w:t xml:space="preserve">% and increased by </w:t>
      </w:r>
      <w:r w:rsidR="00FF5D18">
        <w:t>20% from the previous year to 515</w:t>
      </w:r>
      <w:r w:rsidRPr="00310355">
        <w:t>,000 tonnes.</w:t>
      </w:r>
    </w:p>
    <w:p w14:paraId="6122F85F" w14:textId="34C43D79" w:rsidR="00DD5414" w:rsidRPr="00310355" w:rsidRDefault="00DD5414" w:rsidP="00D01076">
      <w:pPr>
        <w:pStyle w:val="ListBullet"/>
      </w:pPr>
      <w:r w:rsidRPr="00310355">
        <w:t xml:space="preserve">Wood and timber organics accounted for </w:t>
      </w:r>
      <w:r w:rsidR="00746D72">
        <w:t>2</w:t>
      </w:r>
      <w:r w:rsidR="00FF5D18">
        <w:t>1</w:t>
      </w:r>
      <w:r w:rsidRPr="00310355">
        <w:t xml:space="preserve">% and increased by </w:t>
      </w:r>
      <w:r w:rsidR="00FF5D18">
        <w:t>12</w:t>
      </w:r>
      <w:r w:rsidRPr="00310355">
        <w:t xml:space="preserve">% from the previous year to </w:t>
      </w:r>
      <w:r w:rsidR="00746D72">
        <w:t>2</w:t>
      </w:r>
      <w:r w:rsidR="00FF5D18">
        <w:t>28</w:t>
      </w:r>
      <w:r w:rsidRPr="00310355">
        <w:t>,000 tonnes.</w:t>
      </w:r>
    </w:p>
    <w:p w14:paraId="159F315A" w14:textId="57B8D3D8" w:rsidR="00DD5414" w:rsidRPr="00310355" w:rsidRDefault="00DD5414" w:rsidP="00D01076">
      <w:pPr>
        <w:pStyle w:val="ListBullet"/>
      </w:pPr>
      <w:r w:rsidRPr="00310355">
        <w:t>Sawdust and other forestry residuals accounted for 1</w:t>
      </w:r>
      <w:r w:rsidR="00FF5D18">
        <w:t>3</w:t>
      </w:r>
      <w:r w:rsidRPr="00310355">
        <w:t xml:space="preserve">% and </w:t>
      </w:r>
      <w:r w:rsidR="00746D72">
        <w:t>de</w:t>
      </w:r>
      <w:r w:rsidRPr="00310355">
        <w:t xml:space="preserve">creased by </w:t>
      </w:r>
      <w:r w:rsidR="00FF5D18">
        <w:t>7</w:t>
      </w:r>
      <w:r w:rsidRPr="00310355">
        <w:t>% from the previous year to 1</w:t>
      </w:r>
      <w:r w:rsidR="00FF5D18">
        <w:t>37</w:t>
      </w:r>
      <w:r w:rsidRPr="00310355">
        <w:t>,000 tonnes.</w:t>
      </w:r>
    </w:p>
    <w:p w14:paraId="1734FF32" w14:textId="114F1C0D" w:rsidR="00DD5414" w:rsidRDefault="00DD5414" w:rsidP="00D01076">
      <w:pPr>
        <w:pStyle w:val="ListBullet"/>
      </w:pPr>
      <w:r w:rsidRPr="00310355">
        <w:t xml:space="preserve">Food organics accounted for </w:t>
      </w:r>
      <w:r w:rsidR="00FF5D18">
        <w:t>3</w:t>
      </w:r>
      <w:r w:rsidRPr="00310355">
        <w:t xml:space="preserve">% and </w:t>
      </w:r>
      <w:r w:rsidR="00746D72">
        <w:t xml:space="preserve">decreased by </w:t>
      </w:r>
      <w:r w:rsidR="00FF5D18">
        <w:t>49</w:t>
      </w:r>
      <w:r w:rsidRPr="00310355">
        <w:t xml:space="preserve">% from the previous year to </w:t>
      </w:r>
      <w:r w:rsidR="00FF5D18">
        <w:t>38</w:t>
      </w:r>
      <w:r w:rsidRPr="00310355">
        <w:t>,000 tonnes.</w:t>
      </w:r>
    </w:p>
    <w:p w14:paraId="0CD980AA" w14:textId="4F4EF664" w:rsidR="00746D72" w:rsidRPr="00746D72" w:rsidRDefault="00746D72" w:rsidP="00D01076">
      <w:pPr>
        <w:pStyle w:val="ListBullet"/>
      </w:pPr>
      <w:r w:rsidRPr="00746D72">
        <w:t xml:space="preserve">Food and garden organics combined (FOGO) for accounted for 3% </w:t>
      </w:r>
      <w:r w:rsidR="00FF5D18">
        <w:t>and remained unchanged from the previous year at 29,000 tonnes.</w:t>
      </w:r>
    </w:p>
    <w:p w14:paraId="672EEF2A" w14:textId="6A424AE4" w:rsidR="00DD5414" w:rsidRPr="00310355" w:rsidRDefault="00DD5414" w:rsidP="00D01076">
      <w:pPr>
        <w:pStyle w:val="ListBullet"/>
      </w:pPr>
      <w:r w:rsidRPr="00310355">
        <w:t>Other and mixed organics waste (a mix of different types of organics that were not separated or did not fit into any of the above categories) accounted for 1</w:t>
      </w:r>
      <w:r w:rsidR="00FF5D18">
        <w:t>4</w:t>
      </w:r>
      <w:r w:rsidR="00746D72">
        <w:t>% and d</w:t>
      </w:r>
      <w:r w:rsidR="00746D72" w:rsidRPr="00310355">
        <w:t>ecreased</w:t>
      </w:r>
      <w:r w:rsidRPr="00310355">
        <w:t xml:space="preserve"> by </w:t>
      </w:r>
      <w:r w:rsidR="00FF5D18">
        <w:t>1</w:t>
      </w:r>
      <w:r w:rsidRPr="00310355">
        <w:t xml:space="preserve">% from the previous year to </w:t>
      </w:r>
      <w:r w:rsidR="00FF5D18">
        <w:t>150</w:t>
      </w:r>
      <w:r w:rsidRPr="00310355">
        <w:t>,000 tonnes.</w:t>
      </w:r>
    </w:p>
    <w:p w14:paraId="2BDD8E19" w14:textId="77777777" w:rsidR="00310355" w:rsidRPr="00310355" w:rsidRDefault="00310355" w:rsidP="00D01076">
      <w:pPr>
        <w:pStyle w:val="ListBullet"/>
      </w:pPr>
    </w:p>
    <w:p w14:paraId="22F770B1" w14:textId="6E58DECE" w:rsidR="00DA09F0" w:rsidRDefault="00DD5414" w:rsidP="00162021">
      <w:pPr>
        <w:pStyle w:val="Caption"/>
      </w:pPr>
      <w:r w:rsidRPr="00310355">
        <w:t xml:space="preserve">Composition of organic material recovered for reprocessing (by weight), Victoria </w:t>
      </w:r>
      <w:r w:rsidR="00946B02" w:rsidRPr="00946B02">
        <w:t>2016-17</w:t>
      </w:r>
    </w:p>
    <w:p w14:paraId="0E99FB79" w14:textId="7E077935" w:rsidR="00DD5414" w:rsidRDefault="005A1E1D" w:rsidP="004A3ABC">
      <w:pPr>
        <w:jc w:val="center"/>
      </w:pPr>
      <w:r w:rsidRPr="005A1E1D">
        <w:rPr>
          <w:noProof/>
          <w:lang w:eastAsia="en-AU"/>
        </w:rPr>
        <w:drawing>
          <wp:inline distT="0" distB="0" distL="0" distR="0" wp14:anchorId="4177277E" wp14:editId="2DF355C8">
            <wp:extent cx="3632400" cy="2343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2400" cy="2343600"/>
                    </a:xfrm>
                    <a:prstGeom prst="rect">
                      <a:avLst/>
                    </a:prstGeom>
                    <a:noFill/>
                    <a:ln>
                      <a:noFill/>
                    </a:ln>
                  </pic:spPr>
                </pic:pic>
              </a:graphicData>
            </a:graphic>
          </wp:inline>
        </w:drawing>
      </w:r>
    </w:p>
    <w:p w14:paraId="21159C4A" w14:textId="04498FD7" w:rsidR="00DA09F0" w:rsidRDefault="00DA09F0" w:rsidP="00310355">
      <w:pPr>
        <w:shd w:val="clear" w:color="auto" w:fill="FFFFFF"/>
        <w:spacing w:after="0" w:line="260" w:lineRule="atLeast"/>
        <w:rPr>
          <w:rFonts w:eastAsia="Times New Roman" w:cs="Arial"/>
          <w:b/>
          <w:bCs/>
          <w:sz w:val="20"/>
          <w:szCs w:val="20"/>
        </w:rPr>
      </w:pPr>
    </w:p>
    <w:p w14:paraId="2607B537" w14:textId="5A016F24" w:rsidR="00DD5414" w:rsidRPr="00310355" w:rsidRDefault="00DD5414" w:rsidP="00310355">
      <w:pPr>
        <w:shd w:val="clear" w:color="auto" w:fill="FFFFFF"/>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 xml:space="preserve">In </w:t>
      </w:r>
      <w:r w:rsidR="00946B02" w:rsidRPr="00310355">
        <w:rPr>
          <w:rFonts w:eastAsia="Times New Roman" w:cs="Arial"/>
          <w:sz w:val="20"/>
          <w:szCs w:val="20"/>
          <w:lang w:val="en" w:eastAsia="en-AU"/>
        </w:rPr>
        <w:t>201</w:t>
      </w:r>
      <w:r w:rsidR="00946B02">
        <w:rPr>
          <w:rFonts w:eastAsia="Times New Roman" w:cs="Arial"/>
          <w:sz w:val="20"/>
          <w:szCs w:val="20"/>
          <w:lang w:val="en" w:eastAsia="en-AU"/>
        </w:rPr>
        <w:t>6</w:t>
      </w:r>
      <w:r w:rsidR="00946B02" w:rsidRPr="00310355">
        <w:rPr>
          <w:rFonts w:eastAsia="Times New Roman" w:cs="Arial"/>
          <w:sz w:val="20"/>
          <w:szCs w:val="20"/>
          <w:lang w:val="en" w:eastAsia="en-AU"/>
        </w:rPr>
        <w:t>-1</w:t>
      </w:r>
      <w:r w:rsidR="00946B02">
        <w:rPr>
          <w:rFonts w:eastAsia="Times New Roman" w:cs="Arial"/>
          <w:sz w:val="20"/>
          <w:szCs w:val="20"/>
          <w:lang w:val="en" w:eastAsia="en-AU"/>
        </w:rPr>
        <w:t>7</w:t>
      </w:r>
      <w:r w:rsidRPr="00310355">
        <w:rPr>
          <w:rFonts w:eastAsia="Times New Roman" w:cs="Arial"/>
          <w:sz w:val="20"/>
          <w:szCs w:val="20"/>
          <w:lang w:val="en" w:eastAsia="en-AU"/>
        </w:rPr>
        <w:t xml:space="preserve">, the Municipal sector contributed </w:t>
      </w:r>
      <w:r w:rsidR="00746D72">
        <w:rPr>
          <w:rFonts w:eastAsia="Times New Roman" w:cs="Arial"/>
          <w:sz w:val="20"/>
          <w:szCs w:val="20"/>
          <w:lang w:val="en" w:eastAsia="en-AU"/>
        </w:rPr>
        <w:t>3</w:t>
      </w:r>
      <w:r w:rsidR="00DA09F0">
        <w:rPr>
          <w:rFonts w:eastAsia="Times New Roman" w:cs="Arial"/>
          <w:sz w:val="20"/>
          <w:szCs w:val="20"/>
          <w:lang w:val="en" w:eastAsia="en-AU"/>
        </w:rPr>
        <w:t>7</w:t>
      </w:r>
      <w:r w:rsidRPr="00310355">
        <w:rPr>
          <w:rFonts w:eastAsia="Times New Roman" w:cs="Arial"/>
          <w:sz w:val="20"/>
          <w:szCs w:val="20"/>
          <w:lang w:val="en" w:eastAsia="en-AU"/>
        </w:rPr>
        <w:t xml:space="preserve">% of the total </w:t>
      </w:r>
      <w:r w:rsidR="00D01076">
        <w:rPr>
          <w:rFonts w:eastAsia="Times New Roman" w:cs="Arial"/>
          <w:sz w:val="20"/>
          <w:szCs w:val="20"/>
          <w:lang w:val="en" w:eastAsia="en-AU"/>
        </w:rPr>
        <w:t xml:space="preserve">organic </w:t>
      </w:r>
      <w:r w:rsidRPr="00310355">
        <w:rPr>
          <w:rFonts w:eastAsia="Times New Roman" w:cs="Arial"/>
          <w:sz w:val="20"/>
          <w:szCs w:val="20"/>
          <w:lang w:val="en" w:eastAsia="en-AU"/>
        </w:rPr>
        <w:t>waste recovered (</w:t>
      </w:r>
      <w:r w:rsidR="00DA09F0">
        <w:rPr>
          <w:rFonts w:eastAsia="Times New Roman" w:cs="Arial"/>
          <w:sz w:val="20"/>
          <w:szCs w:val="20"/>
          <w:lang w:val="en" w:eastAsia="en-AU"/>
        </w:rPr>
        <w:t>up</w:t>
      </w:r>
      <w:r w:rsidRPr="00310355">
        <w:rPr>
          <w:rFonts w:eastAsia="Times New Roman" w:cs="Arial"/>
          <w:sz w:val="20"/>
          <w:szCs w:val="20"/>
          <w:lang w:val="en" w:eastAsia="en-AU"/>
        </w:rPr>
        <w:t xml:space="preserve"> from </w:t>
      </w:r>
      <w:r w:rsidR="00DA09F0">
        <w:rPr>
          <w:rFonts w:eastAsia="Times New Roman" w:cs="Arial"/>
          <w:sz w:val="20"/>
          <w:szCs w:val="20"/>
          <w:lang w:val="en" w:eastAsia="en-AU"/>
        </w:rPr>
        <w:t>30</w:t>
      </w:r>
      <w:r w:rsidRPr="00310355">
        <w:rPr>
          <w:rFonts w:eastAsia="Times New Roman" w:cs="Arial"/>
          <w:sz w:val="20"/>
          <w:szCs w:val="20"/>
          <w:lang w:val="en" w:eastAsia="en-AU"/>
        </w:rPr>
        <w:t>% in 201</w:t>
      </w:r>
      <w:r w:rsidR="00DA09F0">
        <w:rPr>
          <w:rFonts w:eastAsia="Times New Roman" w:cs="Arial"/>
          <w:sz w:val="20"/>
          <w:szCs w:val="20"/>
          <w:lang w:val="en" w:eastAsia="en-AU"/>
        </w:rPr>
        <w:t>5</w:t>
      </w:r>
      <w:r w:rsidR="00746D72">
        <w:rPr>
          <w:rFonts w:eastAsia="Times New Roman" w:cs="Arial"/>
          <w:sz w:val="20"/>
          <w:szCs w:val="20"/>
          <w:lang w:val="en" w:eastAsia="en-AU"/>
        </w:rPr>
        <w:t>-1</w:t>
      </w:r>
      <w:r w:rsidR="00DA09F0">
        <w:rPr>
          <w:rFonts w:eastAsia="Times New Roman" w:cs="Arial"/>
          <w:sz w:val="20"/>
          <w:szCs w:val="20"/>
          <w:lang w:val="en" w:eastAsia="en-AU"/>
        </w:rPr>
        <w:t>6</w:t>
      </w:r>
      <w:r w:rsidRPr="00310355">
        <w:rPr>
          <w:rFonts w:eastAsia="Times New Roman" w:cs="Arial"/>
          <w:sz w:val="20"/>
          <w:szCs w:val="20"/>
          <w:lang w:val="en" w:eastAsia="en-AU"/>
        </w:rPr>
        <w:t xml:space="preserve">). The </w:t>
      </w:r>
      <w:r w:rsidR="00C85393">
        <w:rPr>
          <w:rFonts w:eastAsia="Times New Roman" w:cs="Arial"/>
          <w:sz w:val="20"/>
          <w:szCs w:val="20"/>
          <w:lang w:val="en" w:eastAsia="en-AU"/>
        </w:rPr>
        <w:t>C&amp;I</w:t>
      </w:r>
      <w:r w:rsidRPr="00310355">
        <w:rPr>
          <w:rFonts w:eastAsia="Times New Roman" w:cs="Arial"/>
          <w:sz w:val="20"/>
          <w:szCs w:val="20"/>
          <w:lang w:val="en" w:eastAsia="en-AU"/>
        </w:rPr>
        <w:t xml:space="preserve"> sector contributed </w:t>
      </w:r>
      <w:r w:rsidR="00DA09F0">
        <w:rPr>
          <w:rFonts w:eastAsia="Times New Roman" w:cs="Arial"/>
          <w:sz w:val="20"/>
          <w:szCs w:val="20"/>
          <w:lang w:val="en" w:eastAsia="en-AU"/>
        </w:rPr>
        <w:t>56</w:t>
      </w:r>
      <w:r w:rsidRPr="00310355">
        <w:rPr>
          <w:rFonts w:eastAsia="Times New Roman" w:cs="Arial"/>
          <w:sz w:val="20"/>
          <w:szCs w:val="20"/>
          <w:lang w:val="en" w:eastAsia="en-AU"/>
        </w:rPr>
        <w:t>% (</w:t>
      </w:r>
      <w:r w:rsidR="00DA09F0">
        <w:rPr>
          <w:rFonts w:eastAsia="Times New Roman" w:cs="Arial"/>
          <w:sz w:val="20"/>
          <w:szCs w:val="20"/>
          <w:lang w:val="en" w:eastAsia="en-AU"/>
        </w:rPr>
        <w:t>down</w:t>
      </w:r>
      <w:r w:rsidRPr="00310355">
        <w:rPr>
          <w:rFonts w:eastAsia="Times New Roman" w:cs="Arial"/>
          <w:sz w:val="20"/>
          <w:szCs w:val="20"/>
          <w:lang w:val="en" w:eastAsia="en-AU"/>
        </w:rPr>
        <w:t xml:space="preserve"> from </w:t>
      </w:r>
      <w:r w:rsidR="00DA09F0">
        <w:rPr>
          <w:rFonts w:eastAsia="Times New Roman" w:cs="Arial"/>
          <w:sz w:val="20"/>
          <w:szCs w:val="20"/>
          <w:lang w:val="en" w:eastAsia="en-AU"/>
        </w:rPr>
        <w:t>63</w:t>
      </w:r>
      <w:r w:rsidR="00746D72">
        <w:rPr>
          <w:rFonts w:eastAsia="Times New Roman" w:cs="Arial"/>
          <w:sz w:val="20"/>
          <w:szCs w:val="20"/>
          <w:lang w:val="en" w:eastAsia="en-AU"/>
        </w:rPr>
        <w:t>% in 201</w:t>
      </w:r>
      <w:r w:rsidR="00DA09F0">
        <w:rPr>
          <w:rFonts w:eastAsia="Times New Roman" w:cs="Arial"/>
          <w:sz w:val="20"/>
          <w:szCs w:val="20"/>
          <w:lang w:val="en" w:eastAsia="en-AU"/>
        </w:rPr>
        <w:t>5</w:t>
      </w:r>
      <w:r w:rsidRPr="00310355">
        <w:rPr>
          <w:rFonts w:eastAsia="Times New Roman" w:cs="Arial"/>
          <w:sz w:val="20"/>
          <w:szCs w:val="20"/>
          <w:lang w:val="en" w:eastAsia="en-AU"/>
        </w:rPr>
        <w:t>-1</w:t>
      </w:r>
      <w:r w:rsidR="00DA09F0">
        <w:rPr>
          <w:rFonts w:eastAsia="Times New Roman" w:cs="Arial"/>
          <w:sz w:val="20"/>
          <w:szCs w:val="20"/>
          <w:lang w:val="en" w:eastAsia="en-AU"/>
        </w:rPr>
        <w:t>6</w:t>
      </w:r>
      <w:r w:rsidRPr="00310355">
        <w:rPr>
          <w:rFonts w:eastAsia="Times New Roman" w:cs="Arial"/>
          <w:sz w:val="20"/>
          <w:szCs w:val="20"/>
          <w:lang w:val="en" w:eastAsia="en-AU"/>
        </w:rPr>
        <w:t xml:space="preserve">) and the </w:t>
      </w:r>
      <w:r w:rsidR="00C85393">
        <w:rPr>
          <w:rFonts w:eastAsia="Times New Roman" w:cs="Arial"/>
          <w:sz w:val="20"/>
          <w:szCs w:val="20"/>
          <w:lang w:val="en" w:eastAsia="en-AU"/>
        </w:rPr>
        <w:t xml:space="preserve">C&amp;D </w:t>
      </w:r>
      <w:r w:rsidRPr="00310355">
        <w:rPr>
          <w:rFonts w:eastAsia="Times New Roman" w:cs="Arial"/>
          <w:sz w:val="20"/>
          <w:szCs w:val="20"/>
          <w:lang w:val="en" w:eastAsia="en-AU"/>
        </w:rPr>
        <w:t xml:space="preserve">sector contributed </w:t>
      </w:r>
      <w:r w:rsidR="00746D72">
        <w:rPr>
          <w:rFonts w:eastAsia="Times New Roman" w:cs="Arial"/>
          <w:sz w:val="20"/>
          <w:szCs w:val="20"/>
          <w:lang w:val="en" w:eastAsia="en-AU"/>
        </w:rPr>
        <w:t>7</w:t>
      </w:r>
      <w:r w:rsidRPr="00310355">
        <w:rPr>
          <w:rFonts w:eastAsia="Times New Roman" w:cs="Arial"/>
          <w:sz w:val="20"/>
          <w:szCs w:val="20"/>
          <w:lang w:val="en" w:eastAsia="en-AU"/>
        </w:rPr>
        <w:t>% (</w:t>
      </w:r>
      <w:r w:rsidR="00DA09F0">
        <w:rPr>
          <w:rFonts w:eastAsia="Times New Roman" w:cs="Arial"/>
          <w:sz w:val="20"/>
          <w:szCs w:val="20"/>
          <w:lang w:val="en" w:eastAsia="en-AU"/>
        </w:rPr>
        <w:t>unchanged from</w:t>
      </w:r>
      <w:r w:rsidRPr="00310355">
        <w:rPr>
          <w:rFonts w:eastAsia="Times New Roman" w:cs="Arial"/>
          <w:sz w:val="20"/>
          <w:szCs w:val="20"/>
          <w:lang w:val="en" w:eastAsia="en-AU"/>
        </w:rPr>
        <w:t xml:space="preserve"> previous year).</w:t>
      </w:r>
    </w:p>
    <w:p w14:paraId="23A48F38" w14:textId="6A4FA2E4" w:rsidR="00420443" w:rsidRDefault="00420443">
      <w:pPr>
        <w:spacing w:after="160"/>
        <w:rPr>
          <w:rFonts w:eastAsia="Times New Roman" w:cs="Arial"/>
          <w:b/>
          <w:bCs/>
          <w:sz w:val="20"/>
          <w:szCs w:val="20"/>
        </w:rPr>
      </w:pPr>
    </w:p>
    <w:p w14:paraId="64939261" w14:textId="76F2F150" w:rsidR="00D01076" w:rsidRDefault="00D01076" w:rsidP="00420443">
      <w:pPr>
        <w:pStyle w:val="Caption"/>
      </w:pPr>
    </w:p>
    <w:p w14:paraId="61208F82" w14:textId="36BF9EBF" w:rsidR="00954A83" w:rsidRDefault="00954A83" w:rsidP="00954A83"/>
    <w:p w14:paraId="7039E285" w14:textId="1F720C2A" w:rsidR="00954A83" w:rsidRDefault="00954A83" w:rsidP="00954A83"/>
    <w:p w14:paraId="75495EC7" w14:textId="6B52980D" w:rsidR="00954A83" w:rsidRDefault="00954A83" w:rsidP="00954A83"/>
    <w:p w14:paraId="5AA01C03" w14:textId="77777777" w:rsidR="00954A83" w:rsidRPr="00954A83" w:rsidRDefault="00954A83" w:rsidP="00954A83"/>
    <w:p w14:paraId="2813A2D0" w14:textId="14784248" w:rsidR="00DD5414" w:rsidRDefault="00DD5414" w:rsidP="00420443">
      <w:pPr>
        <w:pStyle w:val="Caption"/>
      </w:pPr>
      <w:r w:rsidRPr="00310355">
        <w:lastRenderedPageBreak/>
        <w:t xml:space="preserve">Source sectors of organic material received for reprocessing (by weight), Victoria </w:t>
      </w:r>
      <w:r w:rsidR="00946B02" w:rsidRPr="00946B02">
        <w:t>2016-17</w:t>
      </w:r>
    </w:p>
    <w:p w14:paraId="606DBBBD" w14:textId="643594C6" w:rsidR="00746D72" w:rsidRPr="00310355" w:rsidRDefault="00491DED" w:rsidP="00890DC9">
      <w:pPr>
        <w:jc w:val="center"/>
      </w:pPr>
      <w:r w:rsidRPr="00491DED">
        <w:rPr>
          <w:noProof/>
          <w:lang w:eastAsia="en-AU"/>
        </w:rPr>
        <w:drawing>
          <wp:inline distT="0" distB="0" distL="0" distR="0" wp14:anchorId="3FCFF06C" wp14:editId="23C7E6AA">
            <wp:extent cx="3603600" cy="2354400"/>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03600" cy="2354400"/>
                    </a:xfrm>
                    <a:prstGeom prst="rect">
                      <a:avLst/>
                    </a:prstGeom>
                    <a:noFill/>
                    <a:ln>
                      <a:noFill/>
                    </a:ln>
                  </pic:spPr>
                </pic:pic>
              </a:graphicData>
            </a:graphic>
          </wp:inline>
        </w:drawing>
      </w:r>
    </w:p>
    <w:p w14:paraId="1459C388" w14:textId="54FC65F2" w:rsidR="00DD5414" w:rsidRDefault="00DD5414" w:rsidP="00310355">
      <w:pPr>
        <w:shd w:val="clear" w:color="auto" w:fill="FFFFFF"/>
        <w:spacing w:after="0" w:line="260" w:lineRule="atLeast"/>
        <w:jc w:val="center"/>
        <w:rPr>
          <w:rFonts w:eastAsia="Times New Roman" w:cs="Arial"/>
          <w:sz w:val="20"/>
          <w:szCs w:val="20"/>
          <w:lang w:val="en" w:eastAsia="en-AU"/>
        </w:rPr>
      </w:pPr>
    </w:p>
    <w:p w14:paraId="1542A014" w14:textId="77777777" w:rsidR="00746D72" w:rsidRPr="00310355" w:rsidRDefault="00746D72" w:rsidP="00310355">
      <w:pPr>
        <w:shd w:val="clear" w:color="auto" w:fill="FFFFFF"/>
        <w:spacing w:after="0" w:line="260" w:lineRule="atLeast"/>
        <w:jc w:val="center"/>
        <w:rPr>
          <w:rFonts w:eastAsia="Times New Roman" w:cs="Arial"/>
          <w:sz w:val="20"/>
          <w:szCs w:val="20"/>
          <w:lang w:val="en" w:eastAsia="en-AU"/>
        </w:rPr>
      </w:pPr>
    </w:p>
    <w:p w14:paraId="1CDB206C" w14:textId="44CEDC84" w:rsidR="00DD5414" w:rsidRPr="00310355" w:rsidRDefault="00DD5414" w:rsidP="00310355">
      <w:pPr>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Organics recovery, although fluctuating from year to year, is generally trending upwards. Some of the likely reasons for this trend are the introduction of new and upgraded organics facilities, higher demand for recycled organics compost products and the increased collection of organic residues.</w:t>
      </w:r>
    </w:p>
    <w:p w14:paraId="1EE61488" w14:textId="77777777" w:rsidR="00310355" w:rsidRPr="00310355" w:rsidRDefault="00310355" w:rsidP="00310355">
      <w:pPr>
        <w:spacing w:after="0" w:line="260" w:lineRule="atLeast"/>
        <w:jc w:val="both"/>
        <w:rPr>
          <w:rFonts w:eastAsia="Times New Roman" w:cs="Arial"/>
          <w:sz w:val="20"/>
          <w:szCs w:val="20"/>
          <w:lang w:val="en" w:eastAsia="en-AU"/>
        </w:rPr>
      </w:pPr>
    </w:p>
    <w:p w14:paraId="0B1EF37F" w14:textId="2191F897" w:rsidR="00DA09F0" w:rsidRDefault="00DD5414" w:rsidP="00420443">
      <w:pPr>
        <w:pStyle w:val="Caption"/>
      </w:pPr>
      <w:r w:rsidRPr="00310355">
        <w:t>Organics recovered for reprocessing, Victoria 200</w:t>
      </w:r>
      <w:r w:rsidR="00946B02">
        <w:t>7</w:t>
      </w:r>
      <w:r w:rsidRPr="00310355">
        <w:t>-0</w:t>
      </w:r>
      <w:r w:rsidR="00946B02">
        <w:t>8</w:t>
      </w:r>
      <w:r w:rsidRPr="00310355">
        <w:t xml:space="preserve"> to </w:t>
      </w:r>
      <w:r w:rsidR="00946B02" w:rsidRPr="00946B02">
        <w:t>2016-17</w:t>
      </w:r>
    </w:p>
    <w:p w14:paraId="0D3D2D86" w14:textId="1786C22D" w:rsidR="00DD5414" w:rsidRPr="00310355" w:rsidRDefault="00811D19" w:rsidP="00FA62F5">
      <w:pPr>
        <w:rPr>
          <w:lang w:val="en" w:eastAsia="en-AU"/>
        </w:rPr>
      </w:pPr>
      <w:r w:rsidRPr="0052197D">
        <w:rPr>
          <w:noProof/>
          <w:lang w:eastAsia="en-AU"/>
        </w:rPr>
        <w:drawing>
          <wp:inline distT="0" distB="0" distL="0" distR="0" wp14:anchorId="27D3F7D0" wp14:editId="09D6BAA3">
            <wp:extent cx="4489200" cy="263520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9200" cy="2635200"/>
                    </a:xfrm>
                    <a:prstGeom prst="rect">
                      <a:avLst/>
                    </a:prstGeom>
                    <a:noFill/>
                    <a:ln>
                      <a:noFill/>
                    </a:ln>
                  </pic:spPr>
                </pic:pic>
              </a:graphicData>
            </a:graphic>
          </wp:inline>
        </w:drawing>
      </w:r>
    </w:p>
    <w:p w14:paraId="78794FD8" w14:textId="3D6DB247" w:rsidR="00954A83" w:rsidRDefault="00954A83" w:rsidP="00310355">
      <w:pPr>
        <w:spacing w:after="0" w:line="260" w:lineRule="atLeast"/>
        <w:rPr>
          <w:rFonts w:cs="Arial"/>
          <w:sz w:val="20"/>
          <w:szCs w:val="20"/>
          <w:lang w:val="en"/>
        </w:rPr>
      </w:pPr>
      <w:r>
        <w:rPr>
          <w:rFonts w:cs="Arial"/>
          <w:sz w:val="20"/>
          <w:szCs w:val="20"/>
          <w:lang w:val="en"/>
        </w:rPr>
        <w:br w:type="page"/>
      </w:r>
    </w:p>
    <w:p w14:paraId="1973C6EB" w14:textId="42E969E6" w:rsidR="00DD5414" w:rsidRPr="00BA256A" w:rsidRDefault="00DD5414" w:rsidP="00EC66A3">
      <w:pPr>
        <w:pStyle w:val="Heading3"/>
      </w:pPr>
      <w:bookmarkStart w:id="61" w:name="_Toc525308016"/>
      <w:r w:rsidRPr="00BA256A">
        <w:lastRenderedPageBreak/>
        <w:t>Paper and cardboard</w:t>
      </w:r>
      <w:bookmarkEnd w:id="61"/>
      <w:r w:rsidRPr="00BA256A">
        <w:t xml:space="preserve"> </w:t>
      </w:r>
    </w:p>
    <w:p w14:paraId="09A2E643" w14:textId="37FAA9A7" w:rsidR="00DD5414" w:rsidRPr="00310355" w:rsidRDefault="00DD5414" w:rsidP="00D01076">
      <w:pPr>
        <w:shd w:val="clear" w:color="auto" w:fill="FFFFFF"/>
        <w:spacing w:line="260" w:lineRule="atLeast"/>
        <w:rPr>
          <w:rFonts w:eastAsia="Times New Roman" w:cs="Arial"/>
          <w:sz w:val="20"/>
          <w:szCs w:val="20"/>
          <w:lang w:val="en" w:eastAsia="en-AU"/>
        </w:rPr>
      </w:pPr>
      <w:r w:rsidRPr="00310355">
        <w:rPr>
          <w:rFonts w:eastAsia="Times New Roman" w:cs="Arial"/>
          <w:sz w:val="20"/>
          <w:szCs w:val="20"/>
          <w:lang w:val="en" w:eastAsia="en-AU"/>
        </w:rPr>
        <w:t>In 201</w:t>
      </w:r>
      <w:r w:rsidR="00007DEC">
        <w:rPr>
          <w:rFonts w:eastAsia="Times New Roman" w:cs="Arial"/>
          <w:sz w:val="20"/>
          <w:szCs w:val="20"/>
          <w:lang w:val="en" w:eastAsia="en-AU"/>
        </w:rPr>
        <w:t>6</w:t>
      </w:r>
      <w:r w:rsidRPr="00310355">
        <w:rPr>
          <w:rFonts w:eastAsia="Times New Roman" w:cs="Arial"/>
          <w:sz w:val="20"/>
          <w:szCs w:val="20"/>
          <w:lang w:val="en" w:eastAsia="en-AU"/>
        </w:rPr>
        <w:t>-1</w:t>
      </w:r>
      <w:r w:rsidR="00007DEC">
        <w:rPr>
          <w:rFonts w:eastAsia="Times New Roman" w:cs="Arial"/>
          <w:sz w:val="20"/>
          <w:szCs w:val="20"/>
          <w:lang w:val="en" w:eastAsia="en-AU"/>
        </w:rPr>
        <w:t>7</w:t>
      </w:r>
      <w:r w:rsidRPr="00310355">
        <w:rPr>
          <w:rFonts w:eastAsia="Times New Roman" w:cs="Arial"/>
          <w:sz w:val="20"/>
          <w:szCs w:val="20"/>
          <w:lang w:val="en" w:eastAsia="en-AU"/>
        </w:rPr>
        <w:t xml:space="preserve"> the amount of </w:t>
      </w:r>
      <w:r w:rsidR="00983110">
        <w:rPr>
          <w:rFonts w:eastAsia="Times New Roman" w:cs="Arial"/>
          <w:sz w:val="20"/>
          <w:szCs w:val="20"/>
          <w:lang w:val="en" w:eastAsia="en-AU"/>
        </w:rPr>
        <w:t>paper / c</w:t>
      </w:r>
      <w:r w:rsidRPr="00310355">
        <w:rPr>
          <w:rFonts w:eastAsia="Times New Roman" w:cs="Arial"/>
          <w:sz w:val="20"/>
          <w:szCs w:val="20"/>
          <w:lang w:val="en" w:eastAsia="en-AU"/>
        </w:rPr>
        <w:t xml:space="preserve">ardboard recovered for reprocessing in Victoria was </w:t>
      </w:r>
      <w:r w:rsidRPr="00310355">
        <w:rPr>
          <w:rFonts w:eastAsia="Times New Roman" w:cs="Arial"/>
          <w:b/>
          <w:bCs/>
          <w:sz w:val="20"/>
          <w:szCs w:val="20"/>
          <w:lang w:val="en" w:eastAsia="en-AU"/>
        </w:rPr>
        <w:t>1.</w:t>
      </w:r>
      <w:r w:rsidR="00297DED">
        <w:rPr>
          <w:rFonts w:eastAsia="Times New Roman" w:cs="Arial"/>
          <w:b/>
          <w:bCs/>
          <w:sz w:val="20"/>
          <w:szCs w:val="20"/>
          <w:lang w:val="en" w:eastAsia="en-AU"/>
        </w:rPr>
        <w:t>4</w:t>
      </w:r>
      <w:r w:rsidR="00064428">
        <w:rPr>
          <w:rFonts w:eastAsia="Times New Roman" w:cs="Arial"/>
          <w:b/>
          <w:bCs/>
          <w:sz w:val="20"/>
          <w:szCs w:val="20"/>
          <w:lang w:val="en" w:eastAsia="en-AU"/>
        </w:rPr>
        <w:t>5</w:t>
      </w:r>
      <w:r w:rsidRPr="00310355">
        <w:rPr>
          <w:rFonts w:eastAsia="Times New Roman" w:cs="Arial"/>
          <w:b/>
          <w:bCs/>
          <w:sz w:val="20"/>
          <w:szCs w:val="20"/>
          <w:lang w:val="en" w:eastAsia="en-AU"/>
        </w:rPr>
        <w:t xml:space="preserve"> million tonnes. </w:t>
      </w:r>
      <w:r w:rsidRPr="00310355">
        <w:rPr>
          <w:rFonts w:eastAsia="Times New Roman" w:cs="Arial"/>
          <w:bCs/>
          <w:sz w:val="20"/>
          <w:szCs w:val="20"/>
          <w:lang w:val="en" w:eastAsia="en-AU"/>
        </w:rPr>
        <w:t xml:space="preserve">This represents a </w:t>
      </w:r>
      <w:r w:rsidR="00297DED">
        <w:rPr>
          <w:rFonts w:eastAsia="Times New Roman" w:cs="Arial"/>
          <w:bCs/>
          <w:sz w:val="20"/>
          <w:szCs w:val="20"/>
          <w:lang w:val="en" w:eastAsia="en-AU"/>
        </w:rPr>
        <w:t>7</w:t>
      </w:r>
      <w:r w:rsidRPr="00310355">
        <w:rPr>
          <w:rFonts w:eastAsia="Times New Roman" w:cs="Arial"/>
          <w:bCs/>
          <w:sz w:val="20"/>
          <w:szCs w:val="20"/>
          <w:lang w:val="en" w:eastAsia="en-AU"/>
        </w:rPr>
        <w:t xml:space="preserve">% </w:t>
      </w:r>
      <w:r w:rsidR="00297DED">
        <w:rPr>
          <w:rFonts w:eastAsia="Times New Roman" w:cs="Arial"/>
          <w:bCs/>
          <w:sz w:val="20"/>
          <w:szCs w:val="20"/>
          <w:lang w:val="en" w:eastAsia="en-AU"/>
        </w:rPr>
        <w:t>de</w:t>
      </w:r>
      <w:r w:rsidRPr="00310355">
        <w:rPr>
          <w:rFonts w:eastAsia="Times New Roman" w:cs="Arial"/>
          <w:bCs/>
          <w:sz w:val="20"/>
          <w:szCs w:val="20"/>
          <w:lang w:val="en" w:eastAsia="en-AU"/>
        </w:rPr>
        <w:t>crease since 201</w:t>
      </w:r>
      <w:r w:rsidR="00297DED">
        <w:rPr>
          <w:rFonts w:eastAsia="Times New Roman" w:cs="Arial"/>
          <w:bCs/>
          <w:sz w:val="20"/>
          <w:szCs w:val="20"/>
          <w:lang w:val="en" w:eastAsia="en-AU"/>
        </w:rPr>
        <w:t>5</w:t>
      </w:r>
      <w:r w:rsidRPr="00310355">
        <w:rPr>
          <w:rFonts w:eastAsia="Times New Roman" w:cs="Arial"/>
          <w:bCs/>
          <w:sz w:val="20"/>
          <w:szCs w:val="20"/>
          <w:lang w:val="en" w:eastAsia="en-AU"/>
        </w:rPr>
        <w:t>-1</w:t>
      </w:r>
      <w:r w:rsidR="00297DED">
        <w:rPr>
          <w:rFonts w:eastAsia="Times New Roman" w:cs="Arial"/>
          <w:bCs/>
          <w:sz w:val="20"/>
          <w:szCs w:val="20"/>
          <w:lang w:val="en" w:eastAsia="en-AU"/>
        </w:rPr>
        <w:t>6</w:t>
      </w:r>
      <w:r w:rsidRPr="00310355">
        <w:rPr>
          <w:rFonts w:eastAsia="Times New Roman" w:cs="Arial"/>
          <w:bCs/>
          <w:sz w:val="20"/>
          <w:szCs w:val="20"/>
          <w:lang w:val="en" w:eastAsia="en-AU"/>
        </w:rPr>
        <w:t>.</w:t>
      </w:r>
      <w:r w:rsidRPr="00310355">
        <w:rPr>
          <w:rFonts w:eastAsia="Times New Roman" w:cs="Arial"/>
          <w:sz w:val="20"/>
          <w:szCs w:val="20"/>
          <w:lang w:val="en" w:eastAsia="en-AU"/>
        </w:rPr>
        <w:t xml:space="preserve"> </w:t>
      </w:r>
    </w:p>
    <w:p w14:paraId="1E704ADC" w14:textId="08BD9AD7" w:rsidR="00DD5414" w:rsidRPr="00310355" w:rsidRDefault="00DD5414" w:rsidP="00D01076">
      <w:pPr>
        <w:shd w:val="clear" w:color="auto" w:fill="FFFFFF"/>
        <w:spacing w:line="260" w:lineRule="atLeast"/>
        <w:rPr>
          <w:rFonts w:eastAsia="Times New Roman" w:cs="Arial"/>
          <w:sz w:val="20"/>
          <w:szCs w:val="20"/>
          <w:lang w:val="en" w:eastAsia="en-AU"/>
        </w:rPr>
      </w:pPr>
      <w:r w:rsidRPr="00310355">
        <w:rPr>
          <w:rFonts w:eastAsia="Times New Roman" w:cs="Arial"/>
          <w:sz w:val="20"/>
          <w:szCs w:val="20"/>
          <w:lang w:val="en" w:eastAsia="en-AU"/>
        </w:rPr>
        <w:t xml:space="preserve">In </w:t>
      </w:r>
      <w:r w:rsidR="00297DED" w:rsidRPr="00297DED">
        <w:rPr>
          <w:rFonts w:eastAsia="Times New Roman" w:cs="Arial"/>
          <w:sz w:val="20"/>
          <w:szCs w:val="20"/>
          <w:lang w:val="en" w:eastAsia="en-AU"/>
        </w:rPr>
        <w:t>2016-17</w:t>
      </w:r>
      <w:r w:rsidRPr="00310355">
        <w:rPr>
          <w:rFonts w:eastAsia="Times New Roman" w:cs="Arial"/>
          <w:sz w:val="20"/>
          <w:szCs w:val="20"/>
          <w:lang w:val="en" w:eastAsia="en-AU"/>
        </w:rPr>
        <w:t>, the C&amp;I sector contributed 8</w:t>
      </w:r>
      <w:r w:rsidR="00297DED">
        <w:rPr>
          <w:rFonts w:eastAsia="Times New Roman" w:cs="Arial"/>
          <w:sz w:val="20"/>
          <w:szCs w:val="20"/>
          <w:lang w:val="en" w:eastAsia="en-AU"/>
        </w:rPr>
        <w:t>4</w:t>
      </w:r>
      <w:r w:rsidRPr="00310355">
        <w:rPr>
          <w:rFonts w:eastAsia="Times New Roman" w:cs="Arial"/>
          <w:sz w:val="20"/>
          <w:szCs w:val="20"/>
          <w:lang w:val="en" w:eastAsia="en-AU"/>
        </w:rPr>
        <w:t>% to the total of paper and cardboard recovery for reprocessing (</w:t>
      </w:r>
      <w:r w:rsidR="00064428">
        <w:rPr>
          <w:rFonts w:eastAsia="Times New Roman" w:cs="Arial"/>
          <w:sz w:val="20"/>
          <w:szCs w:val="20"/>
          <w:lang w:val="en" w:eastAsia="en-AU"/>
        </w:rPr>
        <w:t>down</w:t>
      </w:r>
      <w:r w:rsidRPr="00310355">
        <w:rPr>
          <w:rFonts w:eastAsia="Times New Roman" w:cs="Arial"/>
          <w:sz w:val="20"/>
          <w:szCs w:val="20"/>
          <w:lang w:val="en" w:eastAsia="en-AU"/>
        </w:rPr>
        <w:t xml:space="preserve"> from </w:t>
      </w:r>
      <w:r w:rsidR="00064428">
        <w:rPr>
          <w:rFonts w:eastAsia="Times New Roman" w:cs="Arial"/>
          <w:sz w:val="20"/>
          <w:szCs w:val="20"/>
          <w:lang w:val="en" w:eastAsia="en-AU"/>
        </w:rPr>
        <w:t>8</w:t>
      </w:r>
      <w:r w:rsidR="00297DED">
        <w:rPr>
          <w:rFonts w:eastAsia="Times New Roman" w:cs="Arial"/>
          <w:sz w:val="20"/>
          <w:szCs w:val="20"/>
          <w:lang w:val="en" w:eastAsia="en-AU"/>
        </w:rPr>
        <w:t>5</w:t>
      </w:r>
      <w:r w:rsidRPr="00310355">
        <w:rPr>
          <w:rFonts w:eastAsia="Times New Roman" w:cs="Arial"/>
          <w:sz w:val="20"/>
          <w:szCs w:val="20"/>
          <w:lang w:val="en" w:eastAsia="en-AU"/>
        </w:rPr>
        <w:t>% the previous year). The Municipal sector contributed 1</w:t>
      </w:r>
      <w:r w:rsidR="00064428">
        <w:rPr>
          <w:rFonts w:eastAsia="Times New Roman" w:cs="Arial"/>
          <w:sz w:val="20"/>
          <w:szCs w:val="20"/>
          <w:lang w:val="en" w:eastAsia="en-AU"/>
        </w:rPr>
        <w:t>5</w:t>
      </w:r>
      <w:r w:rsidRPr="00310355">
        <w:rPr>
          <w:rFonts w:eastAsia="Times New Roman" w:cs="Arial"/>
          <w:sz w:val="20"/>
          <w:szCs w:val="20"/>
          <w:lang w:val="en" w:eastAsia="en-AU"/>
        </w:rPr>
        <w:t>% (</w:t>
      </w:r>
      <w:r w:rsidR="00297DED">
        <w:rPr>
          <w:rFonts w:eastAsia="Times New Roman" w:cs="Arial"/>
          <w:sz w:val="20"/>
          <w:szCs w:val="20"/>
          <w:lang w:val="en" w:eastAsia="en-AU"/>
        </w:rPr>
        <w:t>same as last year</w:t>
      </w:r>
      <w:r w:rsidRPr="00310355">
        <w:rPr>
          <w:rFonts w:eastAsia="Times New Roman" w:cs="Arial"/>
          <w:sz w:val="20"/>
          <w:szCs w:val="20"/>
          <w:lang w:val="en" w:eastAsia="en-AU"/>
        </w:rPr>
        <w:t xml:space="preserve">) and less than 1% was reported from the </w:t>
      </w:r>
      <w:r w:rsidR="00C85393">
        <w:rPr>
          <w:rFonts w:eastAsia="Times New Roman" w:cs="Arial"/>
          <w:sz w:val="20"/>
          <w:szCs w:val="20"/>
          <w:lang w:val="en" w:eastAsia="en-AU"/>
        </w:rPr>
        <w:t>C&amp;D</w:t>
      </w:r>
      <w:r w:rsidRPr="00310355">
        <w:rPr>
          <w:rFonts w:eastAsia="Times New Roman" w:cs="Arial"/>
          <w:sz w:val="20"/>
          <w:szCs w:val="20"/>
          <w:lang w:val="en" w:eastAsia="en-AU"/>
        </w:rPr>
        <w:t xml:space="preserve"> sector.</w:t>
      </w:r>
    </w:p>
    <w:p w14:paraId="4CF3502D" w14:textId="77777777" w:rsidR="00DD5414" w:rsidRPr="00310355" w:rsidRDefault="00DD5414" w:rsidP="00310355">
      <w:pPr>
        <w:shd w:val="clear" w:color="auto" w:fill="FFFFFF"/>
        <w:spacing w:after="0" w:line="260" w:lineRule="atLeast"/>
        <w:rPr>
          <w:rFonts w:eastAsia="Times New Roman" w:cs="Arial"/>
          <w:sz w:val="20"/>
          <w:szCs w:val="20"/>
          <w:lang w:val="en" w:eastAsia="en-AU"/>
        </w:rPr>
      </w:pPr>
    </w:p>
    <w:p w14:paraId="2D57B108" w14:textId="34FDB4EF" w:rsidR="00DD5414" w:rsidRDefault="00DD5414" w:rsidP="00420443">
      <w:pPr>
        <w:pStyle w:val="Caption"/>
        <w:rPr>
          <w:lang w:eastAsia="en-AU"/>
        </w:rPr>
      </w:pPr>
      <w:r w:rsidRPr="00310355">
        <w:rPr>
          <w:lang w:eastAsia="en-AU"/>
        </w:rPr>
        <w:t xml:space="preserve">Source sectors of paper </w:t>
      </w:r>
      <w:r w:rsidR="00BA256A">
        <w:rPr>
          <w:lang w:eastAsia="en-AU"/>
        </w:rPr>
        <w:t xml:space="preserve">/ </w:t>
      </w:r>
      <w:r w:rsidRPr="00310355">
        <w:rPr>
          <w:lang w:eastAsia="en-AU"/>
        </w:rPr>
        <w:t xml:space="preserve">cardboard received for reprocessing (by weight), Victoria </w:t>
      </w:r>
      <w:r w:rsidR="00297DED" w:rsidRPr="00297DED">
        <w:rPr>
          <w:lang w:eastAsia="en-AU"/>
        </w:rPr>
        <w:t>2016-17</w:t>
      </w:r>
    </w:p>
    <w:p w14:paraId="210E18CC" w14:textId="45E77844" w:rsidR="00064428" w:rsidRDefault="00890F82" w:rsidP="00C72338">
      <w:pPr>
        <w:jc w:val="center"/>
        <w:rPr>
          <w:lang w:eastAsia="en-AU"/>
        </w:rPr>
      </w:pPr>
      <w:r w:rsidRPr="00890F82">
        <w:rPr>
          <w:noProof/>
          <w:lang w:eastAsia="en-AU"/>
        </w:rPr>
        <w:drawing>
          <wp:inline distT="0" distB="0" distL="0" distR="0" wp14:anchorId="2A2D4F5D" wp14:editId="634D045E">
            <wp:extent cx="3531600" cy="2336400"/>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31600" cy="2336400"/>
                    </a:xfrm>
                    <a:prstGeom prst="rect">
                      <a:avLst/>
                    </a:prstGeom>
                    <a:noFill/>
                    <a:ln>
                      <a:noFill/>
                    </a:ln>
                  </pic:spPr>
                </pic:pic>
              </a:graphicData>
            </a:graphic>
          </wp:inline>
        </w:drawing>
      </w:r>
    </w:p>
    <w:p w14:paraId="1905FC77" w14:textId="3A27B4EF" w:rsidR="00DD5414" w:rsidRDefault="00983110" w:rsidP="00310355">
      <w:pPr>
        <w:shd w:val="clear" w:color="auto" w:fill="FFFFFF"/>
        <w:spacing w:after="0" w:line="260" w:lineRule="atLeast"/>
        <w:rPr>
          <w:rFonts w:eastAsia="Times New Roman" w:cs="Arial"/>
          <w:sz w:val="20"/>
          <w:szCs w:val="20"/>
          <w:lang w:val="en" w:eastAsia="en-AU"/>
        </w:rPr>
      </w:pPr>
      <w:r>
        <w:rPr>
          <w:rFonts w:eastAsia="Times New Roman" w:cs="Arial"/>
          <w:sz w:val="20"/>
          <w:szCs w:val="20"/>
          <w:lang w:val="en" w:eastAsia="en-AU"/>
        </w:rPr>
        <w:t>Paper / c</w:t>
      </w:r>
      <w:r w:rsidR="00DD5414" w:rsidRPr="00310355">
        <w:rPr>
          <w:rFonts w:eastAsia="Times New Roman" w:cs="Arial"/>
          <w:sz w:val="20"/>
          <w:szCs w:val="20"/>
          <w:lang w:val="en" w:eastAsia="en-AU"/>
        </w:rPr>
        <w:t>ardboard recovery trend</w:t>
      </w:r>
      <w:r w:rsidR="00C85393">
        <w:rPr>
          <w:rFonts w:eastAsia="Times New Roman" w:cs="Arial"/>
          <w:sz w:val="20"/>
          <w:szCs w:val="20"/>
          <w:lang w:val="en" w:eastAsia="en-AU"/>
        </w:rPr>
        <w:t>ed</w:t>
      </w:r>
      <w:r w:rsidR="00DD5414" w:rsidRPr="00310355">
        <w:rPr>
          <w:rFonts w:eastAsia="Times New Roman" w:cs="Arial"/>
          <w:sz w:val="20"/>
          <w:szCs w:val="20"/>
          <w:lang w:val="en" w:eastAsia="en-AU"/>
        </w:rPr>
        <w:t xml:space="preserve"> upwards since 2006-07 and has remained relatively stable over the past three years.</w:t>
      </w:r>
      <w:r w:rsidR="006555B1">
        <w:rPr>
          <w:rFonts w:eastAsia="Times New Roman" w:cs="Arial"/>
          <w:sz w:val="20"/>
          <w:szCs w:val="20"/>
          <w:lang w:val="en" w:eastAsia="en-AU"/>
        </w:rPr>
        <w:t xml:space="preserve"> Although not </w:t>
      </w:r>
      <w:r w:rsidR="00EA573B">
        <w:rPr>
          <w:rFonts w:eastAsia="Times New Roman" w:cs="Arial"/>
          <w:sz w:val="20"/>
          <w:szCs w:val="20"/>
          <w:lang w:val="en" w:eastAsia="en-AU"/>
        </w:rPr>
        <w:t>particularly large, t</w:t>
      </w:r>
      <w:r w:rsidR="004D5968">
        <w:rPr>
          <w:rFonts w:eastAsia="Times New Roman" w:cs="Arial"/>
          <w:sz w:val="20"/>
          <w:szCs w:val="20"/>
          <w:lang w:val="en" w:eastAsia="en-AU"/>
        </w:rPr>
        <w:t xml:space="preserve">his year’s decline may be attributable </w:t>
      </w:r>
      <w:r w:rsidR="00EA573B">
        <w:rPr>
          <w:rFonts w:eastAsia="Times New Roman" w:cs="Arial"/>
          <w:sz w:val="20"/>
          <w:szCs w:val="20"/>
          <w:lang w:val="en" w:eastAsia="en-AU"/>
        </w:rPr>
        <w:t>normal fluctuations in the recovery of paper with the addition of the loss of paper for reprocessing through a large fire in a Material Recovery Facility.</w:t>
      </w:r>
    </w:p>
    <w:p w14:paraId="2054F57D" w14:textId="65E58299" w:rsidR="00954A83" w:rsidRDefault="00954A83" w:rsidP="00310355">
      <w:pPr>
        <w:shd w:val="clear" w:color="auto" w:fill="FFFFFF"/>
        <w:spacing w:after="0" w:line="260" w:lineRule="atLeast"/>
        <w:rPr>
          <w:rFonts w:eastAsia="Times New Roman" w:cs="Arial"/>
          <w:sz w:val="20"/>
          <w:szCs w:val="20"/>
          <w:lang w:val="en" w:eastAsia="en-AU"/>
        </w:rPr>
      </w:pPr>
    </w:p>
    <w:p w14:paraId="30D023E4" w14:textId="77777777" w:rsidR="00954A83" w:rsidRDefault="00954A83" w:rsidP="00310355">
      <w:pPr>
        <w:shd w:val="clear" w:color="auto" w:fill="FFFFFF"/>
        <w:spacing w:after="0" w:line="260" w:lineRule="atLeast"/>
        <w:rPr>
          <w:rFonts w:eastAsia="Times New Roman" w:cs="Arial"/>
          <w:sz w:val="20"/>
          <w:szCs w:val="20"/>
          <w:lang w:val="en" w:eastAsia="en-AU"/>
        </w:rPr>
      </w:pPr>
    </w:p>
    <w:p w14:paraId="16C8C068" w14:textId="3AC17981" w:rsidR="00DD5414" w:rsidRPr="00310355" w:rsidRDefault="00DD5414" w:rsidP="009155AE">
      <w:pPr>
        <w:pStyle w:val="Caption"/>
        <w:keepNext/>
        <w:rPr>
          <w:lang w:eastAsia="en-AU"/>
        </w:rPr>
      </w:pPr>
      <w:r w:rsidRPr="00310355">
        <w:rPr>
          <w:lang w:eastAsia="en-AU"/>
        </w:rPr>
        <w:t>Paper</w:t>
      </w:r>
      <w:r w:rsidR="00BA256A">
        <w:rPr>
          <w:lang w:eastAsia="en-AU"/>
        </w:rPr>
        <w:t xml:space="preserve"> / c</w:t>
      </w:r>
      <w:r w:rsidRPr="00310355">
        <w:rPr>
          <w:lang w:eastAsia="en-AU"/>
        </w:rPr>
        <w:t>ardboard waste recovered for reprocessing, Victoria 200</w:t>
      </w:r>
      <w:r w:rsidR="00297DED">
        <w:rPr>
          <w:lang w:eastAsia="en-AU"/>
        </w:rPr>
        <w:t>7</w:t>
      </w:r>
      <w:r w:rsidRPr="00310355">
        <w:rPr>
          <w:lang w:eastAsia="en-AU"/>
        </w:rPr>
        <w:t>-0</w:t>
      </w:r>
      <w:r w:rsidR="00297DED">
        <w:rPr>
          <w:lang w:eastAsia="en-AU"/>
        </w:rPr>
        <w:t>8</w:t>
      </w:r>
      <w:r w:rsidRPr="00310355">
        <w:rPr>
          <w:lang w:eastAsia="en-AU"/>
        </w:rPr>
        <w:t xml:space="preserve"> to </w:t>
      </w:r>
      <w:r w:rsidR="00297DED" w:rsidRPr="00297DED">
        <w:rPr>
          <w:lang w:eastAsia="en-AU"/>
        </w:rPr>
        <w:t>2016-17</w:t>
      </w:r>
    </w:p>
    <w:p w14:paraId="00417E46" w14:textId="5983615B" w:rsidR="00DD5414" w:rsidRPr="00310355" w:rsidRDefault="00811D19" w:rsidP="009155AE">
      <w:pPr>
        <w:keepNext/>
        <w:shd w:val="clear" w:color="auto" w:fill="FFFFFF"/>
        <w:spacing w:after="0" w:line="260" w:lineRule="atLeast"/>
        <w:rPr>
          <w:rFonts w:eastAsia="Times New Roman" w:cs="Arial"/>
          <w:sz w:val="20"/>
          <w:szCs w:val="20"/>
          <w:lang w:val="en" w:eastAsia="en-AU"/>
        </w:rPr>
      </w:pPr>
      <w:r w:rsidRPr="0052197D">
        <w:rPr>
          <w:noProof/>
          <w:lang w:eastAsia="en-AU"/>
        </w:rPr>
        <w:drawing>
          <wp:inline distT="0" distB="0" distL="0" distR="0" wp14:anchorId="203AD121" wp14:editId="0B759624">
            <wp:extent cx="4309200" cy="265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09200" cy="2653200"/>
                    </a:xfrm>
                    <a:prstGeom prst="rect">
                      <a:avLst/>
                    </a:prstGeom>
                    <a:noFill/>
                    <a:ln>
                      <a:noFill/>
                    </a:ln>
                  </pic:spPr>
                </pic:pic>
              </a:graphicData>
            </a:graphic>
          </wp:inline>
        </w:drawing>
      </w:r>
    </w:p>
    <w:p w14:paraId="2FA9005F" w14:textId="77777777" w:rsidR="003E0E97" w:rsidRDefault="003E0E97">
      <w:pPr>
        <w:rPr>
          <w:rFonts w:eastAsia="Times New Roman" w:cs="Arial"/>
          <w:b/>
          <w:bCs/>
          <w:spacing w:val="-5"/>
          <w:u w:val="single"/>
        </w:rPr>
      </w:pPr>
      <w:r>
        <w:rPr>
          <w:rFonts w:eastAsia="Times New Roman" w:cs="Arial"/>
          <w:b/>
          <w:bCs/>
          <w:spacing w:val="-5"/>
          <w:u w:val="single"/>
        </w:rPr>
        <w:br w:type="page"/>
      </w:r>
    </w:p>
    <w:p w14:paraId="7F07015A" w14:textId="0BE3C80B" w:rsidR="00DD5414" w:rsidRPr="00BA256A" w:rsidRDefault="00DD5414" w:rsidP="00EC66A3">
      <w:pPr>
        <w:pStyle w:val="Heading3"/>
      </w:pPr>
      <w:bookmarkStart w:id="62" w:name="_Toc525308017"/>
      <w:r w:rsidRPr="00BA256A">
        <w:lastRenderedPageBreak/>
        <w:t>Plastics</w:t>
      </w:r>
      <w:bookmarkEnd w:id="62"/>
      <w:r w:rsidRPr="00BA256A">
        <w:t xml:space="preserve"> </w:t>
      </w:r>
    </w:p>
    <w:p w14:paraId="24F0362B" w14:textId="2A702D97" w:rsidR="00BA256A" w:rsidRDefault="00DD5414" w:rsidP="00BA256A">
      <w:pPr>
        <w:shd w:val="clear" w:color="auto" w:fill="FFFFFF"/>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In 201</w:t>
      </w:r>
      <w:r w:rsidR="00F148A7">
        <w:rPr>
          <w:rFonts w:eastAsia="Times New Roman" w:cs="Arial"/>
          <w:sz w:val="20"/>
          <w:szCs w:val="20"/>
          <w:lang w:val="en" w:eastAsia="en-AU"/>
        </w:rPr>
        <w:t>6</w:t>
      </w:r>
      <w:r w:rsidRPr="00310355">
        <w:rPr>
          <w:rFonts w:eastAsia="Times New Roman" w:cs="Arial"/>
          <w:sz w:val="20"/>
          <w:szCs w:val="20"/>
          <w:lang w:val="en" w:eastAsia="en-AU"/>
        </w:rPr>
        <w:t>-1</w:t>
      </w:r>
      <w:r w:rsidR="00F148A7">
        <w:rPr>
          <w:rFonts w:eastAsia="Times New Roman" w:cs="Arial"/>
          <w:sz w:val="20"/>
          <w:szCs w:val="20"/>
          <w:lang w:val="en" w:eastAsia="en-AU"/>
        </w:rPr>
        <w:t>7</w:t>
      </w:r>
      <w:r w:rsidRPr="00310355">
        <w:rPr>
          <w:rFonts w:eastAsia="Times New Roman" w:cs="Arial"/>
          <w:sz w:val="20"/>
          <w:szCs w:val="20"/>
          <w:lang w:val="en" w:eastAsia="en-AU"/>
        </w:rPr>
        <w:t xml:space="preserve"> the amount of plastics recovered in Victoria was </w:t>
      </w:r>
      <w:r w:rsidRPr="00310355">
        <w:rPr>
          <w:rFonts w:eastAsia="Times New Roman" w:cs="Arial"/>
          <w:b/>
          <w:bCs/>
          <w:sz w:val="20"/>
          <w:szCs w:val="20"/>
          <w:lang w:val="en" w:eastAsia="en-AU"/>
        </w:rPr>
        <w:t>1</w:t>
      </w:r>
      <w:r w:rsidR="004D438E">
        <w:rPr>
          <w:rFonts w:eastAsia="Times New Roman" w:cs="Arial"/>
          <w:b/>
          <w:bCs/>
          <w:sz w:val="20"/>
          <w:szCs w:val="20"/>
          <w:lang w:val="en" w:eastAsia="en-AU"/>
        </w:rPr>
        <w:t>31</w:t>
      </w:r>
      <w:r w:rsidRPr="00310355">
        <w:rPr>
          <w:rFonts w:eastAsia="Times New Roman" w:cs="Arial"/>
          <w:b/>
          <w:bCs/>
          <w:sz w:val="20"/>
          <w:szCs w:val="20"/>
          <w:lang w:val="en" w:eastAsia="en-AU"/>
        </w:rPr>
        <w:t>,000 tonnes</w:t>
      </w:r>
      <w:r w:rsidRPr="00310355">
        <w:rPr>
          <w:rFonts w:eastAsia="Times New Roman" w:cs="Arial"/>
          <w:sz w:val="20"/>
          <w:szCs w:val="20"/>
          <w:lang w:val="en" w:eastAsia="en-AU"/>
        </w:rPr>
        <w:t xml:space="preserve">. This is a </w:t>
      </w:r>
      <w:r w:rsidR="004D438E">
        <w:rPr>
          <w:rFonts w:eastAsia="Times New Roman" w:cs="Arial"/>
          <w:sz w:val="20"/>
          <w:szCs w:val="20"/>
          <w:lang w:val="en" w:eastAsia="en-AU"/>
        </w:rPr>
        <w:t>12</w:t>
      </w:r>
      <w:r w:rsidRPr="00310355">
        <w:rPr>
          <w:rFonts w:eastAsia="Times New Roman" w:cs="Arial"/>
          <w:sz w:val="20"/>
          <w:szCs w:val="20"/>
          <w:lang w:val="en" w:eastAsia="en-AU"/>
        </w:rPr>
        <w:t xml:space="preserve">% </w:t>
      </w:r>
      <w:r w:rsidR="00E34F40">
        <w:rPr>
          <w:rFonts w:eastAsia="Times New Roman" w:cs="Arial"/>
          <w:sz w:val="20"/>
          <w:szCs w:val="20"/>
          <w:lang w:val="en" w:eastAsia="en-AU"/>
        </w:rPr>
        <w:t>de</w:t>
      </w:r>
      <w:r w:rsidRPr="00310355">
        <w:rPr>
          <w:rFonts w:eastAsia="Times New Roman" w:cs="Arial"/>
          <w:sz w:val="20"/>
          <w:szCs w:val="20"/>
          <w:lang w:val="en" w:eastAsia="en-AU"/>
        </w:rPr>
        <w:t>crease from the previous year</w:t>
      </w:r>
      <w:r w:rsidR="00E34F40">
        <w:rPr>
          <w:rFonts w:eastAsia="Times New Roman" w:cs="Arial"/>
          <w:sz w:val="20"/>
          <w:szCs w:val="20"/>
          <w:lang w:val="en" w:eastAsia="en-AU"/>
        </w:rPr>
        <w:t>.</w:t>
      </w:r>
      <w:r w:rsidRPr="00310355">
        <w:rPr>
          <w:rFonts w:eastAsia="Times New Roman" w:cs="Arial"/>
          <w:sz w:val="20"/>
          <w:szCs w:val="20"/>
          <w:lang w:val="en" w:eastAsia="en-AU"/>
        </w:rPr>
        <w:t xml:space="preserve"> </w:t>
      </w:r>
      <w:r w:rsidR="004D438E" w:rsidRPr="009E2114">
        <w:rPr>
          <w:rFonts w:eastAsia="Times New Roman" w:cs="Arial"/>
          <w:sz w:val="20"/>
          <w:szCs w:val="20"/>
          <w:lang w:val="en" w:eastAsia="en-AU"/>
        </w:rPr>
        <w:t xml:space="preserve"> This decrease has been driven in part by continuing low virgin resin prices internationally</w:t>
      </w:r>
      <w:r w:rsidR="00FB460F">
        <w:rPr>
          <w:rFonts w:eastAsia="Times New Roman" w:cs="Arial"/>
          <w:sz w:val="20"/>
          <w:szCs w:val="20"/>
          <w:lang w:val="en" w:eastAsia="en-AU"/>
        </w:rPr>
        <w:t>, loss of material through a large fire in a Material Recovery Facility in the metropolitan area and</w:t>
      </w:r>
      <w:r w:rsidR="004D438E" w:rsidRPr="009E2114">
        <w:rPr>
          <w:rFonts w:eastAsia="Times New Roman" w:cs="Arial"/>
          <w:sz w:val="20"/>
          <w:szCs w:val="20"/>
          <w:lang w:val="en" w:eastAsia="en-AU"/>
        </w:rPr>
        <w:t xml:space="preserve"> kerbside recycling sorting issues</w:t>
      </w:r>
      <w:r w:rsidR="003A35B4">
        <w:rPr>
          <w:rFonts w:eastAsia="Times New Roman" w:cs="Arial"/>
          <w:sz w:val="20"/>
          <w:szCs w:val="20"/>
          <w:lang w:val="en" w:eastAsia="en-AU"/>
        </w:rPr>
        <w:t>.</w:t>
      </w:r>
      <w:r w:rsidR="004D438E" w:rsidRPr="00310355">
        <w:rPr>
          <w:rFonts w:eastAsia="Times New Roman" w:cs="Arial"/>
          <w:sz w:val="20"/>
          <w:szCs w:val="20"/>
          <w:lang w:val="en" w:eastAsia="en-AU"/>
        </w:rPr>
        <w:t xml:space="preserve"> </w:t>
      </w:r>
      <w:r w:rsidR="00FB460F">
        <w:rPr>
          <w:rFonts w:eastAsia="Times New Roman" w:cs="Arial"/>
          <w:sz w:val="20"/>
          <w:szCs w:val="20"/>
          <w:lang w:val="en" w:eastAsia="en-AU"/>
        </w:rPr>
        <w:t xml:space="preserve">Nevertheless, </w:t>
      </w:r>
      <w:r w:rsidRPr="00310355">
        <w:rPr>
          <w:rFonts w:eastAsia="Times New Roman" w:cs="Arial"/>
          <w:sz w:val="20"/>
          <w:szCs w:val="20"/>
          <w:lang w:val="en" w:eastAsia="en-AU"/>
        </w:rPr>
        <w:t>Victoria remains Australia’s leading plastic recycling state responsible for reprocessing 4</w:t>
      </w:r>
      <w:r w:rsidR="00E34F40">
        <w:rPr>
          <w:rFonts w:eastAsia="Times New Roman" w:cs="Arial"/>
          <w:sz w:val="20"/>
          <w:szCs w:val="20"/>
          <w:lang w:val="en" w:eastAsia="en-AU"/>
        </w:rPr>
        <w:t>5</w:t>
      </w:r>
      <w:r w:rsidRPr="00310355">
        <w:rPr>
          <w:rFonts w:eastAsia="Times New Roman" w:cs="Arial"/>
          <w:sz w:val="20"/>
          <w:szCs w:val="20"/>
          <w:lang w:val="en" w:eastAsia="en-AU"/>
        </w:rPr>
        <w:t xml:space="preserve">% of the national total. </w:t>
      </w:r>
    </w:p>
    <w:p w14:paraId="6BAD9FBC" w14:textId="77777777" w:rsidR="00BA256A" w:rsidRDefault="00BA256A" w:rsidP="00BA256A">
      <w:pPr>
        <w:shd w:val="clear" w:color="auto" w:fill="FFFFFF"/>
        <w:spacing w:after="0" w:line="260" w:lineRule="atLeast"/>
        <w:jc w:val="both"/>
        <w:rPr>
          <w:rFonts w:eastAsia="Times New Roman" w:cs="Arial"/>
          <w:sz w:val="20"/>
          <w:szCs w:val="20"/>
          <w:lang w:val="en" w:eastAsia="en-AU"/>
        </w:rPr>
      </w:pPr>
    </w:p>
    <w:p w14:paraId="0B5328C8" w14:textId="6DC76A95" w:rsidR="00DD5414" w:rsidRPr="00310355" w:rsidRDefault="00DD5414" w:rsidP="00BA256A">
      <w:pPr>
        <w:shd w:val="clear" w:color="auto" w:fill="FFFFFF"/>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In 201</w:t>
      </w:r>
      <w:r w:rsidR="009E2114">
        <w:rPr>
          <w:rFonts w:eastAsia="Times New Roman" w:cs="Arial"/>
          <w:sz w:val="20"/>
          <w:szCs w:val="20"/>
          <w:lang w:val="en" w:eastAsia="en-AU"/>
        </w:rPr>
        <w:t>6</w:t>
      </w:r>
      <w:r w:rsidRPr="00310355">
        <w:rPr>
          <w:rFonts w:eastAsia="Times New Roman" w:cs="Arial"/>
          <w:sz w:val="20"/>
          <w:szCs w:val="20"/>
          <w:lang w:val="en" w:eastAsia="en-AU"/>
        </w:rPr>
        <w:t>-1</w:t>
      </w:r>
      <w:r w:rsidR="009E2114">
        <w:rPr>
          <w:rFonts w:eastAsia="Times New Roman" w:cs="Arial"/>
          <w:sz w:val="20"/>
          <w:szCs w:val="20"/>
          <w:lang w:val="en" w:eastAsia="en-AU"/>
        </w:rPr>
        <w:t>7</w:t>
      </w:r>
      <w:r w:rsidRPr="00310355">
        <w:rPr>
          <w:rFonts w:eastAsia="Times New Roman" w:cs="Arial"/>
          <w:sz w:val="20"/>
          <w:szCs w:val="20"/>
          <w:lang w:val="en" w:eastAsia="en-AU"/>
        </w:rPr>
        <w:t>, of the total plastic recovered:</w:t>
      </w:r>
    </w:p>
    <w:p w14:paraId="105043F2" w14:textId="2FD0687C" w:rsidR="00DD5414" w:rsidRPr="00BA256A" w:rsidRDefault="00DD5414" w:rsidP="00D01076">
      <w:pPr>
        <w:pStyle w:val="ListBullet"/>
      </w:pPr>
      <w:r w:rsidRPr="00BA256A">
        <w:t xml:space="preserve">Non-packaging (e.g. pipes, cable casing) accounted for </w:t>
      </w:r>
      <w:r w:rsidR="0050092D">
        <w:t>32</w:t>
      </w:r>
      <w:r w:rsidRPr="00BA256A">
        <w:t xml:space="preserve">% of the total plastics recovered and </w:t>
      </w:r>
      <w:r w:rsidR="0050092D">
        <w:t xml:space="preserve">with </w:t>
      </w:r>
      <w:r w:rsidR="00F148A7">
        <w:t>17,</w:t>
      </w:r>
      <w:r w:rsidR="0050092D" w:rsidRPr="00BA256A">
        <w:t>000</w:t>
      </w:r>
      <w:r w:rsidRPr="00BA256A">
        <w:t xml:space="preserve"> tonnes.</w:t>
      </w:r>
    </w:p>
    <w:p w14:paraId="724B52BC" w14:textId="2F365C24" w:rsidR="00DD5414" w:rsidRPr="00BA256A" w:rsidRDefault="00DD5414" w:rsidP="00D01076">
      <w:pPr>
        <w:pStyle w:val="ListBullet"/>
      </w:pPr>
      <w:r w:rsidRPr="00BA256A">
        <w:t xml:space="preserve">Domestic and industrial packaging (material used for the containment, protection, marketing and/or handling of a product) accounted for </w:t>
      </w:r>
      <w:r w:rsidR="009E2114">
        <w:t>68</w:t>
      </w:r>
      <w:r w:rsidRPr="00BA256A">
        <w:t xml:space="preserve">% </w:t>
      </w:r>
      <w:r w:rsidR="0050092D">
        <w:t>with 11</w:t>
      </w:r>
      <w:r w:rsidRPr="00BA256A">
        <w:t>0,000 tonnes.</w:t>
      </w:r>
    </w:p>
    <w:p w14:paraId="10FBBF00" w14:textId="77777777" w:rsidR="00BA256A" w:rsidRDefault="00BA256A" w:rsidP="00310355">
      <w:pPr>
        <w:shd w:val="clear" w:color="auto" w:fill="FFFFFF"/>
        <w:spacing w:after="0" w:line="260" w:lineRule="atLeast"/>
        <w:jc w:val="both"/>
        <w:rPr>
          <w:rFonts w:eastAsia="Times New Roman" w:cs="Arial"/>
          <w:sz w:val="20"/>
          <w:szCs w:val="20"/>
          <w:lang w:val="en" w:eastAsia="en-AU"/>
        </w:rPr>
      </w:pPr>
    </w:p>
    <w:p w14:paraId="4EB1DC80" w14:textId="4DF56232" w:rsidR="00DD5414" w:rsidRDefault="00DD5414" w:rsidP="00310355">
      <w:pPr>
        <w:shd w:val="clear" w:color="auto" w:fill="FFFFFF"/>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In 201</w:t>
      </w:r>
      <w:r w:rsidR="0050092D">
        <w:rPr>
          <w:rFonts w:eastAsia="Times New Roman" w:cs="Arial"/>
          <w:sz w:val="20"/>
          <w:szCs w:val="20"/>
          <w:lang w:val="en" w:eastAsia="en-AU"/>
        </w:rPr>
        <w:t>6</w:t>
      </w:r>
      <w:r w:rsidRPr="00310355">
        <w:rPr>
          <w:rFonts w:eastAsia="Times New Roman" w:cs="Arial"/>
          <w:sz w:val="20"/>
          <w:szCs w:val="20"/>
          <w:lang w:val="en" w:eastAsia="en-AU"/>
        </w:rPr>
        <w:t>-1</w:t>
      </w:r>
      <w:r w:rsidR="0050092D">
        <w:rPr>
          <w:rFonts w:eastAsia="Times New Roman" w:cs="Arial"/>
          <w:sz w:val="20"/>
          <w:szCs w:val="20"/>
          <w:lang w:val="en" w:eastAsia="en-AU"/>
        </w:rPr>
        <w:t>7</w:t>
      </w:r>
      <w:r w:rsidRPr="00310355">
        <w:rPr>
          <w:rFonts w:eastAsia="Times New Roman" w:cs="Arial"/>
          <w:sz w:val="20"/>
          <w:szCs w:val="20"/>
          <w:lang w:val="en" w:eastAsia="en-AU"/>
        </w:rPr>
        <w:t>, the majority of plastics recycled were sourced from the Municipal sector (5</w:t>
      </w:r>
      <w:r w:rsidR="005E598A">
        <w:rPr>
          <w:rFonts w:eastAsia="Times New Roman" w:cs="Arial"/>
          <w:sz w:val="20"/>
          <w:szCs w:val="20"/>
          <w:lang w:val="en" w:eastAsia="en-AU"/>
        </w:rPr>
        <w:t>4</w:t>
      </w:r>
      <w:r w:rsidRPr="00310355">
        <w:rPr>
          <w:rFonts w:eastAsia="Times New Roman" w:cs="Arial"/>
          <w:sz w:val="20"/>
          <w:szCs w:val="20"/>
          <w:lang w:val="en" w:eastAsia="en-AU"/>
        </w:rPr>
        <w:t xml:space="preserve">%) e.g. food and domestic packaging collected by Victoria’s councils. </w:t>
      </w:r>
      <w:r w:rsidR="00C15D72">
        <w:rPr>
          <w:rFonts w:eastAsia="Times New Roman" w:cs="Arial"/>
          <w:sz w:val="20"/>
          <w:szCs w:val="20"/>
          <w:lang w:val="en" w:eastAsia="en-AU"/>
        </w:rPr>
        <w:t xml:space="preserve">Most </w:t>
      </w:r>
      <w:r w:rsidRPr="00310355">
        <w:rPr>
          <w:rFonts w:eastAsia="Times New Roman" w:cs="Arial"/>
          <w:sz w:val="20"/>
          <w:szCs w:val="20"/>
          <w:lang w:val="en" w:eastAsia="en-AU"/>
        </w:rPr>
        <w:t xml:space="preserve">Councils now collect virtually every type of plastic bottle and container (polymer types 1-6) from kerbside collections and drop-off facilities. Most of the remaining plastic comes from the </w:t>
      </w:r>
      <w:r w:rsidR="00FA4863">
        <w:rPr>
          <w:rFonts w:eastAsia="Times New Roman" w:cs="Arial"/>
          <w:sz w:val="20"/>
          <w:szCs w:val="20"/>
          <w:lang w:val="en" w:eastAsia="en-AU"/>
        </w:rPr>
        <w:t>C&amp;I</w:t>
      </w:r>
      <w:r w:rsidRPr="00310355">
        <w:rPr>
          <w:rFonts w:eastAsia="Times New Roman" w:cs="Arial"/>
          <w:sz w:val="20"/>
          <w:szCs w:val="20"/>
          <w:lang w:val="en" w:eastAsia="en-AU"/>
        </w:rPr>
        <w:t xml:space="preserve"> sector (</w:t>
      </w:r>
      <w:r w:rsidR="00817C0E">
        <w:rPr>
          <w:rFonts w:eastAsia="Times New Roman" w:cs="Arial"/>
          <w:sz w:val="20"/>
          <w:szCs w:val="20"/>
          <w:lang w:val="en" w:eastAsia="en-AU"/>
        </w:rPr>
        <w:t>44</w:t>
      </w:r>
      <w:r w:rsidRPr="00310355">
        <w:rPr>
          <w:rFonts w:eastAsia="Times New Roman" w:cs="Arial"/>
          <w:sz w:val="20"/>
          <w:szCs w:val="20"/>
          <w:lang w:val="en" w:eastAsia="en-AU"/>
        </w:rPr>
        <w:t>%)</w:t>
      </w:r>
      <w:r w:rsidR="00E34F40">
        <w:rPr>
          <w:rFonts w:eastAsia="Times New Roman" w:cs="Arial"/>
          <w:sz w:val="20"/>
          <w:szCs w:val="20"/>
          <w:lang w:val="en" w:eastAsia="en-AU"/>
        </w:rPr>
        <w:t xml:space="preserve"> and</w:t>
      </w:r>
      <w:r w:rsidRPr="00310355">
        <w:rPr>
          <w:rFonts w:eastAsia="Times New Roman" w:cs="Arial"/>
          <w:sz w:val="20"/>
          <w:szCs w:val="20"/>
          <w:lang w:val="en" w:eastAsia="en-AU"/>
        </w:rPr>
        <w:t xml:space="preserve"> </w:t>
      </w:r>
      <w:r w:rsidR="005E598A">
        <w:rPr>
          <w:rFonts w:eastAsia="Times New Roman" w:cs="Arial"/>
          <w:sz w:val="20"/>
          <w:szCs w:val="20"/>
          <w:lang w:val="en" w:eastAsia="en-AU"/>
        </w:rPr>
        <w:t>2</w:t>
      </w:r>
      <w:r w:rsidRPr="00310355">
        <w:rPr>
          <w:rFonts w:eastAsia="Times New Roman" w:cs="Arial"/>
          <w:sz w:val="20"/>
          <w:szCs w:val="20"/>
          <w:lang w:val="en" w:eastAsia="en-AU"/>
        </w:rPr>
        <w:t xml:space="preserve">% comes from the </w:t>
      </w:r>
      <w:r w:rsidR="00D328B3">
        <w:rPr>
          <w:rFonts w:eastAsia="Times New Roman" w:cs="Arial"/>
          <w:sz w:val="20"/>
          <w:szCs w:val="20"/>
          <w:lang w:val="en" w:eastAsia="en-AU"/>
        </w:rPr>
        <w:t>C&amp;D</w:t>
      </w:r>
      <w:r w:rsidRPr="00310355">
        <w:rPr>
          <w:rFonts w:eastAsia="Times New Roman" w:cs="Arial"/>
          <w:sz w:val="20"/>
          <w:szCs w:val="20"/>
          <w:lang w:val="en" w:eastAsia="en-AU"/>
        </w:rPr>
        <w:t xml:space="preserve"> sector.</w:t>
      </w:r>
    </w:p>
    <w:p w14:paraId="315DF1F1" w14:textId="77777777" w:rsidR="00BA256A" w:rsidRPr="00310355" w:rsidRDefault="00BA256A" w:rsidP="00310355">
      <w:pPr>
        <w:shd w:val="clear" w:color="auto" w:fill="FFFFFF"/>
        <w:spacing w:after="0" w:line="260" w:lineRule="atLeast"/>
        <w:jc w:val="both"/>
        <w:rPr>
          <w:rFonts w:eastAsia="Times New Roman" w:cs="Arial"/>
          <w:sz w:val="20"/>
          <w:szCs w:val="20"/>
          <w:lang w:val="en" w:eastAsia="en-AU"/>
        </w:rPr>
      </w:pPr>
    </w:p>
    <w:p w14:paraId="57AE8AD4" w14:textId="77777777" w:rsidR="00B14C19" w:rsidRDefault="00DD5414" w:rsidP="00B14C19">
      <w:pPr>
        <w:rPr>
          <w:rStyle w:val="CaptionChar"/>
          <w:rFonts w:eastAsiaTheme="minorHAnsi"/>
        </w:rPr>
      </w:pPr>
      <w:r w:rsidRPr="00420443">
        <w:rPr>
          <w:rStyle w:val="CaptionChar"/>
          <w:rFonts w:eastAsiaTheme="minorHAnsi"/>
        </w:rPr>
        <w:t xml:space="preserve">Source sectors of </w:t>
      </w:r>
      <w:r w:rsidR="00D20902" w:rsidRPr="00420443">
        <w:rPr>
          <w:rStyle w:val="CaptionChar"/>
          <w:rFonts w:eastAsiaTheme="minorHAnsi"/>
        </w:rPr>
        <w:t>plastics</w:t>
      </w:r>
      <w:r w:rsidRPr="00420443">
        <w:rPr>
          <w:rStyle w:val="CaptionChar"/>
          <w:rFonts w:eastAsiaTheme="minorHAnsi"/>
        </w:rPr>
        <w:t xml:space="preserve"> received for reprocessing (by weight), Victoria 201</w:t>
      </w:r>
      <w:r w:rsidR="00817C0E" w:rsidRPr="00420443">
        <w:rPr>
          <w:rStyle w:val="CaptionChar"/>
          <w:rFonts w:eastAsiaTheme="minorHAnsi"/>
        </w:rPr>
        <w:t>6</w:t>
      </w:r>
      <w:r w:rsidRPr="00420443">
        <w:rPr>
          <w:rStyle w:val="CaptionChar"/>
          <w:rFonts w:eastAsiaTheme="minorHAnsi"/>
        </w:rPr>
        <w:t>-1</w:t>
      </w:r>
      <w:r w:rsidR="00817C0E" w:rsidRPr="00420443">
        <w:rPr>
          <w:rStyle w:val="CaptionChar"/>
          <w:rFonts w:eastAsiaTheme="minorHAnsi"/>
        </w:rPr>
        <w:t>7</w:t>
      </w:r>
    </w:p>
    <w:p w14:paraId="2AEBCF64" w14:textId="294F0639" w:rsidR="00E34F40" w:rsidRDefault="00890F82" w:rsidP="00B14C19">
      <w:pPr>
        <w:jc w:val="center"/>
        <w:rPr>
          <w:lang w:eastAsia="en-AU"/>
        </w:rPr>
      </w:pPr>
      <w:r w:rsidRPr="00890F82">
        <w:rPr>
          <w:rStyle w:val="CaptionChar"/>
          <w:rFonts w:eastAsiaTheme="minorHAnsi" w:cstheme="minorBidi"/>
          <w:b w:val="0"/>
          <w:bCs w:val="0"/>
          <w:noProof/>
          <w:color w:val="auto"/>
          <w:spacing w:val="0"/>
          <w:sz w:val="22"/>
          <w:szCs w:val="22"/>
          <w:lang w:eastAsia="en-AU"/>
        </w:rPr>
        <w:drawing>
          <wp:inline distT="0" distB="0" distL="0" distR="0" wp14:anchorId="0CA1EEDD" wp14:editId="239AA80B">
            <wp:extent cx="3751200" cy="2347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51200" cy="2347200"/>
                    </a:xfrm>
                    <a:prstGeom prst="rect">
                      <a:avLst/>
                    </a:prstGeom>
                    <a:noFill/>
                    <a:ln>
                      <a:noFill/>
                    </a:ln>
                  </pic:spPr>
                </pic:pic>
              </a:graphicData>
            </a:graphic>
          </wp:inline>
        </w:drawing>
      </w:r>
    </w:p>
    <w:p w14:paraId="19E604CB" w14:textId="2EFCC117" w:rsidR="00817C0E" w:rsidRDefault="00817C0E" w:rsidP="00817C0E">
      <w:pPr>
        <w:shd w:val="clear" w:color="auto" w:fill="FFFFFF"/>
        <w:spacing w:after="0" w:line="260" w:lineRule="atLeast"/>
        <w:rPr>
          <w:rFonts w:eastAsia="Times New Roman" w:cs="Arial"/>
          <w:b/>
          <w:bCs/>
          <w:sz w:val="20"/>
          <w:szCs w:val="20"/>
          <w:lang w:eastAsia="en-AU"/>
        </w:rPr>
      </w:pPr>
    </w:p>
    <w:p w14:paraId="09FCE4B1" w14:textId="02F30FBE" w:rsidR="00B81D7B" w:rsidRPr="00B81D7B" w:rsidRDefault="00B81D7B" w:rsidP="00B81D7B">
      <w:pPr>
        <w:pStyle w:val="Default"/>
        <w:jc w:val="both"/>
        <w:rPr>
          <w:rFonts w:ascii="Arial" w:eastAsia="Times New Roman" w:hAnsi="Arial" w:cs="Arial"/>
          <w:sz w:val="20"/>
          <w:szCs w:val="20"/>
          <w:lang w:val="en" w:eastAsia="en-AU"/>
        </w:rPr>
      </w:pPr>
      <w:r w:rsidRPr="00B81D7B">
        <w:rPr>
          <w:rFonts w:ascii="Arial" w:eastAsia="Times New Roman" w:hAnsi="Arial" w:cs="Arial"/>
          <w:sz w:val="20"/>
          <w:szCs w:val="20"/>
          <w:lang w:val="en" w:eastAsia="en-AU"/>
        </w:rPr>
        <w:t>High density polyethylene (</w:t>
      </w:r>
      <w:r w:rsidR="0031580E">
        <w:rPr>
          <w:rFonts w:ascii="Arial" w:eastAsia="Times New Roman" w:hAnsi="Arial" w:cs="Arial"/>
          <w:sz w:val="20"/>
          <w:szCs w:val="20"/>
          <w:lang w:val="en" w:eastAsia="en-AU"/>
        </w:rPr>
        <w:t>HDPE</w:t>
      </w:r>
      <w:r w:rsidRPr="00B81D7B">
        <w:rPr>
          <w:rFonts w:ascii="Arial" w:eastAsia="Times New Roman" w:hAnsi="Arial" w:cs="Arial"/>
          <w:sz w:val="20"/>
          <w:szCs w:val="20"/>
          <w:lang w:val="en" w:eastAsia="en-AU"/>
        </w:rPr>
        <w:t>) used in pipes, film and blow-moulded containers accounted for 30% of all plastics recovered during 2016-17. Low / linear low density polyethylene (PE-LD/LLD) and Polyethylene terephthalate (PET) Accounted for 23% and 20% respectively.</w:t>
      </w:r>
      <w:r>
        <w:rPr>
          <w:rFonts w:ascii="Arial" w:eastAsia="Times New Roman" w:hAnsi="Arial" w:cs="Arial"/>
          <w:sz w:val="20"/>
          <w:szCs w:val="20"/>
          <w:lang w:val="en" w:eastAsia="en-AU"/>
        </w:rPr>
        <w:t xml:space="preserve"> </w:t>
      </w:r>
      <w:r w:rsidRPr="00B81D7B">
        <w:rPr>
          <w:rFonts w:ascii="Arial" w:eastAsia="Times New Roman" w:hAnsi="Arial" w:cs="Arial"/>
          <w:sz w:val="20"/>
          <w:szCs w:val="20"/>
          <w:lang w:val="en" w:eastAsia="en-AU"/>
        </w:rPr>
        <w:t>Polypropylene (PP)</w:t>
      </w:r>
      <w:r>
        <w:rPr>
          <w:rFonts w:ascii="Arial" w:eastAsia="Times New Roman" w:hAnsi="Arial" w:cs="Arial"/>
          <w:sz w:val="20"/>
          <w:szCs w:val="20"/>
          <w:lang w:val="en" w:eastAsia="en-AU"/>
        </w:rPr>
        <w:t>, commonly used in crates, boxes and plant pots, accounted for 16%.</w:t>
      </w:r>
      <w:r w:rsidRPr="00B81D7B">
        <w:rPr>
          <w:rFonts w:ascii="Arial" w:eastAsia="Times New Roman" w:hAnsi="Arial" w:cs="Arial"/>
          <w:sz w:val="20"/>
          <w:szCs w:val="20"/>
          <w:lang w:val="en" w:eastAsia="en-AU"/>
        </w:rPr>
        <w:t xml:space="preserve"> </w:t>
      </w:r>
    </w:p>
    <w:p w14:paraId="318869B8" w14:textId="5911A464" w:rsidR="00B81D7B" w:rsidRDefault="00B81D7B" w:rsidP="00817C0E">
      <w:pPr>
        <w:shd w:val="clear" w:color="auto" w:fill="FFFFFF"/>
        <w:spacing w:after="0" w:line="260" w:lineRule="atLeast"/>
        <w:rPr>
          <w:rFonts w:eastAsia="Times New Roman" w:cs="Arial"/>
          <w:b/>
          <w:bCs/>
          <w:sz w:val="20"/>
          <w:szCs w:val="20"/>
          <w:lang w:eastAsia="en-AU"/>
        </w:rPr>
      </w:pPr>
    </w:p>
    <w:p w14:paraId="462A91D2" w14:textId="77777777" w:rsidR="00920784" w:rsidRDefault="00920784" w:rsidP="00817C0E">
      <w:pPr>
        <w:shd w:val="clear" w:color="auto" w:fill="FFFFFF"/>
        <w:spacing w:after="0" w:line="260" w:lineRule="atLeast"/>
        <w:rPr>
          <w:rFonts w:eastAsia="Times New Roman" w:cs="Arial"/>
          <w:b/>
          <w:bCs/>
          <w:sz w:val="20"/>
          <w:szCs w:val="20"/>
          <w:lang w:eastAsia="en-AU"/>
        </w:rPr>
      </w:pPr>
    </w:p>
    <w:p w14:paraId="47064888" w14:textId="77777777" w:rsidR="00920784" w:rsidRDefault="00920784" w:rsidP="00817C0E">
      <w:pPr>
        <w:shd w:val="clear" w:color="auto" w:fill="FFFFFF"/>
        <w:spacing w:after="0" w:line="260" w:lineRule="atLeast"/>
        <w:rPr>
          <w:rFonts w:eastAsia="Times New Roman" w:cs="Arial"/>
          <w:b/>
          <w:bCs/>
          <w:sz w:val="20"/>
          <w:szCs w:val="20"/>
          <w:lang w:eastAsia="en-AU"/>
        </w:rPr>
      </w:pPr>
    </w:p>
    <w:p w14:paraId="7EDFB99D" w14:textId="77777777" w:rsidR="00920784" w:rsidRDefault="00920784" w:rsidP="00817C0E">
      <w:pPr>
        <w:shd w:val="clear" w:color="auto" w:fill="FFFFFF"/>
        <w:spacing w:after="0" w:line="260" w:lineRule="atLeast"/>
        <w:rPr>
          <w:rFonts w:eastAsia="Times New Roman" w:cs="Arial"/>
          <w:b/>
          <w:bCs/>
          <w:sz w:val="20"/>
          <w:szCs w:val="20"/>
          <w:lang w:eastAsia="en-AU"/>
        </w:rPr>
      </w:pPr>
    </w:p>
    <w:p w14:paraId="44FAFB11" w14:textId="77777777" w:rsidR="00920784" w:rsidRDefault="00920784" w:rsidP="00817C0E">
      <w:pPr>
        <w:shd w:val="clear" w:color="auto" w:fill="FFFFFF"/>
        <w:spacing w:after="0" w:line="260" w:lineRule="atLeast"/>
        <w:rPr>
          <w:rFonts w:eastAsia="Times New Roman" w:cs="Arial"/>
          <w:b/>
          <w:bCs/>
          <w:sz w:val="20"/>
          <w:szCs w:val="20"/>
          <w:lang w:eastAsia="en-AU"/>
        </w:rPr>
      </w:pPr>
    </w:p>
    <w:p w14:paraId="17E0032D" w14:textId="77777777" w:rsidR="00920784" w:rsidRDefault="00920784" w:rsidP="00817C0E">
      <w:pPr>
        <w:shd w:val="clear" w:color="auto" w:fill="FFFFFF"/>
        <w:spacing w:after="0" w:line="260" w:lineRule="atLeast"/>
        <w:rPr>
          <w:rFonts w:eastAsia="Times New Roman" w:cs="Arial"/>
          <w:b/>
          <w:bCs/>
          <w:sz w:val="20"/>
          <w:szCs w:val="20"/>
          <w:lang w:eastAsia="en-AU"/>
        </w:rPr>
      </w:pPr>
    </w:p>
    <w:p w14:paraId="613BB8FD" w14:textId="77777777" w:rsidR="00920784" w:rsidRDefault="00920784" w:rsidP="00817C0E">
      <w:pPr>
        <w:shd w:val="clear" w:color="auto" w:fill="FFFFFF"/>
        <w:spacing w:after="0" w:line="260" w:lineRule="atLeast"/>
        <w:rPr>
          <w:rFonts w:eastAsia="Times New Roman" w:cs="Arial"/>
          <w:b/>
          <w:bCs/>
          <w:sz w:val="20"/>
          <w:szCs w:val="20"/>
          <w:lang w:eastAsia="en-AU"/>
        </w:rPr>
      </w:pPr>
    </w:p>
    <w:p w14:paraId="325B9F35" w14:textId="6CD7944A" w:rsidR="00817C0E" w:rsidRDefault="00817C0E" w:rsidP="00444BF7">
      <w:pPr>
        <w:pStyle w:val="Caption"/>
        <w:keepNext/>
        <w:rPr>
          <w:lang w:eastAsia="en-AU"/>
        </w:rPr>
      </w:pPr>
      <w:r w:rsidRPr="00817C0E">
        <w:rPr>
          <w:lang w:eastAsia="en-AU"/>
        </w:rPr>
        <w:lastRenderedPageBreak/>
        <w:t>Composition of plastics recovered for reprocessing by polymer type (by weight), Victoria 201</w:t>
      </w:r>
      <w:r>
        <w:rPr>
          <w:lang w:eastAsia="en-AU"/>
        </w:rPr>
        <w:t>6</w:t>
      </w:r>
      <w:r w:rsidRPr="00817C0E">
        <w:rPr>
          <w:lang w:eastAsia="en-AU"/>
        </w:rPr>
        <w:t>-1</w:t>
      </w:r>
      <w:r>
        <w:rPr>
          <w:lang w:eastAsia="en-AU"/>
        </w:rPr>
        <w:t>7</w:t>
      </w:r>
    </w:p>
    <w:p w14:paraId="1ED953E4" w14:textId="0AA2C3E0" w:rsidR="00817C0E" w:rsidRPr="00310355" w:rsidRDefault="00645506" w:rsidP="00444BF7">
      <w:pPr>
        <w:keepNext/>
        <w:jc w:val="center"/>
        <w:rPr>
          <w:rFonts w:eastAsia="Times New Roman" w:cs="Arial"/>
          <w:b/>
          <w:bCs/>
          <w:sz w:val="20"/>
          <w:szCs w:val="20"/>
          <w:lang w:eastAsia="en-AU"/>
        </w:rPr>
      </w:pPr>
      <w:r w:rsidRPr="00645506">
        <w:rPr>
          <w:noProof/>
          <w:lang w:eastAsia="en-AU"/>
        </w:rPr>
        <w:drawing>
          <wp:inline distT="0" distB="0" distL="0" distR="0" wp14:anchorId="1166C218" wp14:editId="43C9C1B2">
            <wp:extent cx="3578400" cy="2354400"/>
            <wp:effectExtent l="0" t="0" r="3175"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8400" cy="2354400"/>
                    </a:xfrm>
                    <a:prstGeom prst="rect">
                      <a:avLst/>
                    </a:prstGeom>
                    <a:noFill/>
                    <a:ln>
                      <a:noFill/>
                    </a:ln>
                  </pic:spPr>
                </pic:pic>
              </a:graphicData>
            </a:graphic>
          </wp:inline>
        </w:drawing>
      </w:r>
    </w:p>
    <w:p w14:paraId="1B4A55BE" w14:textId="5050FD31" w:rsidR="00DD5414" w:rsidRDefault="00DD5414" w:rsidP="00D01076">
      <w:pPr>
        <w:shd w:val="clear" w:color="auto" w:fill="FFFFFF"/>
        <w:spacing w:line="260" w:lineRule="atLeast"/>
        <w:jc w:val="both"/>
        <w:rPr>
          <w:rFonts w:eastAsia="Times New Roman" w:cs="Arial"/>
          <w:sz w:val="20"/>
          <w:szCs w:val="20"/>
          <w:lang w:val="en" w:eastAsia="en-AU"/>
        </w:rPr>
      </w:pPr>
      <w:r w:rsidRPr="003E0E97">
        <w:rPr>
          <w:rFonts w:eastAsia="Times New Roman" w:cs="Arial"/>
          <w:sz w:val="20"/>
          <w:szCs w:val="20"/>
          <w:lang w:val="en" w:eastAsia="en-AU"/>
        </w:rPr>
        <w:t xml:space="preserve">The graph below indicates that the recovery of plastic has </w:t>
      </w:r>
      <w:r w:rsidR="00FB460F" w:rsidRPr="003E0E97">
        <w:rPr>
          <w:rFonts w:eastAsia="Times New Roman" w:cs="Arial"/>
          <w:sz w:val="20"/>
          <w:szCs w:val="20"/>
          <w:lang w:val="en" w:eastAsia="en-AU"/>
        </w:rPr>
        <w:t>lost steam in the last two years after having peaked in 2014-15</w:t>
      </w:r>
      <w:r w:rsidRPr="003E0E97">
        <w:rPr>
          <w:rFonts w:eastAsia="Times New Roman" w:cs="Arial"/>
          <w:sz w:val="20"/>
          <w:szCs w:val="20"/>
          <w:lang w:val="en" w:eastAsia="en-AU"/>
        </w:rPr>
        <w:t xml:space="preserve">. </w:t>
      </w:r>
      <w:r w:rsidR="00FB460F" w:rsidRPr="003E0E97">
        <w:rPr>
          <w:rFonts w:eastAsia="Times New Roman" w:cs="Arial"/>
          <w:sz w:val="20"/>
          <w:szCs w:val="20"/>
          <w:lang w:val="en" w:eastAsia="en-AU"/>
        </w:rPr>
        <w:t xml:space="preserve">Even though </w:t>
      </w:r>
      <w:r w:rsidRPr="003E0E97">
        <w:rPr>
          <w:rFonts w:eastAsia="Times New Roman" w:cs="Arial"/>
          <w:sz w:val="20"/>
          <w:szCs w:val="20"/>
          <w:lang w:val="en" w:eastAsia="en-AU"/>
        </w:rPr>
        <w:t>improved collection systems</w:t>
      </w:r>
      <w:r w:rsidR="00FB460F" w:rsidRPr="003E0E97">
        <w:rPr>
          <w:rFonts w:eastAsia="Times New Roman" w:cs="Arial"/>
          <w:sz w:val="20"/>
          <w:szCs w:val="20"/>
          <w:lang w:val="en" w:eastAsia="en-AU"/>
        </w:rPr>
        <w:t xml:space="preserve">, increased investment in plastic recycling technology and </w:t>
      </w:r>
      <w:r w:rsidRPr="003E0E97">
        <w:rPr>
          <w:rFonts w:eastAsia="Times New Roman" w:cs="Arial"/>
          <w:sz w:val="20"/>
          <w:szCs w:val="20"/>
          <w:lang w:val="en" w:eastAsia="en-AU"/>
        </w:rPr>
        <w:t>growing public awareness of the importance of recycling</w:t>
      </w:r>
      <w:r w:rsidR="00FB460F" w:rsidRPr="003E0E97">
        <w:rPr>
          <w:rFonts w:eastAsia="Times New Roman" w:cs="Arial"/>
          <w:sz w:val="20"/>
          <w:szCs w:val="20"/>
          <w:lang w:val="en" w:eastAsia="en-AU"/>
        </w:rPr>
        <w:t>, loss of material through MRF fires as well as low virgin resin prices internationally can be attributed to the decline in</w:t>
      </w:r>
      <w:r w:rsidR="003E0E97" w:rsidRPr="003E0E97">
        <w:rPr>
          <w:rFonts w:eastAsia="Times New Roman" w:cs="Arial"/>
          <w:sz w:val="20"/>
          <w:szCs w:val="20"/>
          <w:lang w:val="en" w:eastAsia="en-AU"/>
        </w:rPr>
        <w:t xml:space="preserve"> the last two years decline. Nevertheless, 2017</w:t>
      </w:r>
      <w:r w:rsidR="003E0E97">
        <w:rPr>
          <w:rFonts w:eastAsia="Times New Roman" w:cs="Arial"/>
          <w:sz w:val="20"/>
          <w:szCs w:val="20"/>
          <w:lang w:val="en" w:eastAsia="en-AU"/>
        </w:rPr>
        <w:t>-</w:t>
      </w:r>
      <w:r w:rsidR="003E0E97" w:rsidRPr="003E0E97">
        <w:rPr>
          <w:rFonts w:eastAsia="Times New Roman" w:cs="Arial"/>
          <w:sz w:val="20"/>
          <w:szCs w:val="20"/>
          <w:lang w:val="en" w:eastAsia="en-AU"/>
        </w:rPr>
        <w:t>18 is anticipated to be a very challenging year with the Chinese</w:t>
      </w:r>
      <w:r w:rsidR="003E0E97">
        <w:rPr>
          <w:rFonts w:eastAsia="Times New Roman" w:cs="Arial"/>
          <w:sz w:val="20"/>
          <w:szCs w:val="20"/>
          <w:lang w:val="en" w:eastAsia="en-AU"/>
        </w:rPr>
        <w:t xml:space="preserve"> National Sword import </w:t>
      </w:r>
      <w:r w:rsidR="00043051">
        <w:rPr>
          <w:rFonts w:eastAsia="Times New Roman" w:cs="Arial"/>
          <w:sz w:val="20"/>
          <w:szCs w:val="20"/>
          <w:lang w:val="en" w:eastAsia="en-AU"/>
        </w:rPr>
        <w:t>ban</w:t>
      </w:r>
      <w:r w:rsidR="003E0E97">
        <w:rPr>
          <w:rFonts w:eastAsia="Times New Roman" w:cs="Arial"/>
          <w:sz w:val="20"/>
          <w:szCs w:val="20"/>
          <w:lang w:val="en" w:eastAsia="en-AU"/>
        </w:rPr>
        <w:t xml:space="preserve"> starting at the beginning of 2018.</w:t>
      </w:r>
    </w:p>
    <w:p w14:paraId="4E0E311E" w14:textId="77777777" w:rsidR="0053468E" w:rsidRDefault="0053468E" w:rsidP="00D01076">
      <w:pPr>
        <w:shd w:val="clear" w:color="auto" w:fill="FFFFFF"/>
        <w:spacing w:line="260" w:lineRule="atLeast"/>
        <w:jc w:val="both"/>
        <w:rPr>
          <w:rFonts w:eastAsia="Times New Roman" w:cs="Arial"/>
          <w:sz w:val="20"/>
          <w:szCs w:val="20"/>
          <w:lang w:val="en" w:eastAsia="en-AU"/>
        </w:rPr>
      </w:pPr>
    </w:p>
    <w:p w14:paraId="6A57CB1D" w14:textId="3292893A" w:rsidR="00DD5414" w:rsidRDefault="00DD5414" w:rsidP="00420443">
      <w:pPr>
        <w:pStyle w:val="Caption"/>
        <w:rPr>
          <w:lang w:eastAsia="en-AU"/>
        </w:rPr>
      </w:pPr>
      <w:r w:rsidRPr="00310355">
        <w:rPr>
          <w:lang w:eastAsia="en-AU"/>
        </w:rPr>
        <w:t>Plastic waste recovered for reprocessing, Victoria 200</w:t>
      </w:r>
      <w:r w:rsidR="00B81D7B">
        <w:rPr>
          <w:lang w:eastAsia="en-AU"/>
        </w:rPr>
        <w:t>7</w:t>
      </w:r>
      <w:r w:rsidRPr="00310355">
        <w:rPr>
          <w:lang w:eastAsia="en-AU"/>
        </w:rPr>
        <w:t>-0</w:t>
      </w:r>
      <w:r w:rsidR="00B81D7B">
        <w:rPr>
          <w:lang w:eastAsia="en-AU"/>
        </w:rPr>
        <w:t>8</w:t>
      </w:r>
      <w:r w:rsidRPr="00310355">
        <w:rPr>
          <w:lang w:eastAsia="en-AU"/>
        </w:rPr>
        <w:t xml:space="preserve"> to 201</w:t>
      </w:r>
      <w:r w:rsidR="00B81D7B">
        <w:rPr>
          <w:lang w:eastAsia="en-AU"/>
        </w:rPr>
        <w:t>6</w:t>
      </w:r>
      <w:r w:rsidRPr="00310355">
        <w:rPr>
          <w:lang w:eastAsia="en-AU"/>
        </w:rPr>
        <w:t>-1</w:t>
      </w:r>
      <w:r w:rsidR="00B81D7B">
        <w:rPr>
          <w:lang w:eastAsia="en-AU"/>
        </w:rPr>
        <w:t>7</w:t>
      </w:r>
      <w:r w:rsidR="00A82FDD">
        <w:rPr>
          <w:lang w:eastAsia="en-AU"/>
        </w:rPr>
        <w:t xml:space="preserve"> </w:t>
      </w:r>
    </w:p>
    <w:p w14:paraId="1BF424F5" w14:textId="64B0D1DA" w:rsidR="0053468E" w:rsidRPr="0053468E" w:rsidRDefault="00811D19" w:rsidP="00954A83">
      <w:pPr>
        <w:rPr>
          <w:rFonts w:eastAsia="Times New Roman" w:cs="Arial"/>
          <w:b/>
          <w:bCs/>
          <w:color w:val="404040" w:themeColor="text1" w:themeTint="BF"/>
          <w:spacing w:val="-5"/>
          <w:sz w:val="16"/>
          <w:szCs w:val="16"/>
        </w:rPr>
      </w:pPr>
      <w:r w:rsidRPr="002F07F5">
        <w:rPr>
          <w:noProof/>
          <w:lang w:eastAsia="en-AU"/>
        </w:rPr>
        <w:drawing>
          <wp:inline distT="0" distB="0" distL="0" distR="0" wp14:anchorId="6E6F7D6C" wp14:editId="462B8149">
            <wp:extent cx="4546800" cy="2660400"/>
            <wp:effectExtent l="0" t="0" r="635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46800" cy="2660400"/>
                    </a:xfrm>
                    <a:prstGeom prst="rect">
                      <a:avLst/>
                    </a:prstGeom>
                    <a:noFill/>
                    <a:ln>
                      <a:noFill/>
                    </a:ln>
                  </pic:spPr>
                </pic:pic>
              </a:graphicData>
            </a:graphic>
          </wp:inline>
        </w:drawing>
      </w:r>
    </w:p>
    <w:p w14:paraId="4C04D3EF" w14:textId="77777777" w:rsidR="0053468E" w:rsidRPr="0053468E" w:rsidRDefault="0053468E" w:rsidP="00954A83">
      <w:pPr>
        <w:rPr>
          <w:rFonts w:eastAsia="Times New Roman" w:cs="Arial"/>
          <w:b/>
          <w:bCs/>
          <w:color w:val="404040" w:themeColor="text1" w:themeTint="BF"/>
          <w:spacing w:val="-5"/>
          <w:sz w:val="16"/>
          <w:szCs w:val="16"/>
        </w:rPr>
      </w:pPr>
    </w:p>
    <w:p w14:paraId="2D4EC50D" w14:textId="27ADA7A3" w:rsidR="00954A83" w:rsidRPr="0053468E" w:rsidRDefault="00954A83" w:rsidP="00954A83">
      <w:pPr>
        <w:rPr>
          <w:rFonts w:eastAsia="Times New Roman" w:cs="Arial"/>
          <w:b/>
          <w:bCs/>
          <w:color w:val="404040" w:themeColor="text1" w:themeTint="BF"/>
          <w:spacing w:val="-5"/>
          <w:sz w:val="16"/>
          <w:szCs w:val="16"/>
        </w:rPr>
      </w:pPr>
      <w:r w:rsidRPr="0053468E">
        <w:rPr>
          <w:rFonts w:eastAsia="Times New Roman" w:cs="Arial"/>
          <w:b/>
          <w:bCs/>
          <w:color w:val="404040" w:themeColor="text1" w:themeTint="BF"/>
          <w:spacing w:val="-5"/>
          <w:sz w:val="16"/>
          <w:szCs w:val="16"/>
        </w:rPr>
        <w:br w:type="page"/>
      </w:r>
    </w:p>
    <w:p w14:paraId="5B529CFC" w14:textId="345B2F75" w:rsidR="00DD5414" w:rsidRPr="00BA256A" w:rsidRDefault="00DD5414" w:rsidP="00EC66A3">
      <w:pPr>
        <w:pStyle w:val="Heading3"/>
      </w:pPr>
      <w:bookmarkStart w:id="63" w:name="_Toc525308018"/>
      <w:r w:rsidRPr="00BA256A">
        <w:lastRenderedPageBreak/>
        <w:t>Rubber</w:t>
      </w:r>
      <w:bookmarkEnd w:id="63"/>
    </w:p>
    <w:p w14:paraId="136ACBCA" w14:textId="5EEB4A96" w:rsidR="00154D25" w:rsidRDefault="00DD5414" w:rsidP="00D01076">
      <w:pPr>
        <w:shd w:val="clear" w:color="auto" w:fill="FFFFFF"/>
        <w:spacing w:line="260" w:lineRule="atLeast"/>
        <w:jc w:val="both"/>
        <w:rPr>
          <w:rFonts w:eastAsia="Times New Roman" w:cs="Arial"/>
          <w:sz w:val="20"/>
          <w:szCs w:val="20"/>
          <w:lang w:val="en" w:eastAsia="en-AU"/>
        </w:rPr>
      </w:pPr>
      <w:r w:rsidRPr="00310355">
        <w:rPr>
          <w:rFonts w:eastAsia="Times New Roman" w:cs="Arial"/>
          <w:sz w:val="20"/>
          <w:szCs w:val="20"/>
          <w:lang w:val="en" w:eastAsia="en-AU"/>
        </w:rPr>
        <w:t>In 201</w:t>
      </w:r>
      <w:r w:rsidR="00262425">
        <w:rPr>
          <w:rFonts w:eastAsia="Times New Roman" w:cs="Arial"/>
          <w:sz w:val="20"/>
          <w:szCs w:val="20"/>
          <w:lang w:val="en" w:eastAsia="en-AU"/>
        </w:rPr>
        <w:t>6</w:t>
      </w:r>
      <w:r w:rsidRPr="00310355">
        <w:rPr>
          <w:rFonts w:eastAsia="Times New Roman" w:cs="Arial"/>
          <w:sz w:val="20"/>
          <w:szCs w:val="20"/>
          <w:lang w:val="en" w:eastAsia="en-AU"/>
        </w:rPr>
        <w:t>-1</w:t>
      </w:r>
      <w:r w:rsidR="00262425">
        <w:rPr>
          <w:rFonts w:eastAsia="Times New Roman" w:cs="Arial"/>
          <w:sz w:val="20"/>
          <w:szCs w:val="20"/>
          <w:lang w:val="en" w:eastAsia="en-AU"/>
        </w:rPr>
        <w:t>7</w:t>
      </w:r>
      <w:r w:rsidRPr="00310355">
        <w:rPr>
          <w:rFonts w:eastAsia="Times New Roman" w:cs="Arial"/>
          <w:sz w:val="20"/>
          <w:szCs w:val="20"/>
          <w:lang w:val="en" w:eastAsia="en-AU"/>
        </w:rPr>
        <w:t xml:space="preserve"> the amount of rubber recovered for reprocessing in Victoria was </w:t>
      </w:r>
      <w:r w:rsidR="00E737BA">
        <w:rPr>
          <w:rFonts w:eastAsia="Times New Roman" w:cs="Arial"/>
          <w:b/>
          <w:bCs/>
          <w:sz w:val="20"/>
          <w:szCs w:val="20"/>
          <w:lang w:val="en" w:eastAsia="en-AU"/>
        </w:rPr>
        <w:t>41</w:t>
      </w:r>
      <w:r w:rsidRPr="00310355">
        <w:rPr>
          <w:rFonts w:eastAsia="Times New Roman" w:cs="Arial"/>
          <w:b/>
          <w:bCs/>
          <w:sz w:val="20"/>
          <w:szCs w:val="20"/>
          <w:lang w:val="en" w:eastAsia="en-AU"/>
        </w:rPr>
        <w:t xml:space="preserve">,000 </w:t>
      </w:r>
      <w:r w:rsidRPr="00310355">
        <w:rPr>
          <w:rFonts w:eastAsia="Times New Roman" w:cs="Arial"/>
          <w:b/>
          <w:bCs/>
          <w:sz w:val="20"/>
          <w:szCs w:val="20"/>
          <w:lang w:eastAsia="en-AU"/>
        </w:rPr>
        <w:t>tonnes</w:t>
      </w:r>
      <w:r w:rsidRPr="00310355">
        <w:rPr>
          <w:rFonts w:eastAsia="Times New Roman" w:cs="Arial"/>
          <w:sz w:val="20"/>
          <w:szCs w:val="20"/>
          <w:lang w:val="en" w:eastAsia="en-AU"/>
        </w:rPr>
        <w:t xml:space="preserve">. This figure decreased by </w:t>
      </w:r>
      <w:r w:rsidR="005611E9">
        <w:rPr>
          <w:rFonts w:eastAsia="Times New Roman" w:cs="Arial"/>
          <w:sz w:val="20"/>
          <w:szCs w:val="20"/>
          <w:lang w:val="en" w:eastAsia="en-AU"/>
        </w:rPr>
        <w:t>23</w:t>
      </w:r>
      <w:r w:rsidRPr="00310355">
        <w:rPr>
          <w:rFonts w:eastAsia="Times New Roman" w:cs="Arial"/>
          <w:sz w:val="20"/>
          <w:szCs w:val="20"/>
          <w:lang w:val="en" w:eastAsia="en-AU"/>
        </w:rPr>
        <w:t>% from 201</w:t>
      </w:r>
      <w:r w:rsidR="00E737BA">
        <w:rPr>
          <w:rFonts w:eastAsia="Times New Roman" w:cs="Arial"/>
          <w:sz w:val="20"/>
          <w:szCs w:val="20"/>
          <w:lang w:val="en" w:eastAsia="en-AU"/>
        </w:rPr>
        <w:t>5</w:t>
      </w:r>
      <w:r w:rsidRPr="00310355">
        <w:rPr>
          <w:rFonts w:eastAsia="Times New Roman" w:cs="Arial"/>
          <w:sz w:val="20"/>
          <w:szCs w:val="20"/>
          <w:lang w:val="en" w:eastAsia="en-AU"/>
        </w:rPr>
        <w:t>-1</w:t>
      </w:r>
      <w:r w:rsidR="00E737BA">
        <w:rPr>
          <w:rFonts w:eastAsia="Times New Roman" w:cs="Arial"/>
          <w:sz w:val="20"/>
          <w:szCs w:val="20"/>
          <w:lang w:val="en" w:eastAsia="en-AU"/>
        </w:rPr>
        <w:t>6</w:t>
      </w:r>
      <w:r w:rsidRPr="00310355">
        <w:rPr>
          <w:rFonts w:eastAsia="Times New Roman" w:cs="Arial"/>
          <w:sz w:val="20"/>
          <w:szCs w:val="20"/>
          <w:lang w:val="en" w:eastAsia="en-AU"/>
        </w:rPr>
        <w:t xml:space="preserve"> (</w:t>
      </w:r>
      <w:r w:rsidR="00E737BA">
        <w:rPr>
          <w:rFonts w:eastAsia="Times New Roman" w:cs="Arial"/>
          <w:sz w:val="20"/>
          <w:szCs w:val="20"/>
          <w:lang w:val="en" w:eastAsia="en-AU"/>
        </w:rPr>
        <w:t>from 54,000</w:t>
      </w:r>
      <w:r w:rsidRPr="00310355">
        <w:rPr>
          <w:rFonts w:eastAsia="Times New Roman" w:cs="Arial"/>
          <w:sz w:val="20"/>
          <w:szCs w:val="20"/>
          <w:lang w:val="en" w:eastAsia="en-AU"/>
        </w:rPr>
        <w:t xml:space="preserve"> tonnes)</w:t>
      </w:r>
      <w:r w:rsidR="00E737BA">
        <w:rPr>
          <w:rFonts w:eastAsia="Times New Roman" w:cs="Arial"/>
          <w:sz w:val="20"/>
          <w:szCs w:val="20"/>
          <w:lang w:val="en" w:eastAsia="en-AU"/>
        </w:rPr>
        <w:t xml:space="preserve">. Since peaking in 2013-14 at </w:t>
      </w:r>
      <w:r w:rsidR="00462D81">
        <w:rPr>
          <w:rFonts w:eastAsia="Times New Roman" w:cs="Arial"/>
          <w:sz w:val="20"/>
          <w:szCs w:val="20"/>
          <w:lang w:val="en" w:eastAsia="en-AU"/>
        </w:rPr>
        <w:t>78,000</w:t>
      </w:r>
      <w:r w:rsidR="00E737BA">
        <w:rPr>
          <w:rFonts w:eastAsia="Times New Roman" w:cs="Arial"/>
          <w:sz w:val="20"/>
          <w:szCs w:val="20"/>
          <w:lang w:val="en" w:eastAsia="en-AU"/>
        </w:rPr>
        <w:t xml:space="preserve"> </w:t>
      </w:r>
      <w:r w:rsidR="00462D81">
        <w:rPr>
          <w:rFonts w:eastAsia="Times New Roman" w:cs="Arial"/>
          <w:sz w:val="20"/>
          <w:szCs w:val="20"/>
          <w:lang w:val="en" w:eastAsia="en-AU"/>
        </w:rPr>
        <w:t>tonnes</w:t>
      </w:r>
      <w:r w:rsidR="00D01076">
        <w:rPr>
          <w:rFonts w:eastAsia="Times New Roman" w:cs="Arial"/>
          <w:sz w:val="20"/>
          <w:szCs w:val="20"/>
          <w:lang w:val="en" w:eastAsia="en-AU"/>
        </w:rPr>
        <w:t>,</w:t>
      </w:r>
      <w:r w:rsidR="00462D81">
        <w:rPr>
          <w:rFonts w:eastAsia="Times New Roman" w:cs="Arial"/>
          <w:sz w:val="20"/>
          <w:szCs w:val="20"/>
          <w:lang w:val="en" w:eastAsia="en-AU"/>
        </w:rPr>
        <w:t xml:space="preserve"> recovery</w:t>
      </w:r>
      <w:r w:rsidR="00E737BA">
        <w:rPr>
          <w:rFonts w:eastAsia="Times New Roman" w:cs="Arial"/>
          <w:sz w:val="20"/>
          <w:szCs w:val="20"/>
          <w:lang w:val="en" w:eastAsia="en-AU"/>
        </w:rPr>
        <w:t xml:space="preserve"> of rubber has declined </w:t>
      </w:r>
      <w:r w:rsidR="00C15D72">
        <w:rPr>
          <w:rFonts w:eastAsia="Times New Roman" w:cs="Arial"/>
          <w:sz w:val="20"/>
          <w:szCs w:val="20"/>
          <w:lang w:val="en" w:eastAsia="en-AU"/>
        </w:rPr>
        <w:t>by</w:t>
      </w:r>
      <w:r w:rsidR="00E737BA">
        <w:rPr>
          <w:rFonts w:eastAsia="Times New Roman" w:cs="Arial"/>
          <w:sz w:val="20"/>
          <w:szCs w:val="20"/>
          <w:lang w:val="en" w:eastAsia="en-AU"/>
        </w:rPr>
        <w:t xml:space="preserve"> </w:t>
      </w:r>
      <w:r w:rsidR="00462D81">
        <w:rPr>
          <w:rFonts w:eastAsia="Times New Roman" w:cs="Arial"/>
          <w:sz w:val="20"/>
          <w:szCs w:val="20"/>
          <w:lang w:val="en" w:eastAsia="en-AU"/>
        </w:rPr>
        <w:t>47</w:t>
      </w:r>
      <w:r w:rsidR="00E737BA">
        <w:rPr>
          <w:rFonts w:eastAsia="Times New Roman" w:cs="Arial"/>
          <w:sz w:val="20"/>
          <w:szCs w:val="20"/>
          <w:lang w:val="en" w:eastAsia="en-AU"/>
        </w:rPr>
        <w:t>%</w:t>
      </w:r>
      <w:r w:rsidRPr="00310355">
        <w:rPr>
          <w:rFonts w:eastAsia="Times New Roman" w:cs="Arial"/>
          <w:sz w:val="20"/>
          <w:szCs w:val="20"/>
          <w:lang w:val="en" w:eastAsia="en-AU"/>
        </w:rPr>
        <w:t xml:space="preserve">. </w:t>
      </w:r>
      <w:r w:rsidRPr="00462D81">
        <w:rPr>
          <w:rFonts w:eastAsia="Times New Roman" w:cs="Arial"/>
          <w:sz w:val="20"/>
          <w:szCs w:val="20"/>
          <w:lang w:val="en" w:eastAsia="en-AU"/>
        </w:rPr>
        <w:t>This</w:t>
      </w:r>
      <w:r w:rsidR="005611E9" w:rsidRPr="00462D81">
        <w:rPr>
          <w:rFonts w:eastAsia="Times New Roman" w:cs="Arial"/>
          <w:sz w:val="20"/>
          <w:szCs w:val="20"/>
          <w:lang w:val="en" w:eastAsia="en-AU"/>
        </w:rPr>
        <w:t xml:space="preserve"> recoil trend over the last </w:t>
      </w:r>
      <w:r w:rsidR="00E737BA" w:rsidRPr="00462D81">
        <w:rPr>
          <w:rFonts w:eastAsia="Times New Roman" w:cs="Arial"/>
          <w:sz w:val="20"/>
          <w:szCs w:val="20"/>
          <w:lang w:val="en" w:eastAsia="en-AU"/>
        </w:rPr>
        <w:t>three</w:t>
      </w:r>
      <w:r w:rsidR="005611E9" w:rsidRPr="00462D81">
        <w:rPr>
          <w:rFonts w:eastAsia="Times New Roman" w:cs="Arial"/>
          <w:sz w:val="20"/>
          <w:szCs w:val="20"/>
          <w:lang w:val="en" w:eastAsia="en-AU"/>
        </w:rPr>
        <w:t xml:space="preserve"> years</w:t>
      </w:r>
      <w:r w:rsidRPr="00462D81">
        <w:rPr>
          <w:rFonts w:eastAsia="Times New Roman" w:cs="Arial"/>
          <w:sz w:val="20"/>
          <w:szCs w:val="20"/>
          <w:lang w:val="en" w:eastAsia="en-AU"/>
        </w:rPr>
        <w:t xml:space="preserve"> is </w:t>
      </w:r>
      <w:r w:rsidR="00E737BA" w:rsidRPr="00462D81">
        <w:rPr>
          <w:rFonts w:eastAsia="Times New Roman" w:cs="Arial"/>
          <w:sz w:val="20"/>
          <w:szCs w:val="20"/>
          <w:lang w:val="en" w:eastAsia="en-AU"/>
        </w:rPr>
        <w:t>likely attributable to the slump in oil price during this period, making the reprocessing of tyres into tyre derived fuel less competitive than oil. The amount of rubber waste exported subsequently declined</w:t>
      </w:r>
      <w:r w:rsidR="00E737BA" w:rsidRPr="00582818">
        <w:rPr>
          <w:rFonts w:eastAsia="Times New Roman" w:cs="Arial"/>
          <w:sz w:val="20"/>
          <w:szCs w:val="20"/>
          <w:lang w:val="en" w:eastAsia="en-AU"/>
        </w:rPr>
        <w:t xml:space="preserve"> from 5</w:t>
      </w:r>
      <w:r w:rsidR="00582818" w:rsidRPr="00582818">
        <w:rPr>
          <w:rFonts w:eastAsia="Times New Roman" w:cs="Arial"/>
          <w:sz w:val="20"/>
          <w:szCs w:val="20"/>
          <w:lang w:val="en" w:eastAsia="en-AU"/>
        </w:rPr>
        <w:t>0</w:t>
      </w:r>
      <w:r w:rsidR="00E737BA" w:rsidRPr="00582818">
        <w:rPr>
          <w:rFonts w:eastAsia="Times New Roman" w:cs="Arial"/>
          <w:sz w:val="20"/>
          <w:szCs w:val="20"/>
          <w:lang w:val="en" w:eastAsia="en-AU"/>
        </w:rPr>
        <w:t>,000 tonnes in 201</w:t>
      </w:r>
      <w:r w:rsidR="00582818" w:rsidRPr="00582818">
        <w:rPr>
          <w:rFonts w:eastAsia="Times New Roman" w:cs="Arial"/>
          <w:sz w:val="20"/>
          <w:szCs w:val="20"/>
          <w:lang w:val="en" w:eastAsia="en-AU"/>
        </w:rPr>
        <w:t>3</w:t>
      </w:r>
      <w:r w:rsidR="00582818">
        <w:rPr>
          <w:rFonts w:eastAsia="Times New Roman" w:cs="Arial"/>
          <w:sz w:val="20"/>
          <w:szCs w:val="20"/>
          <w:lang w:val="en" w:eastAsia="en-AU"/>
        </w:rPr>
        <w:t>-</w:t>
      </w:r>
      <w:r w:rsidR="00E737BA" w:rsidRPr="00582818">
        <w:rPr>
          <w:rFonts w:eastAsia="Times New Roman" w:cs="Arial"/>
          <w:sz w:val="20"/>
          <w:szCs w:val="20"/>
          <w:lang w:val="en" w:eastAsia="en-AU"/>
        </w:rPr>
        <w:t>1</w:t>
      </w:r>
      <w:r w:rsidR="00582818" w:rsidRPr="00582818">
        <w:rPr>
          <w:rFonts w:eastAsia="Times New Roman" w:cs="Arial"/>
          <w:sz w:val="20"/>
          <w:szCs w:val="20"/>
          <w:lang w:val="en" w:eastAsia="en-AU"/>
        </w:rPr>
        <w:t>4</w:t>
      </w:r>
      <w:r w:rsidR="00E737BA" w:rsidRPr="00582818">
        <w:rPr>
          <w:rFonts w:eastAsia="Times New Roman" w:cs="Arial"/>
          <w:sz w:val="20"/>
          <w:szCs w:val="20"/>
          <w:lang w:val="en" w:eastAsia="en-AU"/>
        </w:rPr>
        <w:t xml:space="preserve"> to 2</w:t>
      </w:r>
      <w:r w:rsidR="00582818" w:rsidRPr="00582818">
        <w:rPr>
          <w:rFonts w:eastAsia="Times New Roman" w:cs="Arial"/>
          <w:sz w:val="20"/>
          <w:szCs w:val="20"/>
          <w:lang w:val="en" w:eastAsia="en-AU"/>
        </w:rPr>
        <w:t>0</w:t>
      </w:r>
      <w:r w:rsidR="00E737BA" w:rsidRPr="00582818">
        <w:rPr>
          <w:rFonts w:eastAsia="Times New Roman" w:cs="Arial"/>
          <w:sz w:val="20"/>
          <w:szCs w:val="20"/>
          <w:lang w:val="en" w:eastAsia="en-AU"/>
        </w:rPr>
        <w:t>,000 tonnes in 201</w:t>
      </w:r>
      <w:r w:rsidR="00582818" w:rsidRPr="00582818">
        <w:rPr>
          <w:rFonts w:eastAsia="Times New Roman" w:cs="Arial"/>
          <w:sz w:val="20"/>
          <w:szCs w:val="20"/>
          <w:lang w:val="en" w:eastAsia="en-AU"/>
        </w:rPr>
        <w:t>6</w:t>
      </w:r>
      <w:r w:rsidR="00582818">
        <w:rPr>
          <w:rFonts w:eastAsia="Times New Roman" w:cs="Arial"/>
          <w:sz w:val="20"/>
          <w:szCs w:val="20"/>
          <w:lang w:val="en" w:eastAsia="en-AU"/>
        </w:rPr>
        <w:t>-</w:t>
      </w:r>
      <w:r w:rsidR="00E737BA" w:rsidRPr="00582818">
        <w:rPr>
          <w:rFonts w:eastAsia="Times New Roman" w:cs="Arial"/>
          <w:sz w:val="20"/>
          <w:szCs w:val="20"/>
          <w:lang w:val="en" w:eastAsia="en-AU"/>
        </w:rPr>
        <w:t>1</w:t>
      </w:r>
      <w:r w:rsidR="00582818" w:rsidRPr="00582818">
        <w:rPr>
          <w:rFonts w:eastAsia="Times New Roman" w:cs="Arial"/>
          <w:sz w:val="20"/>
          <w:szCs w:val="20"/>
          <w:lang w:val="en" w:eastAsia="en-AU"/>
        </w:rPr>
        <w:t>7</w:t>
      </w:r>
      <w:r w:rsidR="00582818">
        <w:rPr>
          <w:rFonts w:eastAsia="Times New Roman" w:cs="Arial"/>
          <w:sz w:val="20"/>
          <w:szCs w:val="20"/>
          <w:lang w:val="en" w:eastAsia="en-AU"/>
        </w:rPr>
        <w:t>.</w:t>
      </w:r>
      <w:r w:rsidR="00BA256A">
        <w:rPr>
          <w:rFonts w:eastAsia="Times New Roman" w:cs="Arial"/>
          <w:sz w:val="20"/>
          <w:szCs w:val="20"/>
          <w:lang w:val="en" w:eastAsia="en-AU"/>
        </w:rPr>
        <w:t xml:space="preserve"> </w:t>
      </w:r>
    </w:p>
    <w:p w14:paraId="15E6405B" w14:textId="6BF93FFA" w:rsidR="00DD5414" w:rsidRPr="00310355" w:rsidRDefault="00DD5414" w:rsidP="00BA256A">
      <w:pPr>
        <w:shd w:val="clear" w:color="auto" w:fill="FFFFFF"/>
        <w:spacing w:after="0" w:line="260" w:lineRule="atLeast"/>
        <w:jc w:val="both"/>
        <w:rPr>
          <w:rFonts w:eastAsia="Times New Roman" w:cs="Arial"/>
          <w:sz w:val="20"/>
          <w:szCs w:val="20"/>
          <w:lang w:val="en" w:eastAsia="en-AU"/>
        </w:rPr>
      </w:pPr>
      <w:r w:rsidRPr="00310355">
        <w:rPr>
          <w:rFonts w:eastAsia="Times New Roman" w:cs="Arial"/>
          <w:sz w:val="20"/>
          <w:szCs w:val="20"/>
          <w:lang w:val="en" w:eastAsia="en-AU"/>
        </w:rPr>
        <w:t xml:space="preserve">In </w:t>
      </w:r>
      <w:r w:rsidR="00582818" w:rsidRPr="00582818">
        <w:rPr>
          <w:rFonts w:eastAsia="Times New Roman" w:cs="Arial"/>
          <w:sz w:val="20"/>
          <w:szCs w:val="20"/>
          <w:lang w:val="en" w:eastAsia="en-AU"/>
        </w:rPr>
        <w:t>2016</w:t>
      </w:r>
      <w:r w:rsidR="00582818">
        <w:rPr>
          <w:rFonts w:eastAsia="Times New Roman" w:cs="Arial"/>
          <w:sz w:val="20"/>
          <w:szCs w:val="20"/>
          <w:lang w:val="en" w:eastAsia="en-AU"/>
        </w:rPr>
        <w:t>-</w:t>
      </w:r>
      <w:r w:rsidR="00582818" w:rsidRPr="00582818">
        <w:rPr>
          <w:rFonts w:eastAsia="Times New Roman" w:cs="Arial"/>
          <w:sz w:val="20"/>
          <w:szCs w:val="20"/>
          <w:lang w:val="en" w:eastAsia="en-AU"/>
        </w:rPr>
        <w:t>17</w:t>
      </w:r>
      <w:r w:rsidRPr="00310355">
        <w:rPr>
          <w:rFonts w:eastAsia="Times New Roman" w:cs="Arial"/>
          <w:sz w:val="20"/>
          <w:szCs w:val="20"/>
          <w:lang w:val="en" w:eastAsia="en-AU"/>
        </w:rPr>
        <w:t xml:space="preserve">, of the total </w:t>
      </w:r>
      <w:r w:rsidR="00983110" w:rsidRPr="00983110">
        <w:rPr>
          <w:rFonts w:eastAsia="Times New Roman" w:cs="Arial"/>
          <w:sz w:val="20"/>
          <w:szCs w:val="20"/>
          <w:lang w:val="en" w:eastAsia="en-AU"/>
        </w:rPr>
        <w:t>rubber</w:t>
      </w:r>
      <w:r w:rsidRPr="00983110">
        <w:rPr>
          <w:rFonts w:eastAsia="Times New Roman" w:cs="Arial"/>
          <w:sz w:val="20"/>
          <w:szCs w:val="20"/>
          <w:lang w:val="en" w:eastAsia="en-AU"/>
        </w:rPr>
        <w:t xml:space="preserve"> </w:t>
      </w:r>
      <w:r w:rsidRPr="00310355">
        <w:rPr>
          <w:rFonts w:eastAsia="Times New Roman" w:cs="Arial"/>
          <w:sz w:val="20"/>
          <w:szCs w:val="20"/>
          <w:lang w:val="en" w:eastAsia="en-AU"/>
        </w:rPr>
        <w:t>recovered:</w:t>
      </w:r>
    </w:p>
    <w:p w14:paraId="3D3F8E38" w14:textId="11A31C2C" w:rsidR="00DD5414" w:rsidRPr="00BA256A" w:rsidRDefault="00DD5414" w:rsidP="00D01076">
      <w:pPr>
        <w:pStyle w:val="ListBullet"/>
      </w:pPr>
      <w:r w:rsidRPr="00BA256A">
        <w:t xml:space="preserve">Rubber tyres accounted for </w:t>
      </w:r>
      <w:r w:rsidR="00582818">
        <w:t>91</w:t>
      </w:r>
      <w:r w:rsidRPr="00BA256A">
        <w:t xml:space="preserve">% </w:t>
      </w:r>
      <w:r w:rsidR="00582818">
        <w:t>decreasing</w:t>
      </w:r>
      <w:r w:rsidRPr="00BA256A">
        <w:t xml:space="preserve"> </w:t>
      </w:r>
      <w:r w:rsidR="00582818">
        <w:t>by</w:t>
      </w:r>
      <w:r w:rsidR="005611E9">
        <w:t xml:space="preserve"> 1</w:t>
      </w:r>
      <w:r w:rsidRPr="00BA256A">
        <w:t xml:space="preserve">% from the previous year to </w:t>
      </w:r>
      <w:r w:rsidR="00582818">
        <w:t>38</w:t>
      </w:r>
      <w:r w:rsidRPr="00BA256A">
        <w:t>,000 tonnes.</w:t>
      </w:r>
    </w:p>
    <w:p w14:paraId="4A3FC5CC" w14:textId="45EB32DB" w:rsidR="00DD5414" w:rsidRPr="00BA256A" w:rsidRDefault="00DD5414" w:rsidP="00D01076">
      <w:pPr>
        <w:pStyle w:val="ListBullet"/>
        <w:spacing w:after="120"/>
      </w:pPr>
      <w:r w:rsidRPr="00BA256A">
        <w:t>Other</w:t>
      </w:r>
      <w:r w:rsidR="005611E9">
        <w:t xml:space="preserve"> rubber waste</w:t>
      </w:r>
      <w:r w:rsidRPr="00BA256A">
        <w:t xml:space="preserve">, including tyre buffings and tread ends, uncured rubber and extrusion waste, accounted for </w:t>
      </w:r>
      <w:r w:rsidR="00582818">
        <w:t>9</w:t>
      </w:r>
      <w:r w:rsidRPr="00BA256A">
        <w:t xml:space="preserve">% or </w:t>
      </w:r>
      <w:r w:rsidR="00582818">
        <w:t>4</w:t>
      </w:r>
      <w:r w:rsidRPr="00BA256A">
        <w:t>,000 tonnes</w:t>
      </w:r>
      <w:r w:rsidR="005611E9">
        <w:t>.</w:t>
      </w:r>
      <w:r w:rsidRPr="00BA256A">
        <w:t xml:space="preserve"> </w:t>
      </w:r>
      <w:r w:rsidR="005611E9">
        <w:t>This was a decrease of 6</w:t>
      </w:r>
      <w:r w:rsidR="00582818">
        <w:t>1</w:t>
      </w:r>
      <w:r w:rsidR="005611E9">
        <w:t>%</w:t>
      </w:r>
      <w:r w:rsidRPr="00BA256A">
        <w:t>.</w:t>
      </w:r>
    </w:p>
    <w:p w14:paraId="74828A2E" w14:textId="0F763354" w:rsidR="00661D9B" w:rsidRPr="00310355" w:rsidRDefault="00DD5414" w:rsidP="00D01076">
      <w:pPr>
        <w:shd w:val="clear" w:color="auto" w:fill="FFFFFF"/>
        <w:spacing w:line="260" w:lineRule="atLeast"/>
        <w:jc w:val="both"/>
        <w:rPr>
          <w:rFonts w:eastAsia="Times New Roman" w:cs="Arial"/>
          <w:sz w:val="20"/>
          <w:szCs w:val="20"/>
          <w:lang w:val="en" w:eastAsia="en-AU"/>
        </w:rPr>
      </w:pPr>
      <w:r w:rsidRPr="00444BF7">
        <w:rPr>
          <w:rFonts w:eastAsia="Times New Roman" w:cs="Arial"/>
          <w:sz w:val="20"/>
          <w:szCs w:val="20"/>
          <w:lang w:val="en" w:eastAsia="en-AU"/>
        </w:rPr>
        <w:t>In 201</w:t>
      </w:r>
      <w:r w:rsidR="00582818" w:rsidRPr="00444BF7">
        <w:rPr>
          <w:rFonts w:eastAsia="Times New Roman" w:cs="Arial"/>
          <w:sz w:val="20"/>
          <w:szCs w:val="20"/>
          <w:lang w:val="en" w:eastAsia="en-AU"/>
        </w:rPr>
        <w:t>6</w:t>
      </w:r>
      <w:r w:rsidRPr="00444BF7">
        <w:rPr>
          <w:rFonts w:eastAsia="Times New Roman" w:cs="Arial"/>
          <w:sz w:val="20"/>
          <w:szCs w:val="20"/>
          <w:lang w:val="en" w:eastAsia="en-AU"/>
        </w:rPr>
        <w:t>-1</w:t>
      </w:r>
      <w:r w:rsidR="00582818" w:rsidRPr="00444BF7">
        <w:rPr>
          <w:rFonts w:eastAsia="Times New Roman" w:cs="Arial"/>
          <w:sz w:val="20"/>
          <w:szCs w:val="20"/>
          <w:lang w:val="en" w:eastAsia="en-AU"/>
        </w:rPr>
        <w:t>7</w:t>
      </w:r>
      <w:r w:rsidRPr="00444BF7">
        <w:rPr>
          <w:rFonts w:eastAsia="Times New Roman" w:cs="Arial"/>
          <w:sz w:val="20"/>
          <w:szCs w:val="20"/>
          <w:lang w:val="en" w:eastAsia="en-AU"/>
        </w:rPr>
        <w:t xml:space="preserve">, the </w:t>
      </w:r>
      <w:r w:rsidR="00FA4863" w:rsidRPr="00444BF7">
        <w:rPr>
          <w:rFonts w:eastAsia="Times New Roman" w:cs="Arial"/>
          <w:sz w:val="20"/>
          <w:szCs w:val="20"/>
          <w:lang w:val="en" w:eastAsia="en-AU"/>
        </w:rPr>
        <w:t>C&amp;I</w:t>
      </w:r>
      <w:r w:rsidRPr="00444BF7">
        <w:rPr>
          <w:rFonts w:eastAsia="Times New Roman" w:cs="Arial"/>
          <w:sz w:val="20"/>
          <w:szCs w:val="20"/>
          <w:lang w:val="en" w:eastAsia="en-AU"/>
        </w:rPr>
        <w:t xml:space="preserve"> </w:t>
      </w:r>
      <w:r w:rsidR="005611E9" w:rsidRPr="00444BF7">
        <w:rPr>
          <w:rFonts w:eastAsia="Times New Roman" w:cs="Arial"/>
          <w:sz w:val="20"/>
          <w:szCs w:val="20"/>
          <w:lang w:val="en" w:eastAsia="en-AU"/>
        </w:rPr>
        <w:t xml:space="preserve">sector contributed to the </w:t>
      </w:r>
      <w:r w:rsidR="00725FAE" w:rsidRPr="00444BF7">
        <w:rPr>
          <w:rFonts w:eastAsia="Times New Roman" w:cs="Arial"/>
          <w:sz w:val="20"/>
          <w:szCs w:val="20"/>
          <w:lang w:val="en" w:eastAsia="en-AU"/>
        </w:rPr>
        <w:t>majority</w:t>
      </w:r>
      <w:r w:rsidR="005611E9" w:rsidRPr="00444BF7">
        <w:rPr>
          <w:rFonts w:eastAsia="Times New Roman" w:cs="Arial"/>
          <w:sz w:val="20"/>
          <w:szCs w:val="20"/>
          <w:lang w:val="en" w:eastAsia="en-AU"/>
        </w:rPr>
        <w:t xml:space="preserve"> of total rubber recovery for reprocessing </w:t>
      </w:r>
      <w:r w:rsidRPr="00444BF7">
        <w:rPr>
          <w:rFonts w:eastAsia="Times New Roman" w:cs="Arial"/>
          <w:sz w:val="20"/>
          <w:szCs w:val="20"/>
          <w:lang w:val="en" w:eastAsia="en-AU"/>
        </w:rPr>
        <w:t>(</w:t>
      </w:r>
      <w:r w:rsidR="00661D9B" w:rsidRPr="00444BF7">
        <w:rPr>
          <w:rFonts w:eastAsia="Times New Roman" w:cs="Arial"/>
          <w:sz w:val="20"/>
          <w:szCs w:val="20"/>
          <w:lang w:val="en" w:eastAsia="en-AU"/>
        </w:rPr>
        <w:t>69</w:t>
      </w:r>
      <w:r w:rsidRPr="00444BF7">
        <w:rPr>
          <w:rFonts w:eastAsia="Times New Roman" w:cs="Arial"/>
          <w:sz w:val="20"/>
          <w:szCs w:val="20"/>
          <w:lang w:val="en" w:eastAsia="en-AU"/>
        </w:rPr>
        <w:t>%)</w:t>
      </w:r>
      <w:r w:rsidR="00661D9B" w:rsidRPr="00444BF7">
        <w:rPr>
          <w:rFonts w:eastAsia="Times New Roman" w:cs="Arial"/>
          <w:sz w:val="20"/>
          <w:szCs w:val="20"/>
          <w:lang w:val="en" w:eastAsia="en-AU"/>
        </w:rPr>
        <w:t xml:space="preserve"> and t</w:t>
      </w:r>
      <w:r w:rsidR="005611E9" w:rsidRPr="00444BF7">
        <w:rPr>
          <w:rFonts w:eastAsia="Times New Roman" w:cs="Arial"/>
          <w:sz w:val="20"/>
          <w:szCs w:val="20"/>
          <w:lang w:val="en" w:eastAsia="en-AU"/>
        </w:rPr>
        <w:t xml:space="preserve">he </w:t>
      </w:r>
      <w:r w:rsidRPr="00444BF7">
        <w:rPr>
          <w:rFonts w:eastAsia="Times New Roman" w:cs="Arial"/>
          <w:sz w:val="20"/>
          <w:szCs w:val="20"/>
          <w:lang w:val="en" w:eastAsia="en-AU"/>
        </w:rPr>
        <w:t>Municipal</w:t>
      </w:r>
      <w:r w:rsidR="00D328B3" w:rsidRPr="00444BF7">
        <w:rPr>
          <w:rFonts w:eastAsia="Times New Roman" w:cs="Arial"/>
          <w:sz w:val="20"/>
          <w:szCs w:val="20"/>
          <w:lang w:val="en" w:eastAsia="en-AU"/>
        </w:rPr>
        <w:t xml:space="preserve"> sector</w:t>
      </w:r>
      <w:r w:rsidRPr="00444BF7">
        <w:rPr>
          <w:rFonts w:eastAsia="Times New Roman" w:cs="Arial"/>
          <w:sz w:val="20"/>
          <w:szCs w:val="20"/>
          <w:lang w:val="en" w:eastAsia="en-AU"/>
        </w:rPr>
        <w:t xml:space="preserve"> </w:t>
      </w:r>
      <w:r w:rsidR="00661D9B" w:rsidRPr="00444BF7">
        <w:rPr>
          <w:rFonts w:eastAsia="Times New Roman" w:cs="Arial"/>
          <w:sz w:val="20"/>
          <w:szCs w:val="20"/>
          <w:lang w:val="en" w:eastAsia="en-AU"/>
        </w:rPr>
        <w:t xml:space="preserve">contributed with the remaining </w:t>
      </w:r>
      <w:r w:rsidRPr="00444BF7">
        <w:rPr>
          <w:rFonts w:eastAsia="Times New Roman" w:cs="Arial"/>
          <w:sz w:val="20"/>
          <w:szCs w:val="20"/>
          <w:lang w:val="en" w:eastAsia="en-AU"/>
        </w:rPr>
        <w:t>(</w:t>
      </w:r>
      <w:r w:rsidR="00661D9B" w:rsidRPr="00444BF7">
        <w:rPr>
          <w:rFonts w:eastAsia="Times New Roman" w:cs="Arial"/>
          <w:sz w:val="20"/>
          <w:szCs w:val="20"/>
          <w:lang w:val="en" w:eastAsia="en-AU"/>
        </w:rPr>
        <w:t>3</w:t>
      </w:r>
      <w:r w:rsidRPr="00444BF7">
        <w:rPr>
          <w:rFonts w:eastAsia="Times New Roman" w:cs="Arial"/>
          <w:sz w:val="20"/>
          <w:szCs w:val="20"/>
          <w:lang w:val="en" w:eastAsia="en-AU"/>
        </w:rPr>
        <w:t>1%)</w:t>
      </w:r>
      <w:r w:rsidR="00661D9B" w:rsidRPr="00444BF7">
        <w:rPr>
          <w:rFonts w:eastAsia="Times New Roman" w:cs="Arial"/>
          <w:sz w:val="20"/>
          <w:szCs w:val="20"/>
          <w:lang w:val="en" w:eastAsia="en-AU"/>
        </w:rPr>
        <w:t>. No recovery from the</w:t>
      </w:r>
      <w:r w:rsidR="005611E9" w:rsidRPr="00444BF7">
        <w:rPr>
          <w:rFonts w:eastAsia="Times New Roman" w:cs="Arial"/>
          <w:sz w:val="20"/>
          <w:szCs w:val="20"/>
          <w:lang w:val="en" w:eastAsia="en-AU"/>
        </w:rPr>
        <w:t xml:space="preserve"> </w:t>
      </w:r>
      <w:r w:rsidR="00D328B3" w:rsidRPr="00444BF7">
        <w:rPr>
          <w:rFonts w:eastAsia="Times New Roman" w:cs="Arial"/>
          <w:sz w:val="20"/>
          <w:szCs w:val="20"/>
          <w:lang w:val="en" w:eastAsia="en-AU"/>
        </w:rPr>
        <w:t>C&amp;D sector</w:t>
      </w:r>
      <w:r w:rsidR="005611E9" w:rsidRPr="00444BF7">
        <w:rPr>
          <w:rFonts w:eastAsia="Times New Roman" w:cs="Arial"/>
          <w:sz w:val="20"/>
          <w:szCs w:val="20"/>
          <w:lang w:val="en" w:eastAsia="en-AU"/>
        </w:rPr>
        <w:t xml:space="preserve"> </w:t>
      </w:r>
      <w:r w:rsidR="00661D9B" w:rsidRPr="00444BF7">
        <w:rPr>
          <w:rFonts w:eastAsia="Times New Roman" w:cs="Arial"/>
          <w:sz w:val="20"/>
          <w:szCs w:val="20"/>
          <w:lang w:val="en" w:eastAsia="en-AU"/>
        </w:rPr>
        <w:t>was reported</w:t>
      </w:r>
      <w:r w:rsidRPr="00444BF7">
        <w:rPr>
          <w:rFonts w:eastAsia="Times New Roman" w:cs="Arial"/>
          <w:sz w:val="20"/>
          <w:szCs w:val="20"/>
          <w:lang w:val="en" w:eastAsia="en-AU"/>
        </w:rPr>
        <w:t>. This</w:t>
      </w:r>
      <w:r w:rsidRPr="00444BF7" w:rsidDel="00FA040D">
        <w:rPr>
          <w:rFonts w:eastAsia="Times New Roman" w:cs="Arial"/>
          <w:sz w:val="20"/>
          <w:szCs w:val="20"/>
          <w:lang w:val="en" w:eastAsia="en-AU"/>
        </w:rPr>
        <w:t xml:space="preserve"> </w:t>
      </w:r>
      <w:r w:rsidRPr="00444BF7">
        <w:rPr>
          <w:rFonts w:eastAsia="Times New Roman" w:cs="Arial"/>
          <w:sz w:val="20"/>
          <w:szCs w:val="20"/>
          <w:lang w:val="en" w:eastAsia="en-AU"/>
        </w:rPr>
        <w:t xml:space="preserve">proportion </w:t>
      </w:r>
      <w:r w:rsidR="00725FAE" w:rsidRPr="00444BF7">
        <w:rPr>
          <w:rFonts w:eastAsia="Times New Roman" w:cs="Arial"/>
          <w:sz w:val="20"/>
          <w:szCs w:val="20"/>
          <w:lang w:val="en" w:eastAsia="en-AU"/>
        </w:rPr>
        <w:t>has remained</w:t>
      </w:r>
      <w:r w:rsidRPr="00444BF7">
        <w:rPr>
          <w:rFonts w:eastAsia="Times New Roman" w:cs="Arial"/>
          <w:sz w:val="20"/>
          <w:szCs w:val="20"/>
          <w:lang w:val="en" w:eastAsia="en-AU"/>
        </w:rPr>
        <w:t xml:space="preserve"> relatively unchanged </w:t>
      </w:r>
      <w:r w:rsidR="00725FAE" w:rsidRPr="00444BF7">
        <w:rPr>
          <w:rFonts w:eastAsia="Times New Roman" w:cs="Arial"/>
          <w:sz w:val="20"/>
          <w:szCs w:val="20"/>
          <w:lang w:val="en" w:eastAsia="en-AU"/>
        </w:rPr>
        <w:t>over the years</w:t>
      </w:r>
      <w:r w:rsidRPr="00444BF7">
        <w:rPr>
          <w:rFonts w:eastAsia="Times New Roman" w:cs="Arial"/>
          <w:sz w:val="20"/>
          <w:szCs w:val="20"/>
          <w:lang w:val="en" w:eastAsia="en-AU"/>
        </w:rPr>
        <w:t xml:space="preserve">. As </w:t>
      </w:r>
      <w:r w:rsidRPr="00444BF7">
        <w:rPr>
          <w:rFonts w:eastAsia="Times New Roman" w:cs="Arial"/>
          <w:sz w:val="20"/>
          <w:szCs w:val="20"/>
          <w:lang w:eastAsia="en-AU"/>
        </w:rPr>
        <w:t>tyres</w:t>
      </w:r>
      <w:r w:rsidRPr="00444BF7">
        <w:rPr>
          <w:rFonts w:eastAsia="Times New Roman" w:cs="Arial"/>
          <w:sz w:val="20"/>
          <w:szCs w:val="20"/>
          <w:lang w:val="en" w:eastAsia="en-AU"/>
        </w:rPr>
        <w:t xml:space="preserve"> for reprocessing are collected primarily through retailers, it is impossible to gauge the true quantities sourced from the Municipal sector by</w:t>
      </w:r>
      <w:r w:rsidR="00D01076">
        <w:rPr>
          <w:rFonts w:eastAsia="Times New Roman" w:cs="Arial"/>
          <w:sz w:val="20"/>
          <w:szCs w:val="20"/>
          <w:lang w:val="en" w:eastAsia="en-AU"/>
        </w:rPr>
        <w:t xml:space="preserve"> surveying reprocessors alone. </w:t>
      </w:r>
    </w:p>
    <w:p w14:paraId="294FD355" w14:textId="56EC82A2" w:rsidR="00DD5414" w:rsidRDefault="00DD5414" w:rsidP="00D01076">
      <w:pPr>
        <w:shd w:val="clear" w:color="auto" w:fill="FFFFFF"/>
        <w:spacing w:line="260" w:lineRule="atLeast"/>
        <w:jc w:val="both"/>
        <w:rPr>
          <w:rFonts w:eastAsia="Times New Roman" w:cs="Arial"/>
          <w:sz w:val="20"/>
          <w:szCs w:val="20"/>
          <w:lang w:val="en" w:eastAsia="en-AU"/>
        </w:rPr>
      </w:pPr>
      <w:r w:rsidRPr="00310355">
        <w:rPr>
          <w:rFonts w:eastAsia="Times New Roman" w:cs="Arial"/>
          <w:sz w:val="20"/>
          <w:szCs w:val="20"/>
          <w:lang w:val="en" w:eastAsia="en-AU"/>
        </w:rPr>
        <w:t xml:space="preserve">The </w:t>
      </w:r>
      <w:r w:rsidR="00725FAE">
        <w:rPr>
          <w:rFonts w:eastAsia="Times New Roman" w:cs="Arial"/>
          <w:sz w:val="20"/>
          <w:szCs w:val="20"/>
          <w:lang w:val="en" w:eastAsia="en-AU"/>
        </w:rPr>
        <w:t>graph</w:t>
      </w:r>
      <w:r w:rsidRPr="00310355">
        <w:rPr>
          <w:rFonts w:eastAsia="Times New Roman" w:cs="Arial"/>
          <w:sz w:val="20"/>
          <w:szCs w:val="20"/>
          <w:lang w:val="en" w:eastAsia="en-AU"/>
        </w:rPr>
        <w:t xml:space="preserve"> below shows</w:t>
      </w:r>
      <w:r w:rsidR="00725FAE">
        <w:rPr>
          <w:rFonts w:eastAsia="Times New Roman" w:cs="Arial"/>
          <w:sz w:val="20"/>
          <w:szCs w:val="20"/>
          <w:lang w:val="en" w:eastAsia="en-AU"/>
        </w:rPr>
        <w:t xml:space="preserve"> that after a consistent </w:t>
      </w:r>
      <w:r w:rsidRPr="00310355">
        <w:rPr>
          <w:rFonts w:eastAsia="Times New Roman" w:cs="Arial"/>
          <w:sz w:val="20"/>
          <w:szCs w:val="20"/>
          <w:lang w:val="en" w:eastAsia="en-AU"/>
        </w:rPr>
        <w:t xml:space="preserve">increasing trend in </w:t>
      </w:r>
      <w:r w:rsidRPr="00310355">
        <w:rPr>
          <w:rFonts w:eastAsia="Times New Roman" w:cs="Arial"/>
          <w:i/>
          <w:sz w:val="20"/>
          <w:szCs w:val="20"/>
          <w:lang w:val="en" w:eastAsia="en-AU"/>
        </w:rPr>
        <w:t>Rubber</w:t>
      </w:r>
      <w:r w:rsidRPr="00310355">
        <w:rPr>
          <w:rFonts w:eastAsia="Times New Roman" w:cs="Arial"/>
          <w:sz w:val="20"/>
          <w:szCs w:val="20"/>
          <w:lang w:val="en" w:eastAsia="en-AU"/>
        </w:rPr>
        <w:t xml:space="preserve"> recovery in Victoria </w:t>
      </w:r>
      <w:r w:rsidR="00725FAE" w:rsidRPr="00322921">
        <w:rPr>
          <w:rFonts w:eastAsia="Times New Roman" w:cs="Arial"/>
          <w:sz w:val="20"/>
          <w:szCs w:val="20"/>
          <w:lang w:val="en" w:eastAsia="en-AU"/>
        </w:rPr>
        <w:t xml:space="preserve">we are seeing a recoil trend </w:t>
      </w:r>
      <w:r w:rsidR="00661D9B">
        <w:rPr>
          <w:rFonts w:eastAsia="Times New Roman" w:cs="Arial"/>
          <w:sz w:val="20"/>
          <w:szCs w:val="20"/>
          <w:lang w:val="en" w:eastAsia="en-AU"/>
        </w:rPr>
        <w:t>over the last three</w:t>
      </w:r>
      <w:r w:rsidR="00725FAE" w:rsidRPr="00322921">
        <w:rPr>
          <w:rFonts w:eastAsia="Times New Roman" w:cs="Arial"/>
          <w:sz w:val="20"/>
          <w:szCs w:val="20"/>
          <w:lang w:val="en" w:eastAsia="en-AU"/>
        </w:rPr>
        <w:t xml:space="preserve"> years</w:t>
      </w:r>
      <w:r w:rsidRPr="00310355">
        <w:rPr>
          <w:rFonts w:eastAsia="Times New Roman" w:cs="Arial"/>
          <w:sz w:val="20"/>
          <w:szCs w:val="20"/>
          <w:lang w:val="en" w:eastAsia="en-AU"/>
        </w:rPr>
        <w:t>. Since collection of data for the VRIA</w:t>
      </w:r>
      <w:r w:rsidR="00BA256A">
        <w:rPr>
          <w:rFonts w:eastAsia="Times New Roman" w:cs="Arial"/>
          <w:sz w:val="20"/>
          <w:szCs w:val="20"/>
          <w:lang w:val="en" w:eastAsia="en-AU"/>
        </w:rPr>
        <w:t>R</w:t>
      </w:r>
      <w:r w:rsidRPr="00310355">
        <w:rPr>
          <w:rFonts w:eastAsia="Times New Roman" w:cs="Arial"/>
          <w:sz w:val="20"/>
          <w:szCs w:val="20"/>
          <w:lang w:val="en" w:eastAsia="en-AU"/>
        </w:rPr>
        <w:t xml:space="preserve"> began, Victoria has established a ban on tyres going into landfill as well as requesting an EPA works approval license to operate a tyre storage facility in Victoria storing more than 5,000 equivalent passenger units (EPU) or 40 tonnes of waste tyres. </w:t>
      </w:r>
    </w:p>
    <w:p w14:paraId="4A5C56F2" w14:textId="77777777" w:rsidR="00954A83" w:rsidRDefault="00954A83" w:rsidP="00D01076">
      <w:pPr>
        <w:shd w:val="clear" w:color="auto" w:fill="FFFFFF"/>
        <w:spacing w:line="260" w:lineRule="atLeast"/>
        <w:jc w:val="both"/>
        <w:rPr>
          <w:rFonts w:eastAsia="Times New Roman" w:cs="Arial"/>
          <w:sz w:val="20"/>
          <w:szCs w:val="20"/>
          <w:lang w:val="en" w:eastAsia="en-AU"/>
        </w:rPr>
      </w:pPr>
    </w:p>
    <w:p w14:paraId="3C2F6A22" w14:textId="3D82CEFE" w:rsidR="00DD5414" w:rsidRPr="00310355" w:rsidRDefault="00DD5414" w:rsidP="00420443">
      <w:pPr>
        <w:pStyle w:val="Caption"/>
      </w:pPr>
      <w:r w:rsidRPr="00310355">
        <w:t>Rubber waste recovered for reprocessing, Victoria 200</w:t>
      </w:r>
      <w:r w:rsidR="00661D9B">
        <w:t>7</w:t>
      </w:r>
      <w:r w:rsidRPr="00310355">
        <w:t>-0</w:t>
      </w:r>
      <w:r w:rsidR="00661D9B">
        <w:t>8</w:t>
      </w:r>
      <w:r w:rsidRPr="00310355">
        <w:t xml:space="preserve"> to 201</w:t>
      </w:r>
      <w:r w:rsidR="00661D9B">
        <w:t>6</w:t>
      </w:r>
      <w:r w:rsidRPr="00310355">
        <w:t>-1</w:t>
      </w:r>
      <w:r w:rsidR="00661D9B">
        <w:t>7</w:t>
      </w:r>
    </w:p>
    <w:p w14:paraId="4C30B3B3" w14:textId="090741E7" w:rsidR="009E2438" w:rsidRPr="00310355" w:rsidRDefault="00811D19" w:rsidP="00420443">
      <w:r w:rsidRPr="002F07F5">
        <w:rPr>
          <w:noProof/>
          <w:lang w:eastAsia="en-AU"/>
        </w:rPr>
        <w:drawing>
          <wp:inline distT="0" distB="0" distL="0" distR="0" wp14:anchorId="7677F163" wp14:editId="72746530">
            <wp:extent cx="4489200" cy="2642400"/>
            <wp:effectExtent l="0" t="0" r="698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89200" cy="2642400"/>
                    </a:xfrm>
                    <a:prstGeom prst="rect">
                      <a:avLst/>
                    </a:prstGeom>
                    <a:noFill/>
                    <a:ln>
                      <a:noFill/>
                    </a:ln>
                  </pic:spPr>
                </pic:pic>
              </a:graphicData>
            </a:graphic>
          </wp:inline>
        </w:drawing>
      </w:r>
      <w:bookmarkStart w:id="64" w:name="_GoBack"/>
      <w:bookmarkEnd w:id="64"/>
    </w:p>
    <w:sectPr w:rsidR="009E2438" w:rsidRPr="00310355" w:rsidSect="000109A9">
      <w:footerReference w:type="default" r:id="rId36"/>
      <w:headerReference w:type="first" r:id="rId37"/>
      <w:footerReference w:type="first" r:id="rId3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521D3" w14:textId="77777777" w:rsidR="0041785C" w:rsidRDefault="0041785C" w:rsidP="007C2987">
      <w:pPr>
        <w:spacing w:after="0" w:line="240" w:lineRule="auto"/>
      </w:pPr>
      <w:r>
        <w:separator/>
      </w:r>
    </w:p>
  </w:endnote>
  <w:endnote w:type="continuationSeparator" w:id="0">
    <w:p w14:paraId="294C0C19" w14:textId="77777777" w:rsidR="0041785C" w:rsidRDefault="0041785C" w:rsidP="007C2987">
      <w:pPr>
        <w:spacing w:after="0" w:line="240" w:lineRule="auto"/>
      </w:pPr>
      <w:r>
        <w:continuationSeparator/>
      </w:r>
    </w:p>
  </w:endnote>
  <w:endnote w:type="continuationNotice" w:id="1">
    <w:p w14:paraId="6950B652" w14:textId="77777777" w:rsidR="0041785C" w:rsidRDefault="00417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88BE" w14:textId="0FD2EFAA" w:rsidR="000109A9" w:rsidRPr="00CF2155" w:rsidRDefault="000109A9" w:rsidP="000109A9">
    <w:pPr>
      <w:pStyle w:val="Footer"/>
      <w:tabs>
        <w:tab w:val="clear" w:pos="4513"/>
      </w:tabs>
      <w:rPr>
        <w:rFonts w:cs="Arial"/>
        <w:position w:val="-6"/>
        <w:sz w:val="16"/>
        <w:szCs w:val="16"/>
      </w:rPr>
    </w:pPr>
    <w:r w:rsidRPr="00CF2155">
      <w:rPr>
        <w:rFonts w:cs="Arial"/>
        <w:position w:val="-6"/>
        <w:sz w:val="16"/>
        <w:szCs w:val="16"/>
      </w:rPr>
      <w:t>Victoria Recycling Industry Annual Report 2016-17</w:t>
    </w:r>
    <w:r w:rsidRPr="00CF2155">
      <w:rPr>
        <w:rFonts w:cs="Arial"/>
        <w:position w:val="-6"/>
        <w:sz w:val="16"/>
        <w:szCs w:val="16"/>
      </w:rPr>
      <w:tab/>
    </w:r>
    <w:r w:rsidRPr="00CF2155">
      <w:rPr>
        <w:rFonts w:cs="Arial"/>
        <w:position w:val="-6"/>
        <w:sz w:val="16"/>
        <w:szCs w:val="16"/>
      </w:rPr>
      <w:fldChar w:fldCharType="begin"/>
    </w:r>
    <w:r w:rsidRPr="00CF2155">
      <w:rPr>
        <w:rFonts w:cs="Arial"/>
        <w:position w:val="-6"/>
        <w:sz w:val="16"/>
        <w:szCs w:val="16"/>
      </w:rPr>
      <w:instrText xml:space="preserve"> PAGE   \* MERGEFORMAT </w:instrText>
    </w:r>
    <w:r w:rsidRPr="00CF2155">
      <w:rPr>
        <w:rFonts w:cs="Arial"/>
        <w:position w:val="-6"/>
        <w:sz w:val="16"/>
        <w:szCs w:val="16"/>
      </w:rPr>
      <w:fldChar w:fldCharType="separate"/>
    </w:r>
    <w:r w:rsidR="00811D19">
      <w:rPr>
        <w:rFonts w:cs="Arial"/>
        <w:noProof/>
        <w:position w:val="-6"/>
        <w:sz w:val="16"/>
        <w:szCs w:val="16"/>
      </w:rPr>
      <w:t>27</w:t>
    </w:r>
    <w:r w:rsidRPr="00CF2155">
      <w:rPr>
        <w:rFonts w:cs="Arial"/>
        <w:noProof/>
        <w:position w:val="-6"/>
        <w:sz w:val="16"/>
        <w:szCs w:val="16"/>
      </w:rPr>
      <w:fldChar w:fldCharType="end"/>
    </w:r>
  </w:p>
  <w:p w14:paraId="6FC7300B" w14:textId="72F200C9" w:rsidR="0041785C" w:rsidRDefault="0041785C" w:rsidP="00B300C1">
    <w:pPr>
      <w:pStyle w:val="Footer"/>
      <w:ind w:left="3600"/>
      <w:jc w:val="right"/>
    </w:pPr>
    <w:r w:rsidRPr="001A485B">
      <w:rPr>
        <w:noProof/>
        <w:lang w:eastAsia="en-AU"/>
      </w:rPr>
      <w:drawing>
        <wp:inline distT="0" distB="0" distL="0" distR="0" wp14:anchorId="5E72B762" wp14:editId="79AE52C8">
          <wp:extent cx="2395434" cy="709029"/>
          <wp:effectExtent l="0" t="0" r="0" b="0"/>
          <wp:docPr id="15" name="Picture 15" descr="http://intranet/Teams/Comms/ImageLibrary/SVLockup_Pos_Green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ams/Comms/ImageLibrary/SVLockup_Pos_Green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506" cy="71881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A733" w14:textId="362B5CFF" w:rsidR="0041785C" w:rsidRPr="0041785C" w:rsidRDefault="000109A9" w:rsidP="000109A9">
    <w:pPr>
      <w:pStyle w:val="Footer"/>
      <w:jc w:val="right"/>
    </w:pPr>
    <w:r w:rsidRPr="001A485B">
      <w:rPr>
        <w:noProof/>
        <w:lang w:eastAsia="en-AU"/>
      </w:rPr>
      <w:drawing>
        <wp:inline distT="0" distB="0" distL="0" distR="0" wp14:anchorId="389B7762" wp14:editId="3F3FAEC9">
          <wp:extent cx="2395434" cy="709029"/>
          <wp:effectExtent l="0" t="0" r="0" b="0"/>
          <wp:docPr id="16" name="Picture 16" descr="http://intranet/Teams/Comms/ImageLibrary/SVLockup_Pos_Green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ams/Comms/ImageLibrary/SVLockup_Pos_Green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506" cy="7188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BF8D" w14:textId="77777777" w:rsidR="0041785C" w:rsidRDefault="0041785C" w:rsidP="007C2987">
      <w:pPr>
        <w:spacing w:after="0" w:line="240" w:lineRule="auto"/>
      </w:pPr>
      <w:r>
        <w:separator/>
      </w:r>
    </w:p>
  </w:footnote>
  <w:footnote w:type="continuationSeparator" w:id="0">
    <w:p w14:paraId="3C514170" w14:textId="77777777" w:rsidR="0041785C" w:rsidRDefault="0041785C" w:rsidP="007C2987">
      <w:pPr>
        <w:spacing w:after="0" w:line="240" w:lineRule="auto"/>
      </w:pPr>
      <w:r>
        <w:continuationSeparator/>
      </w:r>
    </w:p>
  </w:footnote>
  <w:footnote w:type="continuationNotice" w:id="1">
    <w:p w14:paraId="31DF798B" w14:textId="77777777" w:rsidR="0041785C" w:rsidRDefault="0041785C">
      <w:pPr>
        <w:spacing w:after="0" w:line="240" w:lineRule="auto"/>
      </w:pPr>
    </w:p>
  </w:footnote>
  <w:footnote w:id="2">
    <w:p w14:paraId="1B6A929D" w14:textId="4FD6B02B" w:rsidR="0041785C" w:rsidRDefault="0041785C">
      <w:pPr>
        <w:pStyle w:val="FootnoteText"/>
      </w:pPr>
      <w:r>
        <w:rPr>
          <w:rStyle w:val="FootnoteReference"/>
        </w:rPr>
        <w:footnoteRef/>
      </w:r>
      <w:r>
        <w:t xml:space="preserve"> </w:t>
      </w:r>
      <w:r w:rsidRPr="00220C92">
        <w:t xml:space="preserve">In 2014-15 a new methodology for calculating recovery rates and landfill data was introduced to provide a better estimate of the total waste disposed to landfill in Victoria. From 2014-15, landfill data now includes a 15% daily cover which had been previously excluded in past reports. This will enable comparison with other states and the National Waste Report produced by the Department of the Environment and Energy. Historical landfill data in the Victorian Recycling Industry Annual Reports has been modified to reflect this updated methodology. This change has resulted in an approximate </w:t>
      </w:r>
      <w:r>
        <w:t>four</w:t>
      </w:r>
      <w:r w:rsidRPr="00220C92">
        <w:t xml:space="preserve"> percentage point drop in</w:t>
      </w:r>
      <w:r>
        <w:t xml:space="preserve"> previously</w:t>
      </w:r>
      <w:r w:rsidRPr="00220C92">
        <w:t xml:space="preserve"> published recovery rates.</w:t>
      </w:r>
    </w:p>
  </w:footnote>
  <w:footnote w:id="3">
    <w:p w14:paraId="5403C466" w14:textId="32134791" w:rsidR="0041785C" w:rsidRDefault="0041785C">
      <w:pPr>
        <w:pStyle w:val="FootnoteText"/>
      </w:pPr>
      <w:r>
        <w:rPr>
          <w:rStyle w:val="FootnoteReference"/>
        </w:rPr>
        <w:footnoteRef/>
      </w:r>
      <w:r>
        <w:t xml:space="preserve"> In 2015-16 the category of “Other” included e-waste material, this has now been apportioned into its component parts such as metal, plastic etc. hence no data is shown for 2016-17.</w:t>
      </w:r>
    </w:p>
  </w:footnote>
  <w:footnote w:id="4">
    <w:p w14:paraId="51A7CC8D" w14:textId="11FFB2F0" w:rsidR="0041785C" w:rsidRDefault="0041785C">
      <w:pPr>
        <w:pStyle w:val="FootnoteText"/>
      </w:pPr>
      <w:r>
        <w:rPr>
          <w:rStyle w:val="FootnoteReference"/>
        </w:rPr>
        <w:footnoteRef/>
      </w:r>
      <w:r>
        <w:t xml:space="preserve"> </w:t>
      </w:r>
      <w:r>
        <w:rPr>
          <w:color w:val="auto"/>
          <w:sz w:val="18"/>
          <w:szCs w:val="18"/>
        </w:rPr>
        <w:t>Envisage Works</w:t>
      </w:r>
      <w:r w:rsidRPr="00C54BA5">
        <w:rPr>
          <w:color w:val="auto"/>
          <w:sz w:val="18"/>
          <w:szCs w:val="18"/>
        </w:rPr>
        <w:t xml:space="preserve">, </w:t>
      </w:r>
      <w:r w:rsidRPr="00C54BA5">
        <w:rPr>
          <w:i/>
          <w:color w:val="auto"/>
          <w:sz w:val="18"/>
          <w:szCs w:val="18"/>
        </w:rPr>
        <w:t>201</w:t>
      </w:r>
      <w:r>
        <w:rPr>
          <w:i/>
          <w:color w:val="auto"/>
          <w:sz w:val="18"/>
          <w:szCs w:val="18"/>
        </w:rPr>
        <w:t>6</w:t>
      </w:r>
      <w:r w:rsidRPr="00C54BA5">
        <w:rPr>
          <w:i/>
          <w:color w:val="auto"/>
          <w:sz w:val="18"/>
          <w:szCs w:val="18"/>
        </w:rPr>
        <w:t>-1</w:t>
      </w:r>
      <w:r>
        <w:rPr>
          <w:i/>
          <w:color w:val="auto"/>
          <w:sz w:val="18"/>
          <w:szCs w:val="18"/>
        </w:rPr>
        <w:t>7 Australian</w:t>
      </w:r>
      <w:r w:rsidRPr="00C54BA5">
        <w:rPr>
          <w:i/>
          <w:color w:val="auto"/>
          <w:sz w:val="18"/>
          <w:szCs w:val="18"/>
        </w:rPr>
        <w:t xml:space="preserve"> Plastics Recycling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3782" w14:textId="30EB2757" w:rsidR="0041785C" w:rsidRDefault="00AC0BF2">
    <w:pPr>
      <w:pStyle w:val="Header"/>
    </w:pPr>
    <w:r>
      <w:rPr>
        <w:noProof/>
        <w:lang w:eastAsia="en-AU"/>
      </w:rPr>
      <w:drawing>
        <wp:anchor distT="0" distB="0" distL="114300" distR="114300" simplePos="0" relativeHeight="251658240" behindDoc="0" locked="0" layoutInCell="1" allowOverlap="1" wp14:anchorId="4851048E" wp14:editId="12F660E9">
          <wp:simplePos x="0" y="0"/>
          <wp:positionH relativeFrom="page">
            <wp:align>left</wp:align>
          </wp:positionH>
          <wp:positionV relativeFrom="page">
            <wp:align>top</wp:align>
          </wp:positionV>
          <wp:extent cx="7556400" cy="1069200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E026 Recycling Industry Annual Report 2016-17 Cov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617873A8" w14:textId="77777777" w:rsidR="0041785C" w:rsidRDefault="0041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25E"/>
    <w:multiLevelType w:val="multilevel"/>
    <w:tmpl w:val="A30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F1437"/>
    <w:multiLevelType w:val="hybridMultilevel"/>
    <w:tmpl w:val="E306E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A32D4A"/>
    <w:multiLevelType w:val="hybridMultilevel"/>
    <w:tmpl w:val="3886CFCE"/>
    <w:lvl w:ilvl="0" w:tplc="D1401F4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81E92"/>
    <w:multiLevelType w:val="multilevel"/>
    <w:tmpl w:val="D20A78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B38749C"/>
    <w:multiLevelType w:val="hybridMultilevel"/>
    <w:tmpl w:val="855C8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98370D"/>
    <w:multiLevelType w:val="hybridMultilevel"/>
    <w:tmpl w:val="A76A0B24"/>
    <w:lvl w:ilvl="0" w:tplc="EEC4757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7062A"/>
    <w:multiLevelType w:val="multilevel"/>
    <w:tmpl w:val="3030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B3A2C"/>
    <w:multiLevelType w:val="hybridMultilevel"/>
    <w:tmpl w:val="C3145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4073DB"/>
    <w:multiLevelType w:val="hybridMultilevel"/>
    <w:tmpl w:val="34DEA532"/>
    <w:lvl w:ilvl="0" w:tplc="E6F871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4B1BAB"/>
    <w:multiLevelType w:val="hybridMultilevel"/>
    <w:tmpl w:val="5A70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D021D0"/>
    <w:multiLevelType w:val="multilevel"/>
    <w:tmpl w:val="E1A8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C7CCB"/>
    <w:multiLevelType w:val="hybridMultilevel"/>
    <w:tmpl w:val="827C6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772FAE"/>
    <w:multiLevelType w:val="multilevel"/>
    <w:tmpl w:val="D87E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F386D"/>
    <w:multiLevelType w:val="hybridMultilevel"/>
    <w:tmpl w:val="BBFAF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312E42"/>
    <w:multiLevelType w:val="hybridMultilevel"/>
    <w:tmpl w:val="A74A7134"/>
    <w:lvl w:ilvl="0" w:tplc="3C3046E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BB098F"/>
    <w:multiLevelType w:val="hybridMultilevel"/>
    <w:tmpl w:val="E0EC4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89F360"/>
    <w:multiLevelType w:val="hybridMultilevel"/>
    <w:tmpl w:val="1DAF75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91170A"/>
    <w:multiLevelType w:val="hybridMultilevel"/>
    <w:tmpl w:val="AA005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C251EC"/>
    <w:multiLevelType w:val="multilevel"/>
    <w:tmpl w:val="251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701C9"/>
    <w:multiLevelType w:val="hybridMultilevel"/>
    <w:tmpl w:val="4080F796"/>
    <w:lvl w:ilvl="0" w:tplc="047A3E8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661F4"/>
    <w:multiLevelType w:val="multilevel"/>
    <w:tmpl w:val="5260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75FFE"/>
    <w:multiLevelType w:val="hybridMultilevel"/>
    <w:tmpl w:val="E0D274D0"/>
    <w:lvl w:ilvl="0" w:tplc="047A3E8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D538C"/>
    <w:multiLevelType w:val="multilevel"/>
    <w:tmpl w:val="F5F45B82"/>
    <w:lvl w:ilvl="0">
      <w:start w:val="1"/>
      <w:numFmt w:val="upperRoman"/>
      <w:pStyle w:val="Heading1"/>
      <w:lvlText w:val="Article %1."/>
      <w:lvlJc w:val="left"/>
      <w:pPr>
        <w:tabs>
          <w:tab w:val="num" w:pos="1440"/>
        </w:tabs>
        <w:ind w:left="0" w:firstLine="0"/>
      </w:pPr>
      <w:rPr>
        <w:rFonts w:hint="default"/>
      </w:rPr>
    </w:lvl>
    <w:lvl w:ilvl="1">
      <w:start w:val="1"/>
      <w:numFmt w:val="none"/>
      <w:isLgl/>
      <w:lvlText w:val="1."/>
      <w:lvlJc w:val="left"/>
      <w:pPr>
        <w:tabs>
          <w:tab w:val="num" w:pos="1080"/>
        </w:tabs>
        <w:ind w:left="0" w:firstLine="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3" w15:restartNumberingAfterBreak="0">
    <w:nsid w:val="64705895"/>
    <w:multiLevelType w:val="multilevel"/>
    <w:tmpl w:val="344460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64B546C7"/>
    <w:multiLevelType w:val="hybridMultilevel"/>
    <w:tmpl w:val="2624B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D94E7F"/>
    <w:multiLevelType w:val="hybridMultilevel"/>
    <w:tmpl w:val="2194A186"/>
    <w:lvl w:ilvl="0" w:tplc="0EF2CD5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431CE2"/>
    <w:multiLevelType w:val="multilevel"/>
    <w:tmpl w:val="D20A78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6B0D1A6D"/>
    <w:multiLevelType w:val="hybridMultilevel"/>
    <w:tmpl w:val="1DA6BF7E"/>
    <w:lvl w:ilvl="0" w:tplc="047A3E8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F237E"/>
    <w:multiLevelType w:val="hybridMultilevel"/>
    <w:tmpl w:val="67C68E10"/>
    <w:lvl w:ilvl="0" w:tplc="8586D8EA">
      <w:start w:val="1"/>
      <w:numFmt w:val="bullet"/>
      <w:pStyle w:val="Style1"/>
      <w:lvlText w:val=""/>
      <w:lvlJc w:val="left"/>
      <w:pPr>
        <w:tabs>
          <w:tab w:val="num" w:pos="644"/>
        </w:tabs>
        <w:ind w:left="644" w:hanging="360"/>
      </w:pPr>
      <w:rPr>
        <w:rFonts w:ascii="Symbol" w:eastAsia="Times New Roman" w:hAnsi="Symbol" w:cs="Arial" w:hint="default"/>
      </w:rPr>
    </w:lvl>
    <w:lvl w:ilvl="1" w:tplc="0C090003" w:tentative="1">
      <w:start w:val="1"/>
      <w:numFmt w:val="bullet"/>
      <w:lvlText w:val="o"/>
      <w:lvlJc w:val="left"/>
      <w:pPr>
        <w:tabs>
          <w:tab w:val="num" w:pos="1364"/>
        </w:tabs>
        <w:ind w:left="1364" w:hanging="360"/>
      </w:pPr>
      <w:rPr>
        <w:rFonts w:ascii="Courier New" w:hAnsi="Courier New" w:cs="Arial"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Arial"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Arial"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A4A3961"/>
    <w:multiLevelType w:val="hybridMultilevel"/>
    <w:tmpl w:val="D6004D06"/>
    <w:lvl w:ilvl="0" w:tplc="3738D46C">
      <w:start w:val="1"/>
      <w:numFmt w:val="bullet"/>
      <w:pStyle w:val="List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A6513C"/>
    <w:multiLevelType w:val="multilevel"/>
    <w:tmpl w:val="3FC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5"/>
  </w:num>
  <w:num w:numId="5">
    <w:abstractNumId w:val="26"/>
  </w:num>
  <w:num w:numId="6">
    <w:abstractNumId w:val="19"/>
  </w:num>
  <w:num w:numId="7">
    <w:abstractNumId w:val="27"/>
  </w:num>
  <w:num w:numId="8">
    <w:abstractNumId w:val="21"/>
  </w:num>
  <w:num w:numId="9">
    <w:abstractNumId w:val="29"/>
  </w:num>
  <w:num w:numId="10">
    <w:abstractNumId w:val="28"/>
  </w:num>
  <w:num w:numId="11">
    <w:abstractNumId w:val="10"/>
  </w:num>
  <w:num w:numId="12">
    <w:abstractNumId w:val="23"/>
  </w:num>
  <w:num w:numId="13">
    <w:abstractNumId w:val="20"/>
  </w:num>
  <w:num w:numId="14">
    <w:abstractNumId w:val="12"/>
  </w:num>
  <w:num w:numId="15">
    <w:abstractNumId w:val="18"/>
  </w:num>
  <w:num w:numId="16">
    <w:abstractNumId w:val="7"/>
  </w:num>
  <w:num w:numId="17">
    <w:abstractNumId w:val="6"/>
  </w:num>
  <w:num w:numId="18">
    <w:abstractNumId w:val="30"/>
  </w:num>
  <w:num w:numId="19">
    <w:abstractNumId w:val="0"/>
  </w:num>
  <w:num w:numId="20">
    <w:abstractNumId w:val="25"/>
  </w:num>
  <w:num w:numId="21">
    <w:abstractNumId w:val="17"/>
  </w:num>
  <w:num w:numId="22">
    <w:abstractNumId w:val="2"/>
  </w:num>
  <w:num w:numId="23">
    <w:abstractNumId w:val="16"/>
  </w:num>
  <w:num w:numId="24">
    <w:abstractNumId w:val="8"/>
  </w:num>
  <w:num w:numId="25">
    <w:abstractNumId w:val="15"/>
  </w:num>
  <w:num w:numId="26">
    <w:abstractNumId w:val="11"/>
  </w:num>
  <w:num w:numId="27">
    <w:abstractNumId w:val="24"/>
  </w:num>
  <w:num w:numId="28">
    <w:abstractNumId w:val="4"/>
  </w:num>
  <w:num w:numId="29">
    <w:abstractNumId w:val="14"/>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13"/>
    <w:rsid w:val="0000086B"/>
    <w:rsid w:val="0000536E"/>
    <w:rsid w:val="0000783C"/>
    <w:rsid w:val="00007DEC"/>
    <w:rsid w:val="000109A9"/>
    <w:rsid w:val="00012A0C"/>
    <w:rsid w:val="00015063"/>
    <w:rsid w:val="000254B0"/>
    <w:rsid w:val="00037925"/>
    <w:rsid w:val="00043051"/>
    <w:rsid w:val="00043125"/>
    <w:rsid w:val="000453DA"/>
    <w:rsid w:val="00046C8C"/>
    <w:rsid w:val="0006113D"/>
    <w:rsid w:val="00062AE1"/>
    <w:rsid w:val="00064428"/>
    <w:rsid w:val="0007386C"/>
    <w:rsid w:val="00074C2A"/>
    <w:rsid w:val="00080443"/>
    <w:rsid w:val="00084FCD"/>
    <w:rsid w:val="0009301D"/>
    <w:rsid w:val="00093DFA"/>
    <w:rsid w:val="000A3458"/>
    <w:rsid w:val="000B6287"/>
    <w:rsid w:val="000B6592"/>
    <w:rsid w:val="000B7DE1"/>
    <w:rsid w:val="000C0A22"/>
    <w:rsid w:val="000C2FDA"/>
    <w:rsid w:val="000C6B73"/>
    <w:rsid w:val="000D189E"/>
    <w:rsid w:val="000D24C3"/>
    <w:rsid w:val="000D390B"/>
    <w:rsid w:val="000F2C4C"/>
    <w:rsid w:val="000F315A"/>
    <w:rsid w:val="000F62B2"/>
    <w:rsid w:val="000F6955"/>
    <w:rsid w:val="000F6EFB"/>
    <w:rsid w:val="00105C0D"/>
    <w:rsid w:val="00107CD9"/>
    <w:rsid w:val="00110723"/>
    <w:rsid w:val="00112A53"/>
    <w:rsid w:val="00116C6A"/>
    <w:rsid w:val="001229C1"/>
    <w:rsid w:val="00123474"/>
    <w:rsid w:val="00124BDC"/>
    <w:rsid w:val="00126BFD"/>
    <w:rsid w:val="00127EB8"/>
    <w:rsid w:val="00131445"/>
    <w:rsid w:val="00132D61"/>
    <w:rsid w:val="00135368"/>
    <w:rsid w:val="001354FA"/>
    <w:rsid w:val="00136316"/>
    <w:rsid w:val="001419F6"/>
    <w:rsid w:val="001479A3"/>
    <w:rsid w:val="001549C0"/>
    <w:rsid w:val="00154D25"/>
    <w:rsid w:val="00161E7F"/>
    <w:rsid w:val="00162021"/>
    <w:rsid w:val="001626C0"/>
    <w:rsid w:val="00164B52"/>
    <w:rsid w:val="001660D0"/>
    <w:rsid w:val="00181981"/>
    <w:rsid w:val="001847C4"/>
    <w:rsid w:val="001A485B"/>
    <w:rsid w:val="001A750B"/>
    <w:rsid w:val="001C5317"/>
    <w:rsid w:val="001E7416"/>
    <w:rsid w:val="001F1291"/>
    <w:rsid w:val="001F1E42"/>
    <w:rsid w:val="001F26D4"/>
    <w:rsid w:val="001F368F"/>
    <w:rsid w:val="001F49FD"/>
    <w:rsid w:val="001F5309"/>
    <w:rsid w:val="001F5E61"/>
    <w:rsid w:val="00201D47"/>
    <w:rsid w:val="00201E49"/>
    <w:rsid w:val="0020311E"/>
    <w:rsid w:val="002120F2"/>
    <w:rsid w:val="002127EE"/>
    <w:rsid w:val="00213966"/>
    <w:rsid w:val="0022005B"/>
    <w:rsid w:val="00220C92"/>
    <w:rsid w:val="002210C4"/>
    <w:rsid w:val="00226E4B"/>
    <w:rsid w:val="002332DB"/>
    <w:rsid w:val="0024277C"/>
    <w:rsid w:val="00253EE4"/>
    <w:rsid w:val="00257EC2"/>
    <w:rsid w:val="00262425"/>
    <w:rsid w:val="00263553"/>
    <w:rsid w:val="00265AD4"/>
    <w:rsid w:val="00267B66"/>
    <w:rsid w:val="00271077"/>
    <w:rsid w:val="00275AB1"/>
    <w:rsid w:val="002765F5"/>
    <w:rsid w:val="002855F6"/>
    <w:rsid w:val="00297DED"/>
    <w:rsid w:val="002A1067"/>
    <w:rsid w:val="002A2362"/>
    <w:rsid w:val="002A2CDE"/>
    <w:rsid w:val="002A32F5"/>
    <w:rsid w:val="002A6642"/>
    <w:rsid w:val="002B0889"/>
    <w:rsid w:val="002B3DC6"/>
    <w:rsid w:val="002C1FF1"/>
    <w:rsid w:val="002C27A5"/>
    <w:rsid w:val="002D6ADC"/>
    <w:rsid w:val="002E0D92"/>
    <w:rsid w:val="002E6905"/>
    <w:rsid w:val="002F4C70"/>
    <w:rsid w:val="002F66D1"/>
    <w:rsid w:val="00310355"/>
    <w:rsid w:val="003104C7"/>
    <w:rsid w:val="00310BD9"/>
    <w:rsid w:val="003138A0"/>
    <w:rsid w:val="0031580E"/>
    <w:rsid w:val="00321076"/>
    <w:rsid w:val="00325C6F"/>
    <w:rsid w:val="00336309"/>
    <w:rsid w:val="003404A8"/>
    <w:rsid w:val="00341AC5"/>
    <w:rsid w:val="0034297A"/>
    <w:rsid w:val="00344099"/>
    <w:rsid w:val="003440B6"/>
    <w:rsid w:val="00351ED7"/>
    <w:rsid w:val="00352421"/>
    <w:rsid w:val="0035772F"/>
    <w:rsid w:val="00362931"/>
    <w:rsid w:val="00366F8E"/>
    <w:rsid w:val="003747D4"/>
    <w:rsid w:val="00375280"/>
    <w:rsid w:val="0037644B"/>
    <w:rsid w:val="00386BA3"/>
    <w:rsid w:val="00391403"/>
    <w:rsid w:val="00393F3E"/>
    <w:rsid w:val="003A091E"/>
    <w:rsid w:val="003A1FE0"/>
    <w:rsid w:val="003A35B4"/>
    <w:rsid w:val="003A424D"/>
    <w:rsid w:val="003A6929"/>
    <w:rsid w:val="003B40F6"/>
    <w:rsid w:val="003B6E20"/>
    <w:rsid w:val="003B6E4D"/>
    <w:rsid w:val="003C1E7E"/>
    <w:rsid w:val="003D2232"/>
    <w:rsid w:val="003E0E97"/>
    <w:rsid w:val="003E457A"/>
    <w:rsid w:val="003F2EF3"/>
    <w:rsid w:val="00405DE3"/>
    <w:rsid w:val="00406C57"/>
    <w:rsid w:val="00407E36"/>
    <w:rsid w:val="00407EE1"/>
    <w:rsid w:val="00413913"/>
    <w:rsid w:val="0041785C"/>
    <w:rsid w:val="00420443"/>
    <w:rsid w:val="00422EA5"/>
    <w:rsid w:val="00423F93"/>
    <w:rsid w:val="004262AF"/>
    <w:rsid w:val="00427E3E"/>
    <w:rsid w:val="00430496"/>
    <w:rsid w:val="0043290E"/>
    <w:rsid w:val="004374BE"/>
    <w:rsid w:val="00437714"/>
    <w:rsid w:val="00437BA7"/>
    <w:rsid w:val="00444198"/>
    <w:rsid w:val="00444BF7"/>
    <w:rsid w:val="00452EBD"/>
    <w:rsid w:val="004541E3"/>
    <w:rsid w:val="00460228"/>
    <w:rsid w:val="00462D81"/>
    <w:rsid w:val="004644CC"/>
    <w:rsid w:val="00466044"/>
    <w:rsid w:val="00471B50"/>
    <w:rsid w:val="00472EBE"/>
    <w:rsid w:val="00491DED"/>
    <w:rsid w:val="00491F1C"/>
    <w:rsid w:val="004A3ABC"/>
    <w:rsid w:val="004A3FA3"/>
    <w:rsid w:val="004B2628"/>
    <w:rsid w:val="004B38EB"/>
    <w:rsid w:val="004C59E0"/>
    <w:rsid w:val="004D07E7"/>
    <w:rsid w:val="004D0DEB"/>
    <w:rsid w:val="004D438E"/>
    <w:rsid w:val="004D5968"/>
    <w:rsid w:val="004E7802"/>
    <w:rsid w:val="004F1964"/>
    <w:rsid w:val="004F6B51"/>
    <w:rsid w:val="004F79B1"/>
    <w:rsid w:val="004F7D42"/>
    <w:rsid w:val="0050092D"/>
    <w:rsid w:val="00506AB0"/>
    <w:rsid w:val="00512079"/>
    <w:rsid w:val="005136B8"/>
    <w:rsid w:val="00521D1A"/>
    <w:rsid w:val="00523199"/>
    <w:rsid w:val="00523FFA"/>
    <w:rsid w:val="0053468E"/>
    <w:rsid w:val="00543E60"/>
    <w:rsid w:val="00556D02"/>
    <w:rsid w:val="005611E9"/>
    <w:rsid w:val="0056477A"/>
    <w:rsid w:val="00565E51"/>
    <w:rsid w:val="00566DDB"/>
    <w:rsid w:val="00582818"/>
    <w:rsid w:val="0058345F"/>
    <w:rsid w:val="00583E8F"/>
    <w:rsid w:val="005920E7"/>
    <w:rsid w:val="00593E79"/>
    <w:rsid w:val="0059616D"/>
    <w:rsid w:val="005A0CA1"/>
    <w:rsid w:val="005A0D35"/>
    <w:rsid w:val="005A0D4A"/>
    <w:rsid w:val="005A1E1D"/>
    <w:rsid w:val="005A33E9"/>
    <w:rsid w:val="005A3C70"/>
    <w:rsid w:val="005A4F9C"/>
    <w:rsid w:val="005B17E8"/>
    <w:rsid w:val="005C1905"/>
    <w:rsid w:val="005C25BE"/>
    <w:rsid w:val="005C47E9"/>
    <w:rsid w:val="005E598A"/>
    <w:rsid w:val="005E6298"/>
    <w:rsid w:val="005E6D05"/>
    <w:rsid w:val="005F43C6"/>
    <w:rsid w:val="005F5390"/>
    <w:rsid w:val="00601ECE"/>
    <w:rsid w:val="0060244C"/>
    <w:rsid w:val="0060280A"/>
    <w:rsid w:val="00602D73"/>
    <w:rsid w:val="00605408"/>
    <w:rsid w:val="00610A2D"/>
    <w:rsid w:val="00611F5C"/>
    <w:rsid w:val="0062210F"/>
    <w:rsid w:val="006224D3"/>
    <w:rsid w:val="00622A2A"/>
    <w:rsid w:val="00622B6D"/>
    <w:rsid w:val="00633A99"/>
    <w:rsid w:val="00645506"/>
    <w:rsid w:val="0064628F"/>
    <w:rsid w:val="00646D38"/>
    <w:rsid w:val="006555B1"/>
    <w:rsid w:val="00661D9B"/>
    <w:rsid w:val="00662E96"/>
    <w:rsid w:val="00667950"/>
    <w:rsid w:val="00667C6C"/>
    <w:rsid w:val="006A1D90"/>
    <w:rsid w:val="006A4CF3"/>
    <w:rsid w:val="006A559F"/>
    <w:rsid w:val="006E1A47"/>
    <w:rsid w:val="006E5427"/>
    <w:rsid w:val="0070349D"/>
    <w:rsid w:val="00715C03"/>
    <w:rsid w:val="00720AFE"/>
    <w:rsid w:val="00723CC8"/>
    <w:rsid w:val="00724D17"/>
    <w:rsid w:val="00725170"/>
    <w:rsid w:val="00725FAE"/>
    <w:rsid w:val="00732517"/>
    <w:rsid w:val="007427BC"/>
    <w:rsid w:val="00746D72"/>
    <w:rsid w:val="00750EEF"/>
    <w:rsid w:val="00752127"/>
    <w:rsid w:val="00756B64"/>
    <w:rsid w:val="00756B8C"/>
    <w:rsid w:val="00756C1F"/>
    <w:rsid w:val="0076363E"/>
    <w:rsid w:val="007644DE"/>
    <w:rsid w:val="007661B4"/>
    <w:rsid w:val="00775615"/>
    <w:rsid w:val="00785F3D"/>
    <w:rsid w:val="00786AE1"/>
    <w:rsid w:val="00793F9A"/>
    <w:rsid w:val="00794F32"/>
    <w:rsid w:val="007A2B65"/>
    <w:rsid w:val="007A357D"/>
    <w:rsid w:val="007B4710"/>
    <w:rsid w:val="007C0343"/>
    <w:rsid w:val="007C199D"/>
    <w:rsid w:val="007C2987"/>
    <w:rsid w:val="007D30C0"/>
    <w:rsid w:val="007D34CB"/>
    <w:rsid w:val="007E4B54"/>
    <w:rsid w:val="007E68C6"/>
    <w:rsid w:val="00800947"/>
    <w:rsid w:val="008067A3"/>
    <w:rsid w:val="00811D19"/>
    <w:rsid w:val="008146FE"/>
    <w:rsid w:val="00814D40"/>
    <w:rsid w:val="00817C0E"/>
    <w:rsid w:val="0082630D"/>
    <w:rsid w:val="008332A2"/>
    <w:rsid w:val="008409C9"/>
    <w:rsid w:val="00845B24"/>
    <w:rsid w:val="008475F6"/>
    <w:rsid w:val="00847B3E"/>
    <w:rsid w:val="00861188"/>
    <w:rsid w:val="0086690E"/>
    <w:rsid w:val="00867FF5"/>
    <w:rsid w:val="00872D02"/>
    <w:rsid w:val="008776BA"/>
    <w:rsid w:val="00884EBC"/>
    <w:rsid w:val="008856B0"/>
    <w:rsid w:val="00890DC9"/>
    <w:rsid w:val="00890F82"/>
    <w:rsid w:val="008917B4"/>
    <w:rsid w:val="00893DF2"/>
    <w:rsid w:val="008962BC"/>
    <w:rsid w:val="008A1893"/>
    <w:rsid w:val="008A31A3"/>
    <w:rsid w:val="008B61EB"/>
    <w:rsid w:val="008B66E1"/>
    <w:rsid w:val="008D2967"/>
    <w:rsid w:val="008D3978"/>
    <w:rsid w:val="008E0526"/>
    <w:rsid w:val="008E4472"/>
    <w:rsid w:val="008F2232"/>
    <w:rsid w:val="008F5E18"/>
    <w:rsid w:val="009053BF"/>
    <w:rsid w:val="009065E2"/>
    <w:rsid w:val="00913542"/>
    <w:rsid w:val="00914448"/>
    <w:rsid w:val="009155AE"/>
    <w:rsid w:val="00920784"/>
    <w:rsid w:val="009251D1"/>
    <w:rsid w:val="00945888"/>
    <w:rsid w:val="0094607E"/>
    <w:rsid w:val="00946B02"/>
    <w:rsid w:val="009506DC"/>
    <w:rsid w:val="0095131D"/>
    <w:rsid w:val="0095212B"/>
    <w:rsid w:val="0095224A"/>
    <w:rsid w:val="00954A83"/>
    <w:rsid w:val="00957200"/>
    <w:rsid w:val="00961672"/>
    <w:rsid w:val="00961E8F"/>
    <w:rsid w:val="00962BA4"/>
    <w:rsid w:val="009631CF"/>
    <w:rsid w:val="0096621C"/>
    <w:rsid w:val="009716A5"/>
    <w:rsid w:val="009725CC"/>
    <w:rsid w:val="009813AE"/>
    <w:rsid w:val="00983110"/>
    <w:rsid w:val="009A62BE"/>
    <w:rsid w:val="009A6E93"/>
    <w:rsid w:val="009A7F5A"/>
    <w:rsid w:val="009B01E5"/>
    <w:rsid w:val="009B025D"/>
    <w:rsid w:val="009B1821"/>
    <w:rsid w:val="009B72B3"/>
    <w:rsid w:val="009C0587"/>
    <w:rsid w:val="009E2114"/>
    <w:rsid w:val="009E2438"/>
    <w:rsid w:val="009F197A"/>
    <w:rsid w:val="009F1B31"/>
    <w:rsid w:val="00A021FA"/>
    <w:rsid w:val="00A03B97"/>
    <w:rsid w:val="00A1313D"/>
    <w:rsid w:val="00A16EAF"/>
    <w:rsid w:val="00A24ED6"/>
    <w:rsid w:val="00A27276"/>
    <w:rsid w:val="00A27FF0"/>
    <w:rsid w:val="00A33592"/>
    <w:rsid w:val="00A35159"/>
    <w:rsid w:val="00A42C0F"/>
    <w:rsid w:val="00A46BD9"/>
    <w:rsid w:val="00A47CA3"/>
    <w:rsid w:val="00A555E7"/>
    <w:rsid w:val="00A563E0"/>
    <w:rsid w:val="00A62FFA"/>
    <w:rsid w:val="00A66C3F"/>
    <w:rsid w:val="00A672D3"/>
    <w:rsid w:val="00A70284"/>
    <w:rsid w:val="00A70DE0"/>
    <w:rsid w:val="00A73028"/>
    <w:rsid w:val="00A764C0"/>
    <w:rsid w:val="00A81959"/>
    <w:rsid w:val="00A82FDD"/>
    <w:rsid w:val="00A83327"/>
    <w:rsid w:val="00A8496B"/>
    <w:rsid w:val="00A86D38"/>
    <w:rsid w:val="00A87063"/>
    <w:rsid w:val="00AA17FF"/>
    <w:rsid w:val="00AA1BBD"/>
    <w:rsid w:val="00AA1D8F"/>
    <w:rsid w:val="00AA1EE3"/>
    <w:rsid w:val="00AB1075"/>
    <w:rsid w:val="00AC0BF2"/>
    <w:rsid w:val="00AC4C99"/>
    <w:rsid w:val="00AC5BFE"/>
    <w:rsid w:val="00AC76A1"/>
    <w:rsid w:val="00AD3BC7"/>
    <w:rsid w:val="00AD7010"/>
    <w:rsid w:val="00AF7AB8"/>
    <w:rsid w:val="00B00A00"/>
    <w:rsid w:val="00B14C19"/>
    <w:rsid w:val="00B17281"/>
    <w:rsid w:val="00B21978"/>
    <w:rsid w:val="00B2456C"/>
    <w:rsid w:val="00B300C1"/>
    <w:rsid w:val="00B32646"/>
    <w:rsid w:val="00B35307"/>
    <w:rsid w:val="00B36324"/>
    <w:rsid w:val="00B41A25"/>
    <w:rsid w:val="00B4558E"/>
    <w:rsid w:val="00B45A2A"/>
    <w:rsid w:val="00B472DD"/>
    <w:rsid w:val="00B66038"/>
    <w:rsid w:val="00B70A78"/>
    <w:rsid w:val="00B75C00"/>
    <w:rsid w:val="00B771C1"/>
    <w:rsid w:val="00B80084"/>
    <w:rsid w:val="00B81D7B"/>
    <w:rsid w:val="00B8311D"/>
    <w:rsid w:val="00B832DA"/>
    <w:rsid w:val="00B93798"/>
    <w:rsid w:val="00B960C0"/>
    <w:rsid w:val="00BA0236"/>
    <w:rsid w:val="00BA256A"/>
    <w:rsid w:val="00BA32AF"/>
    <w:rsid w:val="00BA5F5B"/>
    <w:rsid w:val="00BA6D2B"/>
    <w:rsid w:val="00BC446E"/>
    <w:rsid w:val="00BC51DB"/>
    <w:rsid w:val="00BC606F"/>
    <w:rsid w:val="00BC6139"/>
    <w:rsid w:val="00BC769E"/>
    <w:rsid w:val="00C0146C"/>
    <w:rsid w:val="00C030F1"/>
    <w:rsid w:val="00C03454"/>
    <w:rsid w:val="00C12941"/>
    <w:rsid w:val="00C15D72"/>
    <w:rsid w:val="00C2228E"/>
    <w:rsid w:val="00C3173D"/>
    <w:rsid w:val="00C32DDB"/>
    <w:rsid w:val="00C36669"/>
    <w:rsid w:val="00C4087C"/>
    <w:rsid w:val="00C42CE7"/>
    <w:rsid w:val="00C43605"/>
    <w:rsid w:val="00C47715"/>
    <w:rsid w:val="00C50DFE"/>
    <w:rsid w:val="00C64109"/>
    <w:rsid w:val="00C72338"/>
    <w:rsid w:val="00C751E7"/>
    <w:rsid w:val="00C77B26"/>
    <w:rsid w:val="00C8124A"/>
    <w:rsid w:val="00C85393"/>
    <w:rsid w:val="00C86975"/>
    <w:rsid w:val="00C90991"/>
    <w:rsid w:val="00C91213"/>
    <w:rsid w:val="00C959E4"/>
    <w:rsid w:val="00CA5147"/>
    <w:rsid w:val="00CA5C99"/>
    <w:rsid w:val="00CC1D81"/>
    <w:rsid w:val="00CC39CE"/>
    <w:rsid w:val="00CC5B2A"/>
    <w:rsid w:val="00CD2B3D"/>
    <w:rsid w:val="00CE4074"/>
    <w:rsid w:val="00CE4F11"/>
    <w:rsid w:val="00CE55BA"/>
    <w:rsid w:val="00CE75A7"/>
    <w:rsid w:val="00CF0E7E"/>
    <w:rsid w:val="00CF2155"/>
    <w:rsid w:val="00CF2CE9"/>
    <w:rsid w:val="00D006C1"/>
    <w:rsid w:val="00D01076"/>
    <w:rsid w:val="00D04F6B"/>
    <w:rsid w:val="00D06E95"/>
    <w:rsid w:val="00D074AC"/>
    <w:rsid w:val="00D12896"/>
    <w:rsid w:val="00D1517A"/>
    <w:rsid w:val="00D178BC"/>
    <w:rsid w:val="00D17C30"/>
    <w:rsid w:val="00D20902"/>
    <w:rsid w:val="00D23BAA"/>
    <w:rsid w:val="00D328B3"/>
    <w:rsid w:val="00D36446"/>
    <w:rsid w:val="00D53870"/>
    <w:rsid w:val="00D56B28"/>
    <w:rsid w:val="00D56C22"/>
    <w:rsid w:val="00D60A63"/>
    <w:rsid w:val="00D62F8D"/>
    <w:rsid w:val="00D754B1"/>
    <w:rsid w:val="00D76117"/>
    <w:rsid w:val="00D76658"/>
    <w:rsid w:val="00D824D4"/>
    <w:rsid w:val="00D8441F"/>
    <w:rsid w:val="00D84524"/>
    <w:rsid w:val="00D938F2"/>
    <w:rsid w:val="00D9463F"/>
    <w:rsid w:val="00D947E9"/>
    <w:rsid w:val="00D95A31"/>
    <w:rsid w:val="00DA09F0"/>
    <w:rsid w:val="00DA2F94"/>
    <w:rsid w:val="00DB6C3E"/>
    <w:rsid w:val="00DC2C0E"/>
    <w:rsid w:val="00DD1C4B"/>
    <w:rsid w:val="00DD46D2"/>
    <w:rsid w:val="00DD5414"/>
    <w:rsid w:val="00DD576B"/>
    <w:rsid w:val="00DD7183"/>
    <w:rsid w:val="00DE24DD"/>
    <w:rsid w:val="00DE7105"/>
    <w:rsid w:val="00DF046B"/>
    <w:rsid w:val="00DF1A4C"/>
    <w:rsid w:val="00DF67B0"/>
    <w:rsid w:val="00E13169"/>
    <w:rsid w:val="00E215FB"/>
    <w:rsid w:val="00E21A42"/>
    <w:rsid w:val="00E22C58"/>
    <w:rsid w:val="00E32EFA"/>
    <w:rsid w:val="00E339DB"/>
    <w:rsid w:val="00E34F40"/>
    <w:rsid w:val="00E36536"/>
    <w:rsid w:val="00E40A65"/>
    <w:rsid w:val="00E41B41"/>
    <w:rsid w:val="00E51390"/>
    <w:rsid w:val="00E52F7E"/>
    <w:rsid w:val="00E57B76"/>
    <w:rsid w:val="00E63800"/>
    <w:rsid w:val="00E641B1"/>
    <w:rsid w:val="00E667ED"/>
    <w:rsid w:val="00E737BA"/>
    <w:rsid w:val="00E77772"/>
    <w:rsid w:val="00E96C61"/>
    <w:rsid w:val="00EA0196"/>
    <w:rsid w:val="00EA573B"/>
    <w:rsid w:val="00EA6D13"/>
    <w:rsid w:val="00EA6DD4"/>
    <w:rsid w:val="00EB06E8"/>
    <w:rsid w:val="00EB3718"/>
    <w:rsid w:val="00EB5B59"/>
    <w:rsid w:val="00EB6007"/>
    <w:rsid w:val="00EC49AC"/>
    <w:rsid w:val="00EC66A3"/>
    <w:rsid w:val="00EC78D1"/>
    <w:rsid w:val="00ED0FFA"/>
    <w:rsid w:val="00ED376C"/>
    <w:rsid w:val="00EE32BE"/>
    <w:rsid w:val="00EE504B"/>
    <w:rsid w:val="00EE67E0"/>
    <w:rsid w:val="00EE72A2"/>
    <w:rsid w:val="00EF30B9"/>
    <w:rsid w:val="00EF4A6D"/>
    <w:rsid w:val="00EF714B"/>
    <w:rsid w:val="00F12914"/>
    <w:rsid w:val="00F148A7"/>
    <w:rsid w:val="00F149A3"/>
    <w:rsid w:val="00F23419"/>
    <w:rsid w:val="00F27D8B"/>
    <w:rsid w:val="00F313D7"/>
    <w:rsid w:val="00F31FE1"/>
    <w:rsid w:val="00F34564"/>
    <w:rsid w:val="00F455FF"/>
    <w:rsid w:val="00F63524"/>
    <w:rsid w:val="00F706F2"/>
    <w:rsid w:val="00F7347D"/>
    <w:rsid w:val="00F82B21"/>
    <w:rsid w:val="00F90892"/>
    <w:rsid w:val="00F9306D"/>
    <w:rsid w:val="00FA04C2"/>
    <w:rsid w:val="00FA3DE6"/>
    <w:rsid w:val="00FA4863"/>
    <w:rsid w:val="00FA53EF"/>
    <w:rsid w:val="00FA62F5"/>
    <w:rsid w:val="00FB13ED"/>
    <w:rsid w:val="00FB2A77"/>
    <w:rsid w:val="00FB460F"/>
    <w:rsid w:val="00FC1587"/>
    <w:rsid w:val="00FC414F"/>
    <w:rsid w:val="00FC4C03"/>
    <w:rsid w:val="00FD2593"/>
    <w:rsid w:val="00FD7842"/>
    <w:rsid w:val="00FE4BB3"/>
    <w:rsid w:val="00FF3E89"/>
    <w:rsid w:val="00FF5D18"/>
    <w:rsid w:val="00FF7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DCDA5A"/>
  <w15:docId w15:val="{DA869953-912A-4F26-B4B1-2DFAB84B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2021"/>
    <w:pPr>
      <w:spacing w:after="120"/>
    </w:pPr>
    <w:rPr>
      <w:rFonts w:ascii="Arial" w:hAnsi="Arial"/>
    </w:rPr>
  </w:style>
  <w:style w:type="paragraph" w:styleId="Heading1">
    <w:name w:val="heading 1"/>
    <w:basedOn w:val="Normal"/>
    <w:next w:val="Normal"/>
    <w:link w:val="Heading1Char"/>
    <w:qFormat/>
    <w:rsid w:val="00C91213"/>
    <w:pPr>
      <w:keepNext/>
      <w:widowControl w:val="0"/>
      <w:numPr>
        <w:numId w:val="2"/>
      </w:numPr>
      <w:shd w:val="clear" w:color="auto" w:fill="96BE0D"/>
      <w:spacing w:before="120" w:after="240" w:line="260" w:lineRule="atLeast"/>
      <w:outlineLvl w:val="0"/>
    </w:pPr>
    <w:rPr>
      <w:rFonts w:eastAsia="Times New Roman" w:cs="Arial"/>
      <w:b/>
      <w:bCs/>
      <w:spacing w:val="-5"/>
      <w:kern w:val="32"/>
      <w:sz w:val="32"/>
      <w:szCs w:val="32"/>
      <w14:glow w14:rad="0">
        <w14:schemeClr w14:val="accent2">
          <w14:lumMod w14:val="60000"/>
          <w14:lumOff w14:val="40000"/>
        </w14:schemeClr>
      </w14:glow>
      <w14:shadow w14:blurRad="50800" w14:dist="50800" w14:dir="5400000" w14:sx="0" w14:sy="0" w14:kx="0" w14:ky="0" w14:algn="ctr">
        <w14:schemeClr w14:val="accent2">
          <w14:lumMod w14:val="60000"/>
          <w14:lumOff w14:val="40000"/>
        </w14:schemeClr>
      </w14:shadow>
      <w14:textOutline w14:w="9525" w14:cap="rnd" w14:cmpd="sng" w14:algn="ctr">
        <w14:noFill/>
        <w14:prstDash w14:val="solid"/>
        <w14:bevel/>
      </w14:textOutline>
      <w14:textFill>
        <w14:solidFill>
          <w14:srgbClr w14:val="FFFFFF"/>
        </w14:solidFill>
      </w14:textFill>
    </w:rPr>
  </w:style>
  <w:style w:type="paragraph" w:styleId="Heading2">
    <w:name w:val="heading 2"/>
    <w:basedOn w:val="Normal"/>
    <w:next w:val="Normal"/>
    <w:link w:val="Heading2Char"/>
    <w:autoRedefine/>
    <w:qFormat/>
    <w:rsid w:val="001354FA"/>
    <w:pPr>
      <w:keepNext/>
      <w:widowControl w:val="0"/>
      <w:spacing w:before="240" w:after="240" w:line="280" w:lineRule="atLeast"/>
      <w:ind w:left="714"/>
      <w:outlineLvl w:val="1"/>
    </w:pPr>
    <w:rPr>
      <w:rFonts w:eastAsia="Times New Roman" w:cs="Arial"/>
      <w:b/>
      <w:bCs/>
      <w:spacing w:val="-5"/>
      <w:sz w:val="32"/>
      <w:szCs w:val="28"/>
    </w:rPr>
  </w:style>
  <w:style w:type="paragraph" w:styleId="Heading3">
    <w:name w:val="heading 3"/>
    <w:basedOn w:val="Normal"/>
    <w:next w:val="Normal"/>
    <w:link w:val="Heading3Char"/>
    <w:qFormat/>
    <w:rsid w:val="00B36324"/>
    <w:pPr>
      <w:keepNext/>
      <w:widowControl w:val="0"/>
      <w:spacing w:before="240" w:after="60" w:line="260" w:lineRule="atLeast"/>
      <w:outlineLvl w:val="2"/>
    </w:pPr>
    <w:rPr>
      <w:rFonts w:eastAsia="Times New Roman" w:cs="Arial"/>
      <w:b/>
      <w:bCs/>
      <w:color w:val="404040" w:themeColor="text1" w:themeTint="BF"/>
      <w:spacing w:val="-5"/>
      <w:sz w:val="28"/>
      <w:szCs w:val="26"/>
    </w:rPr>
  </w:style>
  <w:style w:type="paragraph" w:styleId="Heading4">
    <w:name w:val="heading 4"/>
    <w:basedOn w:val="Normal"/>
    <w:next w:val="Normal"/>
    <w:link w:val="Heading4Char"/>
    <w:qFormat/>
    <w:rsid w:val="00C91213"/>
    <w:pPr>
      <w:keepNext/>
      <w:widowControl w:val="0"/>
      <w:numPr>
        <w:ilvl w:val="3"/>
        <w:numId w:val="2"/>
      </w:numPr>
      <w:spacing w:before="240" w:after="60" w:line="260" w:lineRule="atLeast"/>
      <w:outlineLvl w:val="3"/>
    </w:pPr>
    <w:rPr>
      <w:rFonts w:eastAsia="Times New Roman" w:cs="Arial"/>
      <w:b/>
      <w:color w:val="000000"/>
      <w:spacing w:val="-5"/>
      <w:sz w:val="20"/>
    </w:rPr>
  </w:style>
  <w:style w:type="paragraph" w:styleId="Heading5">
    <w:name w:val="heading 5"/>
    <w:basedOn w:val="Normal"/>
    <w:next w:val="Normal"/>
    <w:link w:val="Heading5Char"/>
    <w:qFormat/>
    <w:rsid w:val="00C91213"/>
    <w:pPr>
      <w:widowControl w:val="0"/>
      <w:numPr>
        <w:ilvl w:val="4"/>
        <w:numId w:val="2"/>
      </w:numPr>
      <w:spacing w:before="240" w:after="60" w:line="260" w:lineRule="atLeast"/>
      <w:outlineLvl w:val="4"/>
    </w:pPr>
    <w:rPr>
      <w:rFonts w:eastAsia="Times New Roman" w:cs="Times New Roman"/>
      <w:b/>
      <w:bCs/>
      <w:i/>
      <w:iCs/>
      <w:color w:val="000000"/>
      <w:spacing w:val="-5"/>
      <w:sz w:val="26"/>
      <w:szCs w:val="26"/>
    </w:rPr>
  </w:style>
  <w:style w:type="paragraph" w:styleId="Heading6">
    <w:name w:val="heading 6"/>
    <w:basedOn w:val="Normal"/>
    <w:next w:val="Normal"/>
    <w:link w:val="Heading6Char"/>
    <w:qFormat/>
    <w:rsid w:val="00C91213"/>
    <w:pPr>
      <w:widowControl w:val="0"/>
      <w:numPr>
        <w:ilvl w:val="5"/>
        <w:numId w:val="2"/>
      </w:numPr>
      <w:spacing w:before="240" w:after="60" w:line="260" w:lineRule="atLeast"/>
      <w:outlineLvl w:val="5"/>
    </w:pPr>
    <w:rPr>
      <w:rFonts w:ascii="Times New Roman" w:eastAsia="Times New Roman" w:hAnsi="Times New Roman" w:cs="Times New Roman"/>
      <w:b/>
      <w:bCs/>
      <w:color w:val="000000"/>
      <w:spacing w:val="-5"/>
    </w:rPr>
  </w:style>
  <w:style w:type="paragraph" w:styleId="Heading7">
    <w:name w:val="heading 7"/>
    <w:basedOn w:val="Normal"/>
    <w:next w:val="Normal"/>
    <w:link w:val="Heading7Char"/>
    <w:qFormat/>
    <w:rsid w:val="00C91213"/>
    <w:pPr>
      <w:widowControl w:val="0"/>
      <w:numPr>
        <w:ilvl w:val="6"/>
        <w:numId w:val="2"/>
      </w:numPr>
      <w:spacing w:before="240" w:after="60" w:line="260" w:lineRule="atLeast"/>
      <w:outlineLvl w:val="6"/>
    </w:pPr>
    <w:rPr>
      <w:rFonts w:ascii="Times New Roman" w:eastAsia="Times New Roman" w:hAnsi="Times New Roman" w:cs="Times New Roman"/>
      <w:color w:val="000000"/>
      <w:spacing w:val="-5"/>
      <w:sz w:val="24"/>
      <w:szCs w:val="24"/>
    </w:rPr>
  </w:style>
  <w:style w:type="paragraph" w:styleId="Heading8">
    <w:name w:val="heading 8"/>
    <w:basedOn w:val="Normal"/>
    <w:next w:val="Normal"/>
    <w:link w:val="Heading8Char"/>
    <w:qFormat/>
    <w:rsid w:val="00C91213"/>
    <w:pPr>
      <w:widowControl w:val="0"/>
      <w:numPr>
        <w:ilvl w:val="7"/>
        <w:numId w:val="2"/>
      </w:numPr>
      <w:spacing w:before="240" w:after="60" w:line="260" w:lineRule="atLeast"/>
      <w:outlineLvl w:val="7"/>
    </w:pPr>
    <w:rPr>
      <w:rFonts w:ascii="Times New Roman" w:eastAsia="Times New Roman" w:hAnsi="Times New Roman" w:cs="Times New Roman"/>
      <w:i/>
      <w:iCs/>
      <w:color w:val="000000"/>
      <w:spacing w:val="-5"/>
      <w:sz w:val="24"/>
      <w:szCs w:val="24"/>
    </w:rPr>
  </w:style>
  <w:style w:type="paragraph" w:styleId="Heading9">
    <w:name w:val="heading 9"/>
    <w:basedOn w:val="Normal"/>
    <w:next w:val="Normal"/>
    <w:link w:val="Heading9Char"/>
    <w:qFormat/>
    <w:rsid w:val="00C91213"/>
    <w:pPr>
      <w:widowControl w:val="0"/>
      <w:numPr>
        <w:ilvl w:val="8"/>
        <w:numId w:val="2"/>
      </w:numPr>
      <w:spacing w:before="240" w:after="60" w:line="260" w:lineRule="atLeast"/>
      <w:outlineLvl w:val="8"/>
    </w:pPr>
    <w:rPr>
      <w:rFonts w:eastAsia="Times New Roman" w:cs="Arial"/>
      <w:color w:val="000000"/>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121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91213"/>
    <w:rPr>
      <w:rFonts w:ascii="Calibri" w:hAnsi="Calibri" w:cs="Times New Roman"/>
    </w:rPr>
  </w:style>
  <w:style w:type="character" w:customStyle="1" w:styleId="Heading1Char">
    <w:name w:val="Heading 1 Char"/>
    <w:basedOn w:val="DefaultParagraphFont"/>
    <w:link w:val="Heading1"/>
    <w:rsid w:val="00C91213"/>
    <w:rPr>
      <w:rFonts w:ascii="Arial" w:eastAsia="Times New Roman" w:hAnsi="Arial" w:cs="Arial"/>
      <w:b/>
      <w:bCs/>
      <w:color w:val="auto"/>
      <w:spacing w:val="-5"/>
      <w:kern w:val="32"/>
      <w:sz w:val="32"/>
      <w:szCs w:val="32"/>
      <w:shd w:val="clear" w:color="auto" w:fill="96BE0D"/>
      <w14:glow w14:rad="0">
        <w14:schemeClr w14:val="accent2">
          <w14:lumMod w14:val="60000"/>
          <w14:lumOff w14:val="40000"/>
        </w14:schemeClr>
      </w14:glow>
      <w14:shadow w14:blurRad="50800" w14:dist="50800" w14:dir="5400000" w14:sx="0" w14:sy="0" w14:kx="0" w14:ky="0" w14:algn="ctr">
        <w14:schemeClr w14:val="accent2">
          <w14:lumMod w14:val="60000"/>
          <w14:lumOff w14:val="40000"/>
        </w14:schemeClr>
      </w14:shadow>
      <w14:textOutline w14:w="9525" w14:cap="rnd" w14:cmpd="sng" w14:algn="ctr">
        <w14:noFill/>
        <w14:prstDash w14:val="solid"/>
        <w14:bevel/>
      </w14:textOutline>
      <w14:textFill>
        <w14:solidFill>
          <w14:srgbClr w14:val="FFFFFF"/>
        </w14:solidFill>
      </w14:textFill>
    </w:rPr>
  </w:style>
  <w:style w:type="character" w:customStyle="1" w:styleId="Heading2Char">
    <w:name w:val="Heading 2 Char"/>
    <w:basedOn w:val="DefaultParagraphFont"/>
    <w:link w:val="Heading2"/>
    <w:rsid w:val="001354FA"/>
    <w:rPr>
      <w:rFonts w:ascii="Arial" w:eastAsia="Times New Roman" w:hAnsi="Arial" w:cs="Arial"/>
      <w:b/>
      <w:bCs/>
      <w:spacing w:val="-5"/>
      <w:sz w:val="32"/>
      <w:szCs w:val="28"/>
    </w:rPr>
  </w:style>
  <w:style w:type="character" w:customStyle="1" w:styleId="Heading3Char">
    <w:name w:val="Heading 3 Char"/>
    <w:basedOn w:val="DefaultParagraphFont"/>
    <w:link w:val="Heading3"/>
    <w:rsid w:val="00B36324"/>
    <w:rPr>
      <w:rFonts w:ascii="Arial" w:eastAsia="Times New Roman" w:hAnsi="Arial" w:cs="Arial"/>
      <w:b/>
      <w:bCs/>
      <w:color w:val="404040" w:themeColor="text1" w:themeTint="BF"/>
      <w:spacing w:val="-5"/>
      <w:sz w:val="28"/>
      <w:szCs w:val="26"/>
    </w:rPr>
  </w:style>
  <w:style w:type="character" w:customStyle="1" w:styleId="Heading4Char">
    <w:name w:val="Heading 4 Char"/>
    <w:basedOn w:val="DefaultParagraphFont"/>
    <w:link w:val="Heading4"/>
    <w:rsid w:val="00C91213"/>
    <w:rPr>
      <w:rFonts w:ascii="Arial" w:eastAsia="Times New Roman" w:hAnsi="Arial" w:cs="Arial"/>
      <w:b/>
      <w:color w:val="000000"/>
      <w:spacing w:val="-5"/>
      <w:sz w:val="20"/>
    </w:rPr>
  </w:style>
  <w:style w:type="character" w:customStyle="1" w:styleId="Heading5Char">
    <w:name w:val="Heading 5 Char"/>
    <w:basedOn w:val="DefaultParagraphFont"/>
    <w:link w:val="Heading5"/>
    <w:rsid w:val="00C91213"/>
    <w:rPr>
      <w:rFonts w:ascii="Arial" w:eastAsia="Times New Roman" w:hAnsi="Arial" w:cs="Times New Roman"/>
      <w:b/>
      <w:bCs/>
      <w:i/>
      <w:iCs/>
      <w:color w:val="000000"/>
      <w:spacing w:val="-5"/>
      <w:sz w:val="26"/>
      <w:szCs w:val="26"/>
    </w:rPr>
  </w:style>
  <w:style w:type="character" w:customStyle="1" w:styleId="Heading6Char">
    <w:name w:val="Heading 6 Char"/>
    <w:basedOn w:val="DefaultParagraphFont"/>
    <w:link w:val="Heading6"/>
    <w:rsid w:val="00C91213"/>
    <w:rPr>
      <w:rFonts w:ascii="Times New Roman" w:eastAsia="Times New Roman" w:hAnsi="Times New Roman" w:cs="Times New Roman"/>
      <w:b/>
      <w:bCs/>
      <w:color w:val="000000"/>
      <w:spacing w:val="-5"/>
    </w:rPr>
  </w:style>
  <w:style w:type="character" w:customStyle="1" w:styleId="Heading7Char">
    <w:name w:val="Heading 7 Char"/>
    <w:basedOn w:val="DefaultParagraphFont"/>
    <w:link w:val="Heading7"/>
    <w:rsid w:val="00C91213"/>
    <w:rPr>
      <w:rFonts w:ascii="Times New Roman" w:eastAsia="Times New Roman" w:hAnsi="Times New Roman" w:cs="Times New Roman"/>
      <w:color w:val="000000"/>
      <w:spacing w:val="-5"/>
      <w:sz w:val="24"/>
      <w:szCs w:val="24"/>
    </w:rPr>
  </w:style>
  <w:style w:type="character" w:customStyle="1" w:styleId="Heading8Char">
    <w:name w:val="Heading 8 Char"/>
    <w:basedOn w:val="DefaultParagraphFont"/>
    <w:link w:val="Heading8"/>
    <w:rsid w:val="00C91213"/>
    <w:rPr>
      <w:rFonts w:ascii="Times New Roman" w:eastAsia="Times New Roman" w:hAnsi="Times New Roman" w:cs="Times New Roman"/>
      <w:i/>
      <w:iCs/>
      <w:color w:val="000000"/>
      <w:spacing w:val="-5"/>
      <w:sz w:val="24"/>
      <w:szCs w:val="24"/>
    </w:rPr>
  </w:style>
  <w:style w:type="character" w:customStyle="1" w:styleId="Heading9Char">
    <w:name w:val="Heading 9 Char"/>
    <w:basedOn w:val="DefaultParagraphFont"/>
    <w:link w:val="Heading9"/>
    <w:rsid w:val="00C91213"/>
    <w:rPr>
      <w:rFonts w:ascii="Arial" w:eastAsia="Times New Roman" w:hAnsi="Arial" w:cs="Arial"/>
      <w:color w:val="000000"/>
      <w:spacing w:val="-5"/>
    </w:rPr>
  </w:style>
  <w:style w:type="paragraph" w:styleId="ListBullet">
    <w:name w:val="List Bullet"/>
    <w:basedOn w:val="Normal"/>
    <w:link w:val="ListBulletChar"/>
    <w:autoRedefine/>
    <w:rsid w:val="00D01076"/>
    <w:pPr>
      <w:widowControl w:val="0"/>
      <w:numPr>
        <w:numId w:val="9"/>
      </w:numPr>
      <w:tabs>
        <w:tab w:val="left" w:pos="284"/>
      </w:tabs>
      <w:spacing w:after="0" w:line="260" w:lineRule="atLeast"/>
      <w:ind w:left="357" w:hanging="357"/>
      <w:jc w:val="both"/>
    </w:pPr>
    <w:rPr>
      <w:rFonts w:eastAsia="Times New Roman" w:cs="Times New Roman"/>
      <w:spacing w:val="-5"/>
      <w:sz w:val="20"/>
      <w:szCs w:val="24"/>
    </w:rPr>
  </w:style>
  <w:style w:type="paragraph" w:styleId="Caption">
    <w:name w:val="caption"/>
    <w:basedOn w:val="Normal"/>
    <w:next w:val="Normal"/>
    <w:link w:val="CaptionChar"/>
    <w:qFormat/>
    <w:rsid w:val="00162021"/>
    <w:pPr>
      <w:widowControl w:val="0"/>
      <w:spacing w:before="60" w:after="60" w:line="220" w:lineRule="atLeast"/>
    </w:pPr>
    <w:rPr>
      <w:rFonts w:eastAsia="Times New Roman" w:cs="Times New Roman"/>
      <w:b/>
      <w:bCs/>
      <w:color w:val="000000"/>
      <w:spacing w:val="-5"/>
      <w:sz w:val="18"/>
      <w:szCs w:val="20"/>
    </w:rPr>
  </w:style>
  <w:style w:type="character" w:customStyle="1" w:styleId="Tablefooter">
    <w:name w:val="Table footer"/>
    <w:rsid w:val="00C91213"/>
    <w:rPr>
      <w:sz w:val="16"/>
      <w:szCs w:val="18"/>
    </w:rPr>
  </w:style>
  <w:style w:type="paragraph" w:customStyle="1" w:styleId="TableText">
    <w:name w:val="Table Text"/>
    <w:basedOn w:val="Normal"/>
    <w:rsid w:val="00C91213"/>
    <w:pPr>
      <w:widowControl w:val="0"/>
      <w:spacing w:before="40" w:after="40" w:line="260" w:lineRule="atLeast"/>
    </w:pPr>
    <w:rPr>
      <w:rFonts w:eastAsia="Times New Roman" w:cs="Times New Roman"/>
      <w:color w:val="000000"/>
      <w:spacing w:val="-5"/>
      <w:sz w:val="16"/>
      <w:szCs w:val="20"/>
    </w:rPr>
  </w:style>
  <w:style w:type="paragraph" w:customStyle="1" w:styleId="ReportCaptions">
    <w:name w:val="Report Captions"/>
    <w:basedOn w:val="Caption"/>
    <w:link w:val="ReportCaptionsChar"/>
    <w:rsid w:val="00C91213"/>
    <w:rPr>
      <w:sz w:val="16"/>
    </w:rPr>
  </w:style>
  <w:style w:type="character" w:customStyle="1" w:styleId="CaptionChar">
    <w:name w:val="Caption Char"/>
    <w:link w:val="Caption"/>
    <w:rsid w:val="00162021"/>
    <w:rPr>
      <w:rFonts w:ascii="Arial" w:eastAsia="Times New Roman" w:hAnsi="Arial" w:cs="Times New Roman"/>
      <w:b/>
      <w:bCs/>
      <w:color w:val="000000"/>
      <w:spacing w:val="-5"/>
      <w:sz w:val="18"/>
      <w:szCs w:val="20"/>
    </w:rPr>
  </w:style>
  <w:style w:type="character" w:customStyle="1" w:styleId="ReportCaptionsChar">
    <w:name w:val="Report Captions Char"/>
    <w:link w:val="ReportCaptions"/>
    <w:rsid w:val="00C91213"/>
    <w:rPr>
      <w:rFonts w:ascii="Arial" w:eastAsia="Times New Roman" w:hAnsi="Arial" w:cs="Times New Roman"/>
      <w:b/>
      <w:bCs/>
      <w:color w:val="000000"/>
      <w:spacing w:val="-5"/>
      <w:sz w:val="16"/>
      <w:szCs w:val="20"/>
    </w:rPr>
  </w:style>
  <w:style w:type="paragraph" w:customStyle="1" w:styleId="StyleTableTextRight">
    <w:name w:val="Style Table Text + Right"/>
    <w:basedOn w:val="TableText"/>
    <w:rsid w:val="00C91213"/>
    <w:pPr>
      <w:jc w:val="right"/>
    </w:pPr>
  </w:style>
  <w:style w:type="character" w:styleId="CommentReference">
    <w:name w:val="annotation reference"/>
    <w:uiPriority w:val="99"/>
    <w:semiHidden/>
    <w:rsid w:val="00C91213"/>
    <w:rPr>
      <w:sz w:val="16"/>
      <w:szCs w:val="16"/>
    </w:rPr>
  </w:style>
  <w:style w:type="paragraph" w:styleId="CommentText">
    <w:name w:val="annotation text"/>
    <w:basedOn w:val="Normal"/>
    <w:link w:val="CommentTextChar"/>
    <w:uiPriority w:val="99"/>
    <w:semiHidden/>
    <w:rsid w:val="00C91213"/>
    <w:pPr>
      <w:widowControl w:val="0"/>
      <w:spacing w:before="60" w:line="260" w:lineRule="atLeast"/>
    </w:pPr>
    <w:rPr>
      <w:rFonts w:eastAsia="Times New Roman" w:cs="Times New Roman"/>
      <w:color w:val="000000"/>
      <w:spacing w:val="-5"/>
      <w:sz w:val="20"/>
      <w:szCs w:val="20"/>
    </w:rPr>
  </w:style>
  <w:style w:type="character" w:customStyle="1" w:styleId="CommentTextChar">
    <w:name w:val="Comment Text Char"/>
    <w:basedOn w:val="DefaultParagraphFont"/>
    <w:link w:val="CommentText"/>
    <w:uiPriority w:val="99"/>
    <w:semiHidden/>
    <w:rsid w:val="00C91213"/>
    <w:rPr>
      <w:rFonts w:ascii="Arial" w:eastAsia="Times New Roman" w:hAnsi="Arial" w:cs="Times New Roman"/>
      <w:color w:val="000000"/>
      <w:spacing w:val="-5"/>
      <w:sz w:val="20"/>
      <w:szCs w:val="20"/>
    </w:rPr>
  </w:style>
  <w:style w:type="paragraph" w:customStyle="1" w:styleId="MediumGrid21">
    <w:name w:val="Medium Grid 21"/>
    <w:link w:val="MediumGrid2Char"/>
    <w:uiPriority w:val="1"/>
    <w:qFormat/>
    <w:rsid w:val="00C91213"/>
    <w:pPr>
      <w:widowControl w:val="0"/>
      <w:spacing w:after="0" w:line="240" w:lineRule="auto"/>
    </w:pPr>
    <w:rPr>
      <w:rFonts w:ascii="Arial" w:eastAsia="Times New Roman" w:hAnsi="Arial" w:cs="Times New Roman"/>
      <w:color w:val="000000"/>
      <w:spacing w:val="-5"/>
      <w:sz w:val="20"/>
      <w:szCs w:val="24"/>
    </w:rPr>
  </w:style>
  <w:style w:type="character" w:customStyle="1" w:styleId="MediumGrid2Char">
    <w:name w:val="Medium Grid 2 Char"/>
    <w:link w:val="MediumGrid21"/>
    <w:uiPriority w:val="1"/>
    <w:rsid w:val="00C91213"/>
    <w:rPr>
      <w:rFonts w:ascii="Arial" w:eastAsia="Times New Roman" w:hAnsi="Arial" w:cs="Times New Roman"/>
      <w:color w:val="000000"/>
      <w:spacing w:val="-5"/>
      <w:sz w:val="20"/>
      <w:szCs w:val="24"/>
    </w:rPr>
  </w:style>
  <w:style w:type="paragraph" w:styleId="BalloonText">
    <w:name w:val="Balloon Text"/>
    <w:basedOn w:val="Normal"/>
    <w:link w:val="BalloonTextChar"/>
    <w:uiPriority w:val="99"/>
    <w:semiHidden/>
    <w:unhideWhenUsed/>
    <w:rsid w:val="00C91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4C99"/>
    <w:pPr>
      <w:widowControl/>
      <w:spacing w:before="0" w:after="160" w:line="240" w:lineRule="auto"/>
    </w:pPr>
    <w:rPr>
      <w:rFonts w:asciiTheme="minorHAnsi" w:eastAsiaTheme="minorHAnsi" w:hAnsiTheme="minorHAnsi" w:cstheme="minorBidi"/>
      <w:b/>
      <w:bCs/>
      <w:color w:val="auto"/>
      <w:spacing w:val="0"/>
    </w:rPr>
  </w:style>
  <w:style w:type="character" w:customStyle="1" w:styleId="CommentSubjectChar">
    <w:name w:val="Comment Subject Char"/>
    <w:basedOn w:val="CommentTextChar"/>
    <w:link w:val="CommentSubject"/>
    <w:uiPriority w:val="99"/>
    <w:semiHidden/>
    <w:rsid w:val="00AC4C99"/>
    <w:rPr>
      <w:rFonts w:ascii="Arial" w:eastAsia="Times New Roman" w:hAnsi="Arial" w:cs="Times New Roman"/>
      <w:b/>
      <w:bCs/>
      <w:color w:val="000000"/>
      <w:spacing w:val="-5"/>
      <w:sz w:val="20"/>
      <w:szCs w:val="20"/>
    </w:rPr>
  </w:style>
  <w:style w:type="paragraph" w:styleId="ListParagraph">
    <w:name w:val="List Paragraph"/>
    <w:basedOn w:val="Normal"/>
    <w:uiPriority w:val="34"/>
    <w:qFormat/>
    <w:rsid w:val="00D36446"/>
    <w:pPr>
      <w:ind w:left="720"/>
      <w:contextualSpacing/>
    </w:pPr>
  </w:style>
  <w:style w:type="character" w:styleId="Hyperlink">
    <w:name w:val="Hyperlink"/>
    <w:basedOn w:val="DefaultParagraphFont"/>
    <w:uiPriority w:val="99"/>
    <w:unhideWhenUsed/>
    <w:rsid w:val="004262AF"/>
    <w:rPr>
      <w:color w:val="0563C1" w:themeColor="hyperlink"/>
      <w:u w:val="single"/>
    </w:rPr>
  </w:style>
  <w:style w:type="paragraph" w:styleId="Header">
    <w:name w:val="header"/>
    <w:basedOn w:val="Normal"/>
    <w:link w:val="HeaderChar"/>
    <w:rsid w:val="007C2987"/>
    <w:pPr>
      <w:widowControl w:val="0"/>
      <w:tabs>
        <w:tab w:val="center" w:pos="4320"/>
        <w:tab w:val="right" w:pos="8640"/>
      </w:tabs>
      <w:spacing w:before="60" w:line="240" w:lineRule="auto"/>
    </w:pPr>
    <w:rPr>
      <w:rFonts w:eastAsia="Times New Roman" w:cs="Times New Roman"/>
      <w:color w:val="000000"/>
      <w:spacing w:val="-5"/>
      <w:sz w:val="16"/>
      <w:szCs w:val="24"/>
    </w:rPr>
  </w:style>
  <w:style w:type="character" w:customStyle="1" w:styleId="HeaderChar">
    <w:name w:val="Header Char"/>
    <w:basedOn w:val="DefaultParagraphFont"/>
    <w:link w:val="Header"/>
    <w:rsid w:val="007C2987"/>
    <w:rPr>
      <w:rFonts w:ascii="Arial" w:eastAsia="Times New Roman" w:hAnsi="Arial" w:cs="Times New Roman"/>
      <w:color w:val="000000"/>
      <w:spacing w:val="-5"/>
      <w:sz w:val="16"/>
      <w:szCs w:val="24"/>
    </w:rPr>
  </w:style>
  <w:style w:type="character" w:styleId="FootnoteReference">
    <w:name w:val="footnote reference"/>
    <w:semiHidden/>
    <w:rsid w:val="007C2987"/>
    <w:rPr>
      <w:vertAlign w:val="superscript"/>
    </w:rPr>
  </w:style>
  <w:style w:type="paragraph" w:styleId="FootnoteText">
    <w:name w:val="footnote text"/>
    <w:aliases w:val="Fußnote"/>
    <w:basedOn w:val="Normal"/>
    <w:link w:val="FootnoteTextChar"/>
    <w:semiHidden/>
    <w:rsid w:val="007C2987"/>
    <w:pPr>
      <w:widowControl w:val="0"/>
      <w:spacing w:before="60" w:line="240" w:lineRule="auto"/>
    </w:pPr>
    <w:rPr>
      <w:rFonts w:eastAsia="Times New Roman" w:cs="Times New Roman"/>
      <w:color w:val="000000"/>
      <w:spacing w:val="-5"/>
      <w:sz w:val="16"/>
      <w:szCs w:val="20"/>
    </w:rPr>
  </w:style>
  <w:style w:type="character" w:customStyle="1" w:styleId="FootnoteTextChar">
    <w:name w:val="Footnote Text Char"/>
    <w:aliases w:val="Fußnote Char"/>
    <w:basedOn w:val="DefaultParagraphFont"/>
    <w:link w:val="FootnoteText"/>
    <w:semiHidden/>
    <w:rsid w:val="007C2987"/>
    <w:rPr>
      <w:rFonts w:ascii="Arial" w:eastAsia="Times New Roman" w:hAnsi="Arial" w:cs="Times New Roman"/>
      <w:color w:val="000000"/>
      <w:spacing w:val="-5"/>
      <w:sz w:val="16"/>
      <w:szCs w:val="20"/>
    </w:rPr>
  </w:style>
  <w:style w:type="paragraph" w:styleId="Footer">
    <w:name w:val="footer"/>
    <w:basedOn w:val="Normal"/>
    <w:link w:val="FooterChar"/>
    <w:uiPriority w:val="99"/>
    <w:unhideWhenUsed/>
    <w:rsid w:val="007C2987"/>
    <w:pPr>
      <w:widowControl w:val="0"/>
      <w:tabs>
        <w:tab w:val="center" w:pos="4513"/>
        <w:tab w:val="right" w:pos="9026"/>
      </w:tabs>
      <w:spacing w:after="0" w:line="240" w:lineRule="auto"/>
    </w:pPr>
    <w:rPr>
      <w:rFonts w:eastAsia="Times New Roman" w:cs="Times New Roman"/>
      <w:color w:val="000000"/>
      <w:spacing w:val="-5"/>
      <w:sz w:val="20"/>
      <w:szCs w:val="24"/>
    </w:rPr>
  </w:style>
  <w:style w:type="character" w:customStyle="1" w:styleId="FooterChar">
    <w:name w:val="Footer Char"/>
    <w:basedOn w:val="DefaultParagraphFont"/>
    <w:link w:val="Footer"/>
    <w:uiPriority w:val="99"/>
    <w:rsid w:val="007C2987"/>
    <w:rPr>
      <w:rFonts w:ascii="Arial" w:eastAsia="Times New Roman" w:hAnsi="Arial" w:cs="Times New Roman"/>
      <w:color w:val="000000"/>
      <w:spacing w:val="-5"/>
      <w:sz w:val="20"/>
      <w:szCs w:val="24"/>
    </w:rPr>
  </w:style>
  <w:style w:type="paragraph" w:styleId="TOCHeading">
    <w:name w:val="TOC Heading"/>
    <w:basedOn w:val="Heading1"/>
    <w:next w:val="Normal"/>
    <w:uiPriority w:val="39"/>
    <w:unhideWhenUsed/>
    <w:qFormat/>
    <w:rsid w:val="00116C6A"/>
    <w:pPr>
      <w:keepLines/>
      <w:widowControl/>
      <w:numPr>
        <w:numId w:val="0"/>
      </w:numPr>
      <w:shd w:val="clear" w:color="auto" w:fill="auto"/>
      <w:spacing w:before="240" w:after="0" w:line="259" w:lineRule="auto"/>
      <w:outlineLvl w:val="9"/>
    </w:pPr>
    <w:rPr>
      <w:rFonts w:asciiTheme="majorHAnsi" w:eastAsiaTheme="majorEastAsia" w:hAnsiTheme="majorHAnsi" w:cstheme="majorBidi"/>
      <w:b w:val="0"/>
      <w:bCs w:val="0"/>
      <w:color w:val="2E74B5" w:themeColor="accent1" w:themeShade="BF"/>
      <w:spacing w:val="0"/>
      <w:kern w:val="0"/>
      <w:lang w:val="en-US"/>
      <w14:glow w14:rad="0">
        <w14:srgbClr w14:val="000000"/>
      </w14:glow>
      <w14:shadow w14:blurRad="0" w14:dist="0" w14:dir="0" w14:sx="0" w14:sy="0" w14:kx="0" w14:ky="0" w14:algn="none">
        <w14:srgbClr w14:val="000000"/>
      </w14:shadow>
      <w14:textOutline w14:w="0" w14:cap="rnd" w14:cmpd="sng" w14:algn="ctr">
        <w14:noFill/>
        <w14:prstDash w14:val="solid"/>
        <w14:bevel/>
      </w14:textOutline>
    </w:rPr>
  </w:style>
  <w:style w:type="paragraph" w:styleId="TOC2">
    <w:name w:val="toc 2"/>
    <w:basedOn w:val="Normal"/>
    <w:next w:val="Normal"/>
    <w:autoRedefine/>
    <w:uiPriority w:val="39"/>
    <w:unhideWhenUsed/>
    <w:rsid w:val="00E339DB"/>
    <w:pPr>
      <w:tabs>
        <w:tab w:val="left" w:pos="660"/>
        <w:tab w:val="right" w:leader="dot" w:pos="9016"/>
      </w:tabs>
      <w:spacing w:after="100"/>
      <w:ind w:left="220"/>
    </w:pPr>
  </w:style>
  <w:style w:type="paragraph" w:styleId="TOC3">
    <w:name w:val="toc 3"/>
    <w:basedOn w:val="Normal"/>
    <w:next w:val="Normal"/>
    <w:autoRedefine/>
    <w:uiPriority w:val="39"/>
    <w:unhideWhenUsed/>
    <w:rsid w:val="00116C6A"/>
    <w:pPr>
      <w:spacing w:after="100"/>
      <w:ind w:left="440"/>
    </w:pPr>
  </w:style>
  <w:style w:type="character" w:styleId="FollowedHyperlink">
    <w:name w:val="FollowedHyperlink"/>
    <w:basedOn w:val="DefaultParagraphFont"/>
    <w:uiPriority w:val="99"/>
    <w:semiHidden/>
    <w:unhideWhenUsed/>
    <w:rsid w:val="00427E3E"/>
    <w:rPr>
      <w:color w:val="954F72" w:themeColor="followedHyperlink"/>
      <w:u w:val="single"/>
    </w:rPr>
  </w:style>
  <w:style w:type="paragraph" w:customStyle="1" w:styleId="Default">
    <w:name w:val="Default"/>
    <w:rsid w:val="00A46BD9"/>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B36324"/>
    <w:pPr>
      <w:spacing w:after="100"/>
    </w:pPr>
  </w:style>
  <w:style w:type="paragraph" w:styleId="Title">
    <w:name w:val="Title"/>
    <w:basedOn w:val="Normal"/>
    <w:next w:val="Normal"/>
    <w:link w:val="TitleChar"/>
    <w:uiPriority w:val="10"/>
    <w:qFormat/>
    <w:rsid w:val="005A3C70"/>
    <w:pPr>
      <w:spacing w:after="0" w:line="240" w:lineRule="auto"/>
      <w:contextualSpacing/>
    </w:pPr>
    <w:rPr>
      <w:rFonts w:eastAsiaTheme="majorEastAsia" w:cstheme="majorBidi"/>
      <w:b/>
      <w:color w:val="92D050"/>
      <w:spacing w:val="-10"/>
      <w:kern w:val="28"/>
      <w:sz w:val="56"/>
      <w:szCs w:val="56"/>
    </w:rPr>
  </w:style>
  <w:style w:type="character" w:customStyle="1" w:styleId="TitleChar">
    <w:name w:val="Title Char"/>
    <w:basedOn w:val="DefaultParagraphFont"/>
    <w:link w:val="Title"/>
    <w:uiPriority w:val="10"/>
    <w:rsid w:val="005A3C70"/>
    <w:rPr>
      <w:rFonts w:ascii="Arial" w:eastAsiaTheme="majorEastAsia" w:hAnsi="Arial" w:cstheme="majorBidi"/>
      <w:b/>
      <w:color w:val="92D050"/>
      <w:spacing w:val="-10"/>
      <w:kern w:val="28"/>
      <w:sz w:val="56"/>
      <w:szCs w:val="56"/>
    </w:rPr>
  </w:style>
  <w:style w:type="paragraph" w:customStyle="1" w:styleId="Style1">
    <w:name w:val="Style1"/>
    <w:basedOn w:val="ListBullet"/>
    <w:link w:val="Style1Char"/>
    <w:qFormat/>
    <w:rsid w:val="00162021"/>
    <w:pPr>
      <w:numPr>
        <w:numId w:val="10"/>
      </w:numPr>
      <w:spacing w:after="60"/>
      <w:ind w:left="641" w:hanging="357"/>
    </w:pPr>
    <w:rPr>
      <w:rFonts w:cs="Arial"/>
      <w:sz w:val="22"/>
      <w:szCs w:val="20"/>
    </w:rPr>
  </w:style>
  <w:style w:type="paragraph" w:styleId="Revision">
    <w:name w:val="Revision"/>
    <w:hidden/>
    <w:uiPriority w:val="99"/>
    <w:semiHidden/>
    <w:rsid w:val="00FA62F5"/>
    <w:pPr>
      <w:spacing w:after="0" w:line="240" w:lineRule="auto"/>
    </w:pPr>
    <w:rPr>
      <w:rFonts w:ascii="Arial" w:hAnsi="Arial"/>
    </w:rPr>
  </w:style>
  <w:style w:type="character" w:customStyle="1" w:styleId="ListBulletChar">
    <w:name w:val="List Bullet Char"/>
    <w:basedOn w:val="DefaultParagraphFont"/>
    <w:link w:val="ListBullet"/>
    <w:rsid w:val="00D01076"/>
    <w:rPr>
      <w:rFonts w:ascii="Arial" w:eastAsia="Times New Roman" w:hAnsi="Arial" w:cs="Times New Roman"/>
      <w:spacing w:val="-5"/>
      <w:sz w:val="20"/>
      <w:szCs w:val="24"/>
    </w:rPr>
  </w:style>
  <w:style w:type="character" w:customStyle="1" w:styleId="Style1Char">
    <w:name w:val="Style1 Char"/>
    <w:basedOn w:val="ListBulletChar"/>
    <w:link w:val="Style1"/>
    <w:rsid w:val="00162021"/>
    <w:rPr>
      <w:rFonts w:ascii="Arial" w:eastAsia="Times New Roman" w:hAnsi="Arial" w:cs="Arial"/>
      <w:spacing w:val="-5"/>
      <w:sz w:val="20"/>
      <w:szCs w:val="20"/>
    </w:rPr>
  </w:style>
  <w:style w:type="character" w:styleId="Strong">
    <w:name w:val="Strong"/>
    <w:basedOn w:val="DefaultParagraphFont"/>
    <w:uiPriority w:val="22"/>
    <w:qFormat/>
    <w:rsid w:val="00F12914"/>
    <w:rPr>
      <w:b/>
      <w:bCs/>
    </w:rPr>
  </w:style>
  <w:style w:type="paragraph" w:styleId="NormalWeb">
    <w:name w:val="Normal (Web)"/>
    <w:basedOn w:val="Normal"/>
    <w:uiPriority w:val="99"/>
    <w:semiHidden/>
    <w:unhideWhenUsed/>
    <w:rsid w:val="00F129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469">
      <w:bodyDiv w:val="1"/>
      <w:marLeft w:val="0"/>
      <w:marRight w:val="0"/>
      <w:marTop w:val="0"/>
      <w:marBottom w:val="0"/>
      <w:divBdr>
        <w:top w:val="none" w:sz="0" w:space="0" w:color="auto"/>
        <w:left w:val="none" w:sz="0" w:space="0" w:color="auto"/>
        <w:bottom w:val="none" w:sz="0" w:space="0" w:color="auto"/>
        <w:right w:val="none" w:sz="0" w:space="0" w:color="auto"/>
      </w:divBdr>
    </w:div>
    <w:div w:id="100610000">
      <w:bodyDiv w:val="1"/>
      <w:marLeft w:val="0"/>
      <w:marRight w:val="0"/>
      <w:marTop w:val="0"/>
      <w:marBottom w:val="0"/>
      <w:divBdr>
        <w:top w:val="none" w:sz="0" w:space="0" w:color="auto"/>
        <w:left w:val="none" w:sz="0" w:space="0" w:color="auto"/>
        <w:bottom w:val="none" w:sz="0" w:space="0" w:color="auto"/>
        <w:right w:val="none" w:sz="0" w:space="0" w:color="auto"/>
      </w:divBdr>
    </w:div>
    <w:div w:id="302007819">
      <w:bodyDiv w:val="1"/>
      <w:marLeft w:val="0"/>
      <w:marRight w:val="0"/>
      <w:marTop w:val="0"/>
      <w:marBottom w:val="0"/>
      <w:divBdr>
        <w:top w:val="none" w:sz="0" w:space="0" w:color="auto"/>
        <w:left w:val="none" w:sz="0" w:space="0" w:color="auto"/>
        <w:bottom w:val="none" w:sz="0" w:space="0" w:color="auto"/>
        <w:right w:val="none" w:sz="0" w:space="0" w:color="auto"/>
      </w:divBdr>
      <w:divsChild>
        <w:div w:id="1839692512">
          <w:marLeft w:val="0"/>
          <w:marRight w:val="0"/>
          <w:marTop w:val="0"/>
          <w:marBottom w:val="0"/>
          <w:divBdr>
            <w:top w:val="none" w:sz="0" w:space="0" w:color="auto"/>
            <w:left w:val="none" w:sz="0" w:space="0" w:color="auto"/>
            <w:bottom w:val="none" w:sz="0" w:space="0" w:color="auto"/>
            <w:right w:val="none" w:sz="0" w:space="0" w:color="auto"/>
          </w:divBdr>
          <w:divsChild>
            <w:div w:id="288829740">
              <w:marLeft w:val="0"/>
              <w:marRight w:val="0"/>
              <w:marTop w:val="0"/>
              <w:marBottom w:val="0"/>
              <w:divBdr>
                <w:top w:val="none" w:sz="0" w:space="0" w:color="auto"/>
                <w:left w:val="none" w:sz="0" w:space="0" w:color="auto"/>
                <w:bottom w:val="none" w:sz="0" w:space="0" w:color="auto"/>
                <w:right w:val="none" w:sz="0" w:space="0" w:color="auto"/>
              </w:divBdr>
              <w:divsChild>
                <w:div w:id="602540123">
                  <w:marLeft w:val="0"/>
                  <w:marRight w:val="0"/>
                  <w:marTop w:val="0"/>
                  <w:marBottom w:val="0"/>
                  <w:divBdr>
                    <w:top w:val="none" w:sz="0" w:space="0" w:color="auto"/>
                    <w:left w:val="none" w:sz="0" w:space="0" w:color="auto"/>
                    <w:bottom w:val="none" w:sz="0" w:space="0" w:color="auto"/>
                    <w:right w:val="none" w:sz="0" w:space="0" w:color="auto"/>
                  </w:divBdr>
                  <w:divsChild>
                    <w:div w:id="1016733489">
                      <w:marLeft w:val="0"/>
                      <w:marRight w:val="0"/>
                      <w:marTop w:val="0"/>
                      <w:marBottom w:val="0"/>
                      <w:divBdr>
                        <w:top w:val="none" w:sz="0" w:space="0" w:color="auto"/>
                        <w:left w:val="none" w:sz="0" w:space="0" w:color="auto"/>
                        <w:bottom w:val="none" w:sz="0" w:space="0" w:color="auto"/>
                        <w:right w:val="none" w:sz="0" w:space="0" w:color="auto"/>
                      </w:divBdr>
                      <w:divsChild>
                        <w:div w:id="1244678941">
                          <w:marLeft w:val="0"/>
                          <w:marRight w:val="0"/>
                          <w:marTop w:val="0"/>
                          <w:marBottom w:val="0"/>
                          <w:divBdr>
                            <w:top w:val="none" w:sz="0" w:space="0" w:color="auto"/>
                            <w:left w:val="none" w:sz="0" w:space="0" w:color="auto"/>
                            <w:bottom w:val="none" w:sz="0" w:space="0" w:color="auto"/>
                            <w:right w:val="none" w:sz="0" w:space="0" w:color="auto"/>
                          </w:divBdr>
                          <w:divsChild>
                            <w:div w:id="1630936832">
                              <w:marLeft w:val="0"/>
                              <w:marRight w:val="0"/>
                              <w:marTop w:val="0"/>
                              <w:marBottom w:val="0"/>
                              <w:divBdr>
                                <w:top w:val="none" w:sz="0" w:space="0" w:color="auto"/>
                                <w:left w:val="none" w:sz="0" w:space="0" w:color="auto"/>
                                <w:bottom w:val="none" w:sz="0" w:space="0" w:color="auto"/>
                                <w:right w:val="none" w:sz="0" w:space="0" w:color="auto"/>
                              </w:divBdr>
                              <w:divsChild>
                                <w:div w:id="1894273296">
                                  <w:marLeft w:val="0"/>
                                  <w:marRight w:val="0"/>
                                  <w:marTop w:val="0"/>
                                  <w:marBottom w:val="0"/>
                                  <w:divBdr>
                                    <w:top w:val="none" w:sz="0" w:space="0" w:color="auto"/>
                                    <w:left w:val="none" w:sz="0" w:space="0" w:color="auto"/>
                                    <w:bottom w:val="none" w:sz="0" w:space="0" w:color="auto"/>
                                    <w:right w:val="none" w:sz="0" w:space="0" w:color="auto"/>
                                  </w:divBdr>
                                  <w:divsChild>
                                    <w:div w:id="2029063335">
                                      <w:marLeft w:val="0"/>
                                      <w:marRight w:val="0"/>
                                      <w:marTop w:val="0"/>
                                      <w:marBottom w:val="0"/>
                                      <w:divBdr>
                                        <w:top w:val="none" w:sz="0" w:space="0" w:color="auto"/>
                                        <w:left w:val="none" w:sz="0" w:space="0" w:color="auto"/>
                                        <w:bottom w:val="none" w:sz="0" w:space="0" w:color="auto"/>
                                        <w:right w:val="none" w:sz="0" w:space="0" w:color="auto"/>
                                      </w:divBdr>
                                      <w:divsChild>
                                        <w:div w:id="461968815">
                                          <w:marLeft w:val="0"/>
                                          <w:marRight w:val="0"/>
                                          <w:marTop w:val="0"/>
                                          <w:marBottom w:val="0"/>
                                          <w:divBdr>
                                            <w:top w:val="none" w:sz="0" w:space="0" w:color="auto"/>
                                            <w:left w:val="none" w:sz="0" w:space="0" w:color="auto"/>
                                            <w:bottom w:val="none" w:sz="0" w:space="0" w:color="auto"/>
                                            <w:right w:val="none" w:sz="0" w:space="0" w:color="auto"/>
                                          </w:divBdr>
                                          <w:divsChild>
                                            <w:div w:id="655229489">
                                              <w:marLeft w:val="0"/>
                                              <w:marRight w:val="0"/>
                                              <w:marTop w:val="0"/>
                                              <w:marBottom w:val="0"/>
                                              <w:divBdr>
                                                <w:top w:val="none" w:sz="0" w:space="0" w:color="auto"/>
                                                <w:left w:val="none" w:sz="0" w:space="0" w:color="auto"/>
                                                <w:bottom w:val="none" w:sz="0" w:space="0" w:color="auto"/>
                                                <w:right w:val="none" w:sz="0" w:space="0" w:color="auto"/>
                                              </w:divBdr>
                                              <w:divsChild>
                                                <w:div w:id="17137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355475">
      <w:bodyDiv w:val="1"/>
      <w:marLeft w:val="0"/>
      <w:marRight w:val="0"/>
      <w:marTop w:val="0"/>
      <w:marBottom w:val="0"/>
      <w:divBdr>
        <w:top w:val="none" w:sz="0" w:space="0" w:color="auto"/>
        <w:left w:val="none" w:sz="0" w:space="0" w:color="auto"/>
        <w:bottom w:val="none" w:sz="0" w:space="0" w:color="auto"/>
        <w:right w:val="none" w:sz="0" w:space="0" w:color="auto"/>
      </w:divBdr>
    </w:div>
    <w:div w:id="802960804">
      <w:bodyDiv w:val="1"/>
      <w:marLeft w:val="0"/>
      <w:marRight w:val="0"/>
      <w:marTop w:val="0"/>
      <w:marBottom w:val="0"/>
      <w:divBdr>
        <w:top w:val="none" w:sz="0" w:space="0" w:color="auto"/>
        <w:left w:val="none" w:sz="0" w:space="0" w:color="auto"/>
        <w:bottom w:val="none" w:sz="0" w:space="0" w:color="auto"/>
        <w:right w:val="none" w:sz="0" w:space="0" w:color="auto"/>
      </w:divBdr>
    </w:div>
    <w:div w:id="829252151">
      <w:bodyDiv w:val="1"/>
      <w:marLeft w:val="0"/>
      <w:marRight w:val="0"/>
      <w:marTop w:val="0"/>
      <w:marBottom w:val="0"/>
      <w:divBdr>
        <w:top w:val="none" w:sz="0" w:space="0" w:color="auto"/>
        <w:left w:val="none" w:sz="0" w:space="0" w:color="auto"/>
        <w:bottom w:val="none" w:sz="0" w:space="0" w:color="auto"/>
        <w:right w:val="none" w:sz="0" w:space="0" w:color="auto"/>
      </w:divBdr>
    </w:div>
    <w:div w:id="1225407839">
      <w:bodyDiv w:val="1"/>
      <w:marLeft w:val="0"/>
      <w:marRight w:val="0"/>
      <w:marTop w:val="0"/>
      <w:marBottom w:val="0"/>
      <w:divBdr>
        <w:top w:val="none" w:sz="0" w:space="0" w:color="auto"/>
        <w:left w:val="none" w:sz="0" w:space="0" w:color="auto"/>
        <w:bottom w:val="none" w:sz="0" w:space="0" w:color="auto"/>
        <w:right w:val="none" w:sz="0" w:space="0" w:color="auto"/>
      </w:divBdr>
    </w:div>
    <w:div w:id="1476097784">
      <w:bodyDiv w:val="1"/>
      <w:marLeft w:val="0"/>
      <w:marRight w:val="0"/>
      <w:marTop w:val="0"/>
      <w:marBottom w:val="0"/>
      <w:divBdr>
        <w:top w:val="none" w:sz="0" w:space="0" w:color="auto"/>
        <w:left w:val="none" w:sz="0" w:space="0" w:color="auto"/>
        <w:bottom w:val="none" w:sz="0" w:space="0" w:color="auto"/>
        <w:right w:val="none" w:sz="0" w:space="0" w:color="auto"/>
      </w:divBdr>
    </w:div>
    <w:div w:id="1686328212">
      <w:bodyDiv w:val="1"/>
      <w:marLeft w:val="0"/>
      <w:marRight w:val="0"/>
      <w:marTop w:val="0"/>
      <w:marBottom w:val="0"/>
      <w:divBdr>
        <w:top w:val="none" w:sz="0" w:space="0" w:color="auto"/>
        <w:left w:val="none" w:sz="0" w:space="0" w:color="auto"/>
        <w:bottom w:val="none" w:sz="0" w:space="0" w:color="auto"/>
        <w:right w:val="none" w:sz="0" w:space="0" w:color="auto"/>
      </w:divBdr>
      <w:divsChild>
        <w:div w:id="412774704">
          <w:marLeft w:val="0"/>
          <w:marRight w:val="0"/>
          <w:marTop w:val="0"/>
          <w:marBottom w:val="0"/>
          <w:divBdr>
            <w:top w:val="none" w:sz="0" w:space="0" w:color="auto"/>
            <w:left w:val="none" w:sz="0" w:space="0" w:color="auto"/>
            <w:bottom w:val="none" w:sz="0" w:space="0" w:color="auto"/>
            <w:right w:val="none" w:sz="0" w:space="0" w:color="auto"/>
          </w:divBdr>
          <w:divsChild>
            <w:div w:id="1347487602">
              <w:marLeft w:val="0"/>
              <w:marRight w:val="0"/>
              <w:marTop w:val="0"/>
              <w:marBottom w:val="150"/>
              <w:divBdr>
                <w:top w:val="none" w:sz="0" w:space="0" w:color="auto"/>
                <w:left w:val="none" w:sz="0" w:space="0" w:color="auto"/>
                <w:bottom w:val="none" w:sz="0" w:space="0" w:color="auto"/>
                <w:right w:val="none" w:sz="0" w:space="0" w:color="auto"/>
              </w:divBdr>
              <w:divsChild>
                <w:div w:id="1606036882">
                  <w:marLeft w:val="0"/>
                  <w:marRight w:val="0"/>
                  <w:marTop w:val="0"/>
                  <w:marBottom w:val="0"/>
                  <w:divBdr>
                    <w:top w:val="none" w:sz="0" w:space="0" w:color="auto"/>
                    <w:left w:val="none" w:sz="0" w:space="0" w:color="auto"/>
                    <w:bottom w:val="none" w:sz="0" w:space="0" w:color="auto"/>
                    <w:right w:val="none" w:sz="0" w:space="0" w:color="auto"/>
                  </w:divBdr>
                  <w:divsChild>
                    <w:div w:id="1692031792">
                      <w:marLeft w:val="0"/>
                      <w:marRight w:val="0"/>
                      <w:marTop w:val="0"/>
                      <w:marBottom w:val="0"/>
                      <w:divBdr>
                        <w:top w:val="none" w:sz="0" w:space="0" w:color="auto"/>
                        <w:left w:val="none" w:sz="0" w:space="0" w:color="auto"/>
                        <w:bottom w:val="none" w:sz="0" w:space="0" w:color="auto"/>
                        <w:right w:val="none" w:sz="0" w:space="0" w:color="auto"/>
                      </w:divBdr>
                      <w:divsChild>
                        <w:div w:id="294222616">
                          <w:marLeft w:val="0"/>
                          <w:marRight w:val="0"/>
                          <w:marTop w:val="0"/>
                          <w:marBottom w:val="0"/>
                          <w:divBdr>
                            <w:top w:val="none" w:sz="0" w:space="0" w:color="auto"/>
                            <w:left w:val="none" w:sz="0" w:space="0" w:color="auto"/>
                            <w:bottom w:val="none" w:sz="0" w:space="0" w:color="auto"/>
                            <w:right w:val="none" w:sz="0" w:space="0" w:color="auto"/>
                          </w:divBdr>
                          <w:divsChild>
                            <w:div w:id="169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07149">
      <w:bodyDiv w:val="1"/>
      <w:marLeft w:val="0"/>
      <w:marRight w:val="0"/>
      <w:marTop w:val="0"/>
      <w:marBottom w:val="0"/>
      <w:divBdr>
        <w:top w:val="none" w:sz="0" w:space="0" w:color="auto"/>
        <w:left w:val="none" w:sz="0" w:space="0" w:color="auto"/>
        <w:bottom w:val="none" w:sz="0" w:space="0" w:color="auto"/>
        <w:right w:val="none" w:sz="0" w:space="0" w:color="auto"/>
      </w:divBdr>
    </w:div>
    <w:div w:id="1906989917">
      <w:bodyDiv w:val="1"/>
      <w:marLeft w:val="0"/>
      <w:marRight w:val="0"/>
      <w:marTop w:val="0"/>
      <w:marBottom w:val="0"/>
      <w:divBdr>
        <w:top w:val="none" w:sz="0" w:space="0" w:color="auto"/>
        <w:left w:val="none" w:sz="0" w:space="0" w:color="auto"/>
        <w:bottom w:val="none" w:sz="0" w:space="0" w:color="auto"/>
        <w:right w:val="none" w:sz="0" w:space="0" w:color="auto"/>
      </w:divBdr>
    </w:div>
    <w:div w:id="19189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settings" Target="settings.xml"/><Relationship Id="rId12" Type="http://schemas.openxmlformats.org/officeDocument/2006/relationships/hyperlink" Target="http://www.sustainability.vic.gov.au/publications-and-research/research/life-cycle-assessment/life-cycle-assessment-calculator"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footer2.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tter" ma:contentTypeID="0x01010099DDF8EDA320E543B1EC6B982B0C0121120065B8024EE580864F9CB2952CE7B16AC9" ma:contentTypeVersion="2" ma:contentTypeDescription="Correspondence either received in electronic or physical form and subsequently scanned. Is both internally and externally generated." ma:contentTypeScope="" ma:versionID="484ec3aafe93888f8dfab67982c7a532">
  <xsd:schema xmlns:xsd="http://www.w3.org/2001/XMLSchema" xmlns:xs="http://www.w3.org/2001/XMLSchema" xmlns:p="http://schemas.microsoft.com/office/2006/metadata/properties" xmlns:ns2="b66fd856-7ca4-4208-bfbd-324f6f3e91d3" xmlns:ns3="0478b3d0-02d8-4d17-b53a-8e4130380b85" targetNamespace="http://schemas.microsoft.com/office/2006/metadata/properties" ma:root="true" ma:fieldsID="fa1dc6345ff48341ea0c58cd519afc52" ns2:_="" ns3:_="">
    <xsd:import namespace="b66fd856-7ca4-4208-bfbd-324f6f3e91d3"/>
    <xsd:import namespace="0478b3d0-02d8-4d17-b53a-8e4130380b85"/>
    <xsd:element name="properties">
      <xsd:complexType>
        <xsd:sequence>
          <xsd:element name="documentManagement">
            <xsd:complexType>
              <xsd:all>
                <xsd:element ref="ns2:l19c03aba7cf4268b442a699abdd95c1" minOccurs="0"/>
                <xsd:element ref="ns2:TaxCatchAll" minOccurs="0"/>
                <xsd:element ref="ns2:TaxCatchAllLabel" minOccurs="0"/>
                <xsd:element ref="ns3:Marked_x0020_for_x0020_Deletion" minOccurs="0"/>
                <xsd:element ref="ns2:LivelinkID" minOccurs="0"/>
                <xsd:element ref="ns2:oa9ff634f432497fbe7a448b9e66b205" minOccurs="0"/>
                <xsd:element ref="ns2:Reference_x0020_Number"/>
                <xsd:element ref="ns2:Incoming_x0020_or_x0020_outgoing_x003f_"/>
                <xsd:element ref="ns2:Date_x0020_received_x002f_sent" minOccurs="0"/>
                <xsd:element ref="ns2:To_x002f_from_x0020_who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fd856-7ca4-4208-bfbd-324f6f3e91d3" elementFormDefault="qualified">
    <xsd:import namespace="http://schemas.microsoft.com/office/2006/documentManagement/types"/>
    <xsd:import namespace="http://schemas.microsoft.com/office/infopath/2007/PartnerControls"/>
    <xsd:element name="l19c03aba7cf4268b442a699abdd95c1" ma:index="8" nillable="true" ma:taxonomy="true" ma:internalName="l19c03aba7cf4268b442a699abdd95c1" ma:taxonomyFieldName="DM_x0020_Key_x0020_Word" ma:displayName="DM Key Word" ma:readOnly="false" ma:default="" ma:fieldId="{519c03ab-a7cf-4268-b442-a699abdd95c1}" ma:sspId="a2a80313-aeb0-43cb-af8b-51726a16eb99" ma:termSetId="5b46aed8-1fb6-4566-8825-d0f9ab16c4f5" ma:anchorId="a20847b2-50fa-4005-9718-a0e9a99659a0" ma:open="false" ma:isKeyword="false">
      <xsd:complexType>
        <xsd:sequence>
          <xsd:element ref="pc:Terms" minOccurs="0" maxOccurs="1"/>
        </xsd:sequence>
      </xsd:complexType>
    </xsd:element>
    <xsd:element name="TaxCatchAll" ma:index="9" nillable="true" ma:displayName="Taxonomy Catch All Column" ma:hidden="true" ma:list="{c546354f-1e19-4227-8c9e-1ddc80ee59ec}" ma:internalName="TaxCatchAll" ma:showField="CatchAllData" ma:web="b66fd856-7ca4-4208-bfbd-324f6f3e9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46354f-1e19-4227-8c9e-1ddc80ee59ec}" ma:internalName="TaxCatchAllLabel" ma:readOnly="true" ma:showField="CatchAllDataLabel" ma:web="b66fd856-7ca4-4208-bfbd-324f6f3e91d3">
      <xsd:complexType>
        <xsd:complexContent>
          <xsd:extension base="dms:MultiChoiceLookup">
            <xsd:sequence>
              <xsd:element name="Value" type="dms:Lookup" maxOccurs="unbounded" minOccurs="0" nillable="true"/>
            </xsd:sequence>
          </xsd:extension>
        </xsd:complexContent>
      </xsd:complexType>
    </xsd:element>
    <xsd:element name="LivelinkID" ma:index="13" nillable="true" ma:displayName="LivelinkID" ma:internalName="LivelinkID" ma:readOnly="false">
      <xsd:simpleType>
        <xsd:restriction base="dms:Text">
          <xsd:maxLength value="255"/>
        </xsd:restriction>
      </xsd:simpleType>
    </xsd:element>
    <xsd:element name="oa9ff634f432497fbe7a448b9e66b205" ma:index="14" nillable="true" ma:taxonomy="true" ma:internalName="oa9ff634f432497fbe7a448b9e66b205" ma:taxonomyFieldName="Security_x0020_Classification" ma:displayName="Security Classification" ma:readOnly="false" ma:default="35;#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element name="Reference_x0020_Number" ma:index="16" ma:displayName="Reference Number" ma:internalName="Reference_x0020_Number" ma:readOnly="false">
      <xsd:simpleType>
        <xsd:restriction base="dms:Text">
          <xsd:maxLength value="255"/>
        </xsd:restriction>
      </xsd:simpleType>
    </xsd:element>
    <xsd:element name="Incoming_x0020_or_x0020_outgoing_x003f_" ma:index="17" ma:displayName="Incoming or outgoing?" ma:default="Incoming" ma:format="Dropdown" ma:internalName="Incoming_x0020_or_x0020_outgoing_x003F_" ma:readOnly="false">
      <xsd:simpleType>
        <xsd:restriction base="dms:Choice">
          <xsd:enumeration value="Incoming"/>
          <xsd:enumeration value="Outgoing"/>
        </xsd:restriction>
      </xsd:simpleType>
    </xsd:element>
    <xsd:element name="Date_x0020_received_x002f_sent" ma:index="18" nillable="true" ma:displayName="Date received/sent" ma:format="DateOnly" ma:internalName="Date_x0020_received_x002F_sent" ma:readOnly="false">
      <xsd:simpleType>
        <xsd:restriction base="dms:DateTime"/>
      </xsd:simpleType>
    </xsd:element>
    <xsd:element name="To_x002f_from_x0020_whom" ma:index="19" ma:displayName="To/from whom" ma:internalName="To_x002F_from_x0020_who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8b3d0-02d8-4d17-b53a-8e4130380b85" elementFormDefault="qualified">
    <xsd:import namespace="http://schemas.microsoft.com/office/2006/documentManagement/types"/>
    <xsd:import namespace="http://schemas.microsoft.com/office/infopath/2007/PartnerControls"/>
    <xsd:element name="Marked_x0020_for_x0020_Deletion" ma:index="12" nillable="true" ma:displayName="Marked for Deletion" ma:default="0" ma:internalName="Marked_x0020_for_x0020_Deletion"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ked_x0020_for_x0020_Deletion xmlns="0478b3d0-02d8-4d17-b53a-8e4130380b85">false</Marked_x0020_for_x0020_Deletion>
    <l19c03aba7cf4268b442a699abdd95c1 xmlns="b66fd856-7ca4-4208-bfbd-324f6f3e91d3">
      <Terms xmlns="http://schemas.microsoft.com/office/infopath/2007/PartnerControls">
        <TermInfo xmlns="http://schemas.microsoft.com/office/infopath/2007/PartnerControls">
          <TermName xmlns="http://schemas.microsoft.com/office/infopath/2007/PartnerControls">Ministers Office</TermName>
          <TermId xmlns="http://schemas.microsoft.com/office/infopath/2007/PartnerControls">9d39567f-5657-48f2-9f8e-d0924e3688d2</TermId>
        </TermInfo>
      </Terms>
    </l19c03aba7cf4268b442a699abdd95c1>
    <oa9ff634f432497fbe7a448b9e66b205 xmlns="b66fd856-7ca4-4208-bfbd-324f6f3e91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a6f64896-ae48-4d38-9394-0168a9e18a35</TermId>
        </TermInfo>
      </Terms>
    </oa9ff634f432497fbe7a448b9e66b205>
    <TaxCatchAll xmlns="b66fd856-7ca4-4208-bfbd-324f6f3e91d3">
      <Value>16</Value>
      <Value>14</Value>
      <Value>99</Value>
      <Value>31</Value>
      <Value>8</Value>
      <Value>108</Value>
      <Value>35</Value>
    </TaxCatchAll>
    <LivelinkID xmlns="b66fd856-7ca4-4208-bfbd-324f6f3e91d3" xsi:nil="true"/>
    <Date_x0020_received_x002f_sent xmlns="b66fd856-7ca4-4208-bfbd-324f6f3e91d3" xsi:nil="true"/>
    <Reference_x0020_Number xmlns="b66fd856-7ca4-4208-bfbd-324f6f3e91d3">MBR036608</Reference_x0020_Number>
    <To_x002f_from_x0020_whom xmlns="b66fd856-7ca4-4208-bfbd-324f6f3e91d3">Karen Wilson</To_x002f_from_x0020_whom>
    <Incoming_x0020_or_x0020_outgoing_x003f_ xmlns="b66fd856-7ca4-4208-bfbd-324f6f3e91d3">Outgoing</Incoming_x0020_or_x0020_outgoing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64B4-DA26-4283-8777-C62726256527}"/>
</file>

<file path=customXml/itemProps2.xml><?xml version="1.0" encoding="utf-8"?>
<ds:datastoreItem xmlns:ds="http://schemas.openxmlformats.org/officeDocument/2006/customXml" ds:itemID="{2AE839DD-A78D-4854-B155-038B5AF8CDF8}"/>
</file>

<file path=customXml/itemProps3.xml><?xml version="1.0" encoding="utf-8"?>
<ds:datastoreItem xmlns:ds="http://schemas.openxmlformats.org/officeDocument/2006/customXml" ds:itemID="{2D74A7FA-3670-40B1-A5A3-508F19EEC781}"/>
</file>

<file path=customXml/itemProps4.xml><?xml version="1.0" encoding="utf-8"?>
<ds:datastoreItem xmlns:ds="http://schemas.openxmlformats.org/officeDocument/2006/customXml" ds:itemID="{B95E95CB-C2FA-466E-9B20-39DF84EF705C}"/>
</file>

<file path=docProps/app.xml><?xml version="1.0" encoding="utf-8"?>
<Properties xmlns="http://schemas.openxmlformats.org/officeDocument/2006/extended-properties" xmlns:vt="http://schemas.openxmlformats.org/officeDocument/2006/docPropsVTypes">
  <Template>Normal.dotm</Template>
  <TotalTime>80</TotalTime>
  <Pages>27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Victorian Recycling Industry Annual Report 2016-17 Highlevel FINAL</vt:lpstr>
    </vt:vector>
  </TitlesOfParts>
  <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Recycling Industry Annual Report 2016-17 Highlevel FINAL</dc:title>
  <dc:subject/>
  <dc:creator>Julia McNicol</dc:creator>
  <cp:keywords/>
  <dc:description/>
  <cp:lastModifiedBy>Nick Chrisant</cp:lastModifiedBy>
  <cp:revision>14</cp:revision>
  <cp:lastPrinted>2018-07-10T01:53:00Z</cp:lastPrinted>
  <dcterms:created xsi:type="dcterms:W3CDTF">2018-07-24T04:55:00Z</dcterms:created>
  <dcterms:modified xsi:type="dcterms:W3CDTF">2018-10-05T03:13:00Z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0x01010099DDF8EDA320E543B1EC6B982B0C0121120065B8024EE580864F9CB2952CE7B16AC9</vt:lpwstr>
  </property>
  <property fmtid="{D5CDD505-2E9C-101B-9397-08002B2CF9AE}" pid="3" name="m2a46786ab4242859a6101eb70b9b150">
    <vt:lpwstr>Internal Report|a89eade3-a39a-496c-a215-f730206bee91</vt:lpwstr>
  </property>
  <property fmtid="{D5CDD505-2E9C-101B-9397-08002B2CF9AE}" pid="4" name="lbd76de8d1c447e69ed2be2b10a21be3">
    <vt:lpwstr>2014-15|c8ad80d9-9626-4ad5-9533-87bf6e7ffebf</vt:lpwstr>
  </property>
  <property fmtid="{D5CDD505-2E9C-101B-9397-08002B2CF9AE}" pid="5" name="DM Key Word">
    <vt:lpwstr>8;#Ministers Office|9d39567f-5657-48f2-9f8e-d0924e3688d2</vt:lpwstr>
  </property>
  <property fmtid="{D5CDD505-2E9C-101B-9397-08002B2CF9AE}" pid="6" name="Financial Year">
    <vt:lpwstr>8;#2014-15|c8ad80d9-9626-4ad5-9533-87bf6e7ffebf</vt:lpwstr>
  </property>
  <property fmtid="{D5CDD505-2E9C-101B-9397-08002B2CF9AE}" pid="7" name="Security Classification">
    <vt:lpwstr>35;#Unclassified|a6f64896-ae48-4d38-9394-0168a9e18a35</vt:lpwstr>
  </property>
  <property fmtid="{D5CDD505-2E9C-101B-9397-08002B2CF9AE}" pid="8" name="Report Type">
    <vt:lpwstr>23;#Internal Report|a89eade3-a39a-496c-a215-f730206bee91</vt:lpwstr>
  </property>
  <property fmtid="{D5CDD505-2E9C-101B-9397-08002B2CF9AE}" pid="9" name="ndce0d0d55a349928d36ed823709dfec">
    <vt:lpwstr>Data and Governance|3fcd623d-c4c5-45d6-9bd0-abc774937aee</vt:lpwstr>
  </property>
  <property fmtid="{D5CDD505-2E9C-101B-9397-08002B2CF9AE}" pid="10" name="Data Collection">
    <vt:lpwstr/>
  </property>
  <property fmtid="{D5CDD505-2E9C-101B-9397-08002B2CF9AE}" pid="11" name="Team1">
    <vt:lpwstr>99;#Data and Governance|3fcd623d-c4c5-45d6-9bd0-abc774937aee</vt:lpwstr>
  </property>
  <property fmtid="{D5CDD505-2E9C-101B-9397-08002B2CF9AE}" pid="12" name="a08a6089e46746499c2f2704ce97e999">
    <vt:lpwstr/>
  </property>
  <property fmtid="{D5CDD505-2E9C-101B-9397-08002B2CF9AE}" pid="13" name="b73968e9ce784ca4a391306e0a0a5f46">
    <vt:lpwstr>2015|87ad06d5-2837-46bf-8c9b-4cc852d4ada0</vt:lpwstr>
  </property>
  <property fmtid="{D5CDD505-2E9C-101B-9397-08002B2CF9AE}" pid="14" name="kd4573a3d2964c61a2654bab2ee63e91">
    <vt:lpwstr/>
  </property>
  <property fmtid="{D5CDD505-2E9C-101B-9397-08002B2CF9AE}" pid="15" name="i4587b40dee642c5a1d5214f2c9eb308">
    <vt:lpwstr>Minutes|9a90a59b-df34-44af-b72f-b8fa25724038</vt:lpwstr>
  </property>
  <property fmtid="{D5CDD505-2E9C-101B-9397-08002B2CF9AE}" pid="16" name="Month">
    <vt:lpwstr/>
  </property>
  <property fmtid="{D5CDD505-2E9C-101B-9397-08002B2CF9AE}" pid="17" name="Calendar Year">
    <vt:lpwstr>14;#2015|87ad06d5-2837-46bf-8c9b-4cc852d4ada0</vt:lpwstr>
  </property>
  <property fmtid="{D5CDD505-2E9C-101B-9397-08002B2CF9AE}" pid="18" name="Meeting Type">
    <vt:lpwstr>31;#Minutes|9a90a59b-df34-44af-b72f-b8fa25724038</vt:lpwstr>
  </property>
  <property fmtid="{D5CDD505-2E9C-101B-9397-08002B2CF9AE}" pid="19" name="Communication document type">
    <vt:lpwstr>16;#Brief|7a08c022-f9cf-4d47-b74d-3d54d3874e09</vt:lpwstr>
  </property>
  <property fmtid="{D5CDD505-2E9C-101B-9397-08002B2CF9AE}" pid="20" name="SV_Audience">
    <vt:lpwstr>Public</vt:lpwstr>
  </property>
  <property fmtid="{D5CDD505-2E9C-101B-9397-08002B2CF9AE}" pid="21" name="Audience1">
    <vt:lpwstr>108;#Minister|352f3542-223a-4e11-928d-e200c8d7dc27</vt:lpwstr>
  </property>
  <property fmtid="{D5CDD505-2E9C-101B-9397-08002B2CF9AE}" pid="22" name="Communication Date">
    <vt:filetime>2016-10-20T13:00:00Z</vt:filetime>
  </property>
  <property fmtid="{D5CDD505-2E9C-101B-9397-08002B2CF9AE}" pid="23" name="Internal or External?">
    <vt:lpwstr>Internal</vt:lpwstr>
  </property>
  <property fmtid="{D5CDD505-2E9C-101B-9397-08002B2CF9AE}" pid="24" name="b597d033ab9a4eb5a9384d5125191b65">
    <vt:lpwstr>Brief|7a08c022-f9cf-4d47-b74d-3d54d3874e09</vt:lpwstr>
  </property>
  <property fmtid="{D5CDD505-2E9C-101B-9397-08002B2CF9AE}" pid="25" name="acafe7a9d7a341d6beae3d9897918af1">
    <vt:lpwstr>Minister|352f3542-223a-4e11-928d-e200c8d7dc27</vt:lpwstr>
  </property>
  <property fmtid="{D5CDD505-2E9C-101B-9397-08002B2CF9AE}" pid="26" name="RecordPoint_WorkflowType">
    <vt:lpwstr>ActiveSubmitStub</vt:lpwstr>
  </property>
  <property fmtid="{D5CDD505-2E9C-101B-9397-08002B2CF9AE}" pid="27" name="RecordPoint_ActiveItemWebId">
    <vt:lpwstr>{b71b3184-ebda-4163-8292-4db039109491}</vt:lpwstr>
  </property>
  <property fmtid="{D5CDD505-2E9C-101B-9397-08002B2CF9AE}" pid="28" name="RecordPoint_ActiveItemSiteId">
    <vt:lpwstr>{8c33f243-4191-444f-8e60-aca182bf1fba}</vt:lpwstr>
  </property>
  <property fmtid="{D5CDD505-2E9C-101B-9397-08002B2CF9AE}" pid="29" name="RecordPoint_ActiveItemListId">
    <vt:lpwstr>{6dadc42e-6297-43e7-b8f5-55fb32687c05}</vt:lpwstr>
  </property>
  <property fmtid="{D5CDD505-2E9C-101B-9397-08002B2CF9AE}" pid="30" name="RecordPoint_ActiveItemUniqueId">
    <vt:lpwstr>{6f935a0c-0c2f-410c-8724-0da1e6eae91f}</vt:lpwstr>
  </property>
  <property fmtid="{D5CDD505-2E9C-101B-9397-08002B2CF9AE}" pid="31" name="RecordPoint_RecordNumberSubmitted">
    <vt:lpwstr>R0000087507</vt:lpwstr>
  </property>
  <property fmtid="{D5CDD505-2E9C-101B-9397-08002B2CF9AE}" pid="32" name="_docset_NoMedatataSyncRequired">
    <vt:lpwstr>False</vt:lpwstr>
  </property>
  <property fmtid="{D5CDD505-2E9C-101B-9397-08002B2CF9AE}" pid="33" name="RecordPoint_SubmissionDate">
    <vt:lpwstr/>
  </property>
  <property fmtid="{D5CDD505-2E9C-101B-9397-08002B2CF9AE}" pid="34" name="RecordPoint_RecordFormat">
    <vt:lpwstr/>
  </property>
  <property fmtid="{D5CDD505-2E9C-101B-9397-08002B2CF9AE}" pid="35" name="RecordPoint_ActiveItemMoved">
    <vt:lpwstr/>
  </property>
  <property fmtid="{D5CDD505-2E9C-101B-9397-08002B2CF9AE}" pid="36" name="RecordPoint_SubmissionCompleted">
    <vt:lpwstr>2018-10-05T13:14:49.8600434+10:00</vt:lpwstr>
  </property>
</Properties>
</file>