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96074" w14:textId="77777777" w:rsidR="009E4649" w:rsidRPr="0049771D" w:rsidRDefault="009E4649" w:rsidP="009E4649">
      <w:pPr>
        <w:pStyle w:val="Heading2"/>
        <w:keepNext w:val="0"/>
        <w:keepLines w:val="0"/>
        <w:widowControl w:val="0"/>
        <w:numPr>
          <w:ilvl w:val="0"/>
          <w:numId w:val="1"/>
        </w:numPr>
        <w:spacing w:before="0" w:line="260" w:lineRule="atLeast"/>
        <w:rPr>
          <w:rFonts w:ascii="Arial" w:eastAsia="Times New Roman" w:hAnsi="Arial" w:cs="Arial"/>
          <w:bCs/>
          <w:color w:val="595959"/>
        </w:rPr>
      </w:pPr>
      <w:bookmarkStart w:id="0" w:name="_Toc445453848"/>
      <w:r w:rsidRPr="0049771D">
        <w:rPr>
          <w:rFonts w:ascii="Arial" w:eastAsia="Times New Roman" w:hAnsi="Arial" w:cs="Arial"/>
          <w:bCs/>
          <w:color w:val="595959"/>
        </w:rPr>
        <w:t>Total local government household kerbside collection results</w:t>
      </w:r>
      <w:bookmarkEnd w:id="0"/>
    </w:p>
    <w:p w14:paraId="69E61A1B" w14:textId="77777777" w:rsidR="009E4649" w:rsidRPr="0049771D" w:rsidRDefault="009E4649" w:rsidP="009E4649">
      <w:pPr>
        <w:rPr>
          <w:rFonts w:ascii="Arial" w:hAnsi="Arial" w:cs="Arial"/>
          <w:sz w:val="20"/>
          <w:szCs w:val="20"/>
        </w:rPr>
      </w:pPr>
    </w:p>
    <w:p w14:paraId="75544F4F" w14:textId="77777777" w:rsidR="00A312F5" w:rsidRDefault="00A312F5" w:rsidP="009E4649">
      <w:pPr>
        <w:rPr>
          <w:rFonts w:ascii="Arial" w:hAnsi="Arial" w:cs="Arial"/>
          <w:sz w:val="20"/>
          <w:szCs w:val="20"/>
        </w:rPr>
      </w:pPr>
      <w:r>
        <w:rPr>
          <w:rFonts w:ascii="Arial" w:hAnsi="Arial" w:cs="Arial"/>
          <w:sz w:val="20"/>
          <w:szCs w:val="20"/>
        </w:rPr>
        <w:t xml:space="preserve">Kerbside </w:t>
      </w:r>
      <w:r w:rsidRPr="000C4E6B">
        <w:rPr>
          <w:rFonts w:ascii="Arial" w:hAnsi="Arial" w:cs="Arial"/>
          <w:sz w:val="20"/>
          <w:szCs w:val="20"/>
        </w:rPr>
        <w:t xml:space="preserve">garbage, recyclables and </w:t>
      </w:r>
      <w:r>
        <w:rPr>
          <w:rFonts w:ascii="Arial" w:hAnsi="Arial" w:cs="Arial"/>
          <w:sz w:val="20"/>
          <w:szCs w:val="20"/>
        </w:rPr>
        <w:t>garden organics</w:t>
      </w:r>
      <w:r w:rsidRPr="000C4E6B">
        <w:rPr>
          <w:rFonts w:ascii="Arial" w:hAnsi="Arial" w:cs="Arial"/>
          <w:sz w:val="20"/>
          <w:szCs w:val="20"/>
        </w:rPr>
        <w:t xml:space="preserve"> collected by local government was </w:t>
      </w:r>
      <w:r>
        <w:rPr>
          <w:rFonts w:ascii="Arial" w:hAnsi="Arial" w:cs="Arial"/>
          <w:b/>
          <w:sz w:val="20"/>
          <w:szCs w:val="20"/>
        </w:rPr>
        <w:t xml:space="preserve">2.14 </w:t>
      </w:r>
      <w:r w:rsidRPr="000C4E6B">
        <w:rPr>
          <w:rFonts w:ascii="Arial" w:hAnsi="Arial" w:cs="Arial"/>
          <w:b/>
          <w:sz w:val="20"/>
          <w:szCs w:val="20"/>
        </w:rPr>
        <w:t>million tonnes</w:t>
      </w:r>
      <w:r w:rsidRPr="000C4E6B">
        <w:rPr>
          <w:rFonts w:ascii="Arial" w:hAnsi="Arial" w:cs="Arial"/>
          <w:sz w:val="20"/>
          <w:szCs w:val="20"/>
        </w:rPr>
        <w:t xml:space="preserve"> (equivalent to 3</w:t>
      </w:r>
      <w:r>
        <w:rPr>
          <w:rFonts w:ascii="Arial" w:hAnsi="Arial" w:cs="Arial"/>
          <w:sz w:val="20"/>
          <w:szCs w:val="20"/>
        </w:rPr>
        <w:t>53kg</w:t>
      </w:r>
      <w:r w:rsidRPr="000C4E6B">
        <w:rPr>
          <w:rFonts w:ascii="Arial" w:hAnsi="Arial" w:cs="Arial"/>
          <w:sz w:val="20"/>
          <w:szCs w:val="20"/>
        </w:rPr>
        <w:t xml:space="preserve"> per person). This figure increased by </w:t>
      </w:r>
      <w:r>
        <w:rPr>
          <w:rFonts w:ascii="Arial" w:hAnsi="Arial" w:cs="Arial"/>
          <w:sz w:val="20"/>
          <w:szCs w:val="20"/>
        </w:rPr>
        <w:t>nearly 12,000</w:t>
      </w:r>
      <w:r w:rsidRPr="000C4E6B">
        <w:rPr>
          <w:rFonts w:ascii="Arial" w:hAnsi="Arial" w:cs="Arial"/>
          <w:sz w:val="20"/>
          <w:szCs w:val="20"/>
        </w:rPr>
        <w:t xml:space="preserve"> </w:t>
      </w:r>
      <w:r>
        <w:rPr>
          <w:rFonts w:ascii="Arial" w:hAnsi="Arial" w:cs="Arial"/>
          <w:sz w:val="20"/>
          <w:szCs w:val="20"/>
        </w:rPr>
        <w:t>tonnes (0.6%</w:t>
      </w:r>
      <w:r w:rsidRPr="000C4E6B">
        <w:rPr>
          <w:rFonts w:ascii="Arial" w:hAnsi="Arial" w:cs="Arial"/>
          <w:sz w:val="20"/>
          <w:szCs w:val="20"/>
        </w:rPr>
        <w:t xml:space="preserve">) from </w:t>
      </w:r>
      <w:r>
        <w:rPr>
          <w:rFonts w:ascii="Arial" w:hAnsi="Arial" w:cs="Arial"/>
          <w:sz w:val="20"/>
          <w:szCs w:val="20"/>
        </w:rPr>
        <w:t>2014-15</w:t>
      </w:r>
      <w:r w:rsidRPr="000C4E6B">
        <w:rPr>
          <w:rFonts w:ascii="Arial" w:hAnsi="Arial" w:cs="Arial"/>
          <w:sz w:val="20"/>
          <w:szCs w:val="20"/>
        </w:rPr>
        <w:t xml:space="preserve">. </w:t>
      </w:r>
    </w:p>
    <w:p w14:paraId="608D7CAE" w14:textId="3E7380FC" w:rsidR="009E4649" w:rsidRPr="0049771D" w:rsidRDefault="009E4649" w:rsidP="009E4649">
      <w:pPr>
        <w:rPr>
          <w:rFonts w:ascii="Arial" w:hAnsi="Arial" w:cs="Arial"/>
          <w:sz w:val="20"/>
          <w:szCs w:val="20"/>
        </w:rPr>
      </w:pPr>
      <w:r>
        <w:rPr>
          <w:rFonts w:ascii="Arial" w:hAnsi="Arial" w:cs="Arial"/>
          <w:sz w:val="20"/>
          <w:szCs w:val="20"/>
        </w:rPr>
        <w:t>Figure 1</w:t>
      </w:r>
      <w:r w:rsidRPr="0049771D">
        <w:rPr>
          <w:rFonts w:ascii="Arial" w:hAnsi="Arial" w:cs="Arial"/>
          <w:sz w:val="20"/>
          <w:szCs w:val="20"/>
        </w:rPr>
        <w:t xml:space="preserve"> shows the increase in tonnes collected by local government in Victoria (in metro and non-metro areas) since</w:t>
      </w:r>
      <w:r>
        <w:rPr>
          <w:rFonts w:ascii="Arial" w:hAnsi="Arial" w:cs="Arial"/>
          <w:sz w:val="20"/>
          <w:szCs w:val="20"/>
        </w:rPr>
        <w:t xml:space="preserve"> 2002-03</w:t>
      </w:r>
      <w:r w:rsidRPr="0049771D">
        <w:rPr>
          <w:rFonts w:ascii="Arial" w:hAnsi="Arial" w:cs="Arial"/>
          <w:sz w:val="20"/>
          <w:szCs w:val="20"/>
        </w:rPr>
        <w:t xml:space="preserve">. </w:t>
      </w:r>
    </w:p>
    <w:p w14:paraId="2EF50A6F" w14:textId="055619B4" w:rsidR="009E4649" w:rsidRPr="0049771D" w:rsidRDefault="009E4649" w:rsidP="009E4649">
      <w:pPr>
        <w:pStyle w:val="ReportCaptions"/>
        <w:rPr>
          <w:rFonts w:cs="Arial"/>
          <w:b/>
          <w:color w:val="auto"/>
        </w:rPr>
      </w:pPr>
      <w:bookmarkStart w:id="1" w:name="_Toc196024485"/>
      <w:bookmarkStart w:id="2" w:name="_Toc427587434"/>
      <w:r w:rsidRPr="0049771D">
        <w:rPr>
          <w:rFonts w:cs="Arial"/>
          <w:b/>
          <w:color w:val="auto"/>
        </w:rPr>
        <w:t xml:space="preserve">Figure 1: Total local government household kerbside collection </w:t>
      </w:r>
      <w:r>
        <w:rPr>
          <w:rFonts w:cs="Arial"/>
          <w:b/>
          <w:color w:val="auto"/>
        </w:rPr>
        <w:t>results by region, Victoria 2002-03</w:t>
      </w:r>
      <w:r w:rsidRPr="0049771D">
        <w:rPr>
          <w:rFonts w:cs="Arial"/>
          <w:b/>
          <w:color w:val="auto"/>
        </w:rPr>
        <w:t xml:space="preserve"> to 201</w:t>
      </w:r>
      <w:bookmarkEnd w:id="1"/>
      <w:bookmarkEnd w:id="2"/>
      <w:r w:rsidR="00A312F5">
        <w:rPr>
          <w:rFonts w:cs="Arial"/>
          <w:b/>
          <w:color w:val="auto"/>
        </w:rPr>
        <w:t>5-16</w:t>
      </w:r>
    </w:p>
    <w:p w14:paraId="099E1B65" w14:textId="347B5A68" w:rsidR="009E4649" w:rsidRPr="0049771D" w:rsidRDefault="009E4649" w:rsidP="009E4649">
      <w:pPr>
        <w:pStyle w:val="ReportCaptions"/>
        <w:rPr>
          <w:rFonts w:cs="Arial"/>
          <w:sz w:val="16"/>
          <w:szCs w:val="16"/>
        </w:rPr>
      </w:pPr>
      <w:r w:rsidRPr="0049771D">
        <w:rPr>
          <w:rFonts w:cs="Arial"/>
          <w:sz w:val="16"/>
          <w:szCs w:val="16"/>
        </w:rPr>
        <w:t xml:space="preserve"> </w:t>
      </w:r>
      <w:r w:rsidR="00A312F5" w:rsidRPr="006C559A">
        <w:rPr>
          <w:noProof/>
          <w:lang w:eastAsia="en-AU"/>
        </w:rPr>
        <w:drawing>
          <wp:inline distT="0" distB="0" distL="0" distR="0" wp14:anchorId="7B48116F" wp14:editId="16D1BE5F">
            <wp:extent cx="4881880" cy="32283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1880" cy="3228340"/>
                    </a:xfrm>
                    <a:prstGeom prst="rect">
                      <a:avLst/>
                    </a:prstGeom>
                    <a:noFill/>
                    <a:ln>
                      <a:noFill/>
                    </a:ln>
                  </pic:spPr>
                </pic:pic>
              </a:graphicData>
            </a:graphic>
          </wp:inline>
        </w:drawing>
      </w:r>
    </w:p>
    <w:p w14:paraId="118DA7B8" w14:textId="77777777" w:rsidR="009E4649" w:rsidRPr="0049771D" w:rsidRDefault="009E4649" w:rsidP="009E4649">
      <w:pPr>
        <w:rPr>
          <w:rFonts w:ascii="Arial" w:hAnsi="Arial" w:cs="Arial"/>
          <w:b/>
        </w:rPr>
      </w:pPr>
    </w:p>
    <w:p w14:paraId="0267EFE6" w14:textId="77777777" w:rsidR="009E4649" w:rsidRPr="0049771D" w:rsidRDefault="009E4649" w:rsidP="009E4649">
      <w:pPr>
        <w:rPr>
          <w:rFonts w:ascii="Arial" w:hAnsi="Arial" w:cs="Arial"/>
          <w:sz w:val="20"/>
          <w:szCs w:val="20"/>
        </w:rPr>
      </w:pPr>
      <w:r>
        <w:rPr>
          <w:rFonts w:ascii="Arial" w:hAnsi="Arial" w:cs="Arial"/>
          <w:sz w:val="20"/>
          <w:szCs w:val="20"/>
        </w:rPr>
        <w:t>Figure 2</w:t>
      </w:r>
      <w:r w:rsidRPr="0049771D">
        <w:rPr>
          <w:rFonts w:ascii="Arial" w:hAnsi="Arial" w:cs="Arial"/>
          <w:sz w:val="20"/>
          <w:szCs w:val="20"/>
        </w:rPr>
        <w:t xml:space="preserve"> shows the trends in tonnages of materials collected by local government in Victoria since</w:t>
      </w:r>
      <w:r>
        <w:rPr>
          <w:rFonts w:ascii="Arial" w:hAnsi="Arial" w:cs="Arial"/>
          <w:sz w:val="20"/>
          <w:szCs w:val="20"/>
        </w:rPr>
        <w:t xml:space="preserve"> 2002-03</w:t>
      </w:r>
      <w:r w:rsidRPr="0049771D">
        <w:rPr>
          <w:rFonts w:ascii="Arial" w:hAnsi="Arial" w:cs="Arial"/>
          <w:sz w:val="20"/>
          <w:szCs w:val="20"/>
        </w:rPr>
        <w:t xml:space="preserve">. </w:t>
      </w:r>
    </w:p>
    <w:p w14:paraId="0806FBAB" w14:textId="77777777" w:rsidR="00346AEC" w:rsidRPr="00487F65" w:rsidRDefault="00346AEC" w:rsidP="00346AEC">
      <w:pPr>
        <w:rPr>
          <w:rFonts w:ascii="Arial" w:hAnsi="Arial" w:cs="Arial"/>
          <w:sz w:val="20"/>
          <w:szCs w:val="20"/>
        </w:rPr>
      </w:pPr>
      <w:r w:rsidRPr="00487F65">
        <w:rPr>
          <w:rFonts w:ascii="Arial" w:hAnsi="Arial" w:cs="Arial"/>
          <w:sz w:val="20"/>
          <w:szCs w:val="20"/>
        </w:rPr>
        <w:t xml:space="preserve">Recovery of recyclables and </w:t>
      </w:r>
      <w:r>
        <w:rPr>
          <w:rFonts w:ascii="Arial" w:hAnsi="Arial" w:cs="Arial"/>
          <w:sz w:val="20"/>
          <w:szCs w:val="20"/>
        </w:rPr>
        <w:t>garden organics</w:t>
      </w:r>
      <w:r w:rsidRPr="00487F65">
        <w:rPr>
          <w:rFonts w:ascii="Arial" w:hAnsi="Arial" w:cs="Arial"/>
          <w:sz w:val="20"/>
          <w:szCs w:val="20"/>
        </w:rPr>
        <w:t xml:space="preserve"> collected from kerbside services has significantly increased since 2002-03 by 51% and 184% respectively, whilst the amount of garbage has remained relatively stable; increasing by only 4% despite a 23% increase in population over the same period. </w:t>
      </w:r>
    </w:p>
    <w:p w14:paraId="6D8EB455" w14:textId="77777777" w:rsidR="009E4649" w:rsidRPr="0049771D" w:rsidRDefault="009E4649" w:rsidP="009E4649">
      <w:pPr>
        <w:rPr>
          <w:rFonts w:ascii="Arial" w:hAnsi="Arial" w:cs="Arial"/>
          <w:sz w:val="20"/>
          <w:szCs w:val="20"/>
        </w:rPr>
      </w:pPr>
      <w:r w:rsidRPr="0049771D">
        <w:rPr>
          <w:rFonts w:ascii="Arial" w:hAnsi="Arial" w:cs="Arial"/>
          <w:sz w:val="20"/>
          <w:szCs w:val="20"/>
        </w:rPr>
        <w:t>These increases in material generation are directly attributable to increases in the number of Victorian councils that provide both kerbside recyclable and green organic services.</w:t>
      </w:r>
    </w:p>
    <w:p w14:paraId="16A9255B" w14:textId="77777777" w:rsidR="009E4649" w:rsidRDefault="009E4649" w:rsidP="009E4649">
      <w:pPr>
        <w:pStyle w:val="Caption"/>
        <w:spacing w:before="240" w:after="60"/>
        <w:rPr>
          <w:rFonts w:ascii="Arial" w:hAnsi="Arial" w:cs="Arial"/>
          <w:b/>
          <w:i w:val="0"/>
          <w:color w:val="auto"/>
          <w:sz w:val="20"/>
          <w:szCs w:val="20"/>
        </w:rPr>
      </w:pPr>
    </w:p>
    <w:p w14:paraId="720ACCED" w14:textId="77777777" w:rsidR="009E4649" w:rsidRDefault="009E4649" w:rsidP="009E4649">
      <w:pPr>
        <w:pStyle w:val="Caption"/>
        <w:spacing w:before="240" w:after="60"/>
        <w:rPr>
          <w:rFonts w:ascii="Arial" w:hAnsi="Arial" w:cs="Arial"/>
          <w:b/>
          <w:i w:val="0"/>
          <w:color w:val="auto"/>
          <w:sz w:val="20"/>
          <w:szCs w:val="20"/>
        </w:rPr>
      </w:pPr>
    </w:p>
    <w:p w14:paraId="23649B22" w14:textId="77777777" w:rsidR="009E4649" w:rsidRDefault="009E4649" w:rsidP="009E4649">
      <w:pPr>
        <w:pStyle w:val="Caption"/>
        <w:spacing w:before="240" w:after="60"/>
        <w:rPr>
          <w:rFonts w:ascii="Arial" w:hAnsi="Arial" w:cs="Arial"/>
          <w:b/>
          <w:i w:val="0"/>
          <w:color w:val="auto"/>
          <w:sz w:val="20"/>
          <w:szCs w:val="20"/>
        </w:rPr>
      </w:pPr>
    </w:p>
    <w:p w14:paraId="65A024B7" w14:textId="77777777" w:rsidR="009E4649" w:rsidRDefault="009E4649" w:rsidP="009E4649">
      <w:pPr>
        <w:pStyle w:val="Caption"/>
        <w:spacing w:before="240" w:after="60"/>
        <w:rPr>
          <w:rFonts w:ascii="Arial" w:hAnsi="Arial" w:cs="Arial"/>
          <w:b/>
          <w:i w:val="0"/>
          <w:color w:val="auto"/>
          <w:sz w:val="20"/>
          <w:szCs w:val="20"/>
        </w:rPr>
      </w:pPr>
    </w:p>
    <w:p w14:paraId="4BAD779E" w14:textId="77777777" w:rsidR="009E4649" w:rsidRDefault="009E4649" w:rsidP="009E4649">
      <w:pPr>
        <w:pStyle w:val="Caption"/>
        <w:spacing w:before="240" w:after="60"/>
        <w:rPr>
          <w:rFonts w:ascii="Arial" w:hAnsi="Arial" w:cs="Arial"/>
          <w:b/>
          <w:i w:val="0"/>
          <w:color w:val="auto"/>
          <w:sz w:val="20"/>
          <w:szCs w:val="20"/>
        </w:rPr>
      </w:pPr>
    </w:p>
    <w:p w14:paraId="58D2BAE5" w14:textId="77777777" w:rsidR="009E4649" w:rsidRDefault="009E4649" w:rsidP="009E4649">
      <w:pPr>
        <w:pStyle w:val="Caption"/>
        <w:spacing w:before="240" w:after="60"/>
        <w:rPr>
          <w:rFonts w:ascii="Arial" w:hAnsi="Arial" w:cs="Arial"/>
          <w:b/>
          <w:i w:val="0"/>
          <w:color w:val="auto"/>
          <w:sz w:val="20"/>
          <w:szCs w:val="20"/>
        </w:rPr>
      </w:pPr>
    </w:p>
    <w:p w14:paraId="6B1AFAEB" w14:textId="1EBAB2CF" w:rsidR="009E4649" w:rsidRPr="0049771D" w:rsidRDefault="009E4649" w:rsidP="009E4649">
      <w:pPr>
        <w:pStyle w:val="Caption"/>
        <w:spacing w:before="240" w:after="60"/>
        <w:rPr>
          <w:rFonts w:ascii="Arial" w:hAnsi="Arial" w:cs="Arial"/>
          <w:b/>
          <w:i w:val="0"/>
          <w:color w:val="auto"/>
          <w:sz w:val="20"/>
          <w:szCs w:val="20"/>
        </w:rPr>
      </w:pPr>
      <w:r w:rsidRPr="0049771D">
        <w:rPr>
          <w:rFonts w:ascii="Arial" w:hAnsi="Arial" w:cs="Arial"/>
          <w:b/>
          <w:i w:val="0"/>
          <w:color w:val="auto"/>
          <w:sz w:val="20"/>
          <w:szCs w:val="20"/>
        </w:rPr>
        <w:t>Figure 2: Tonnes collected for the three main ker</w:t>
      </w:r>
      <w:r>
        <w:rPr>
          <w:rFonts w:ascii="Arial" w:hAnsi="Arial" w:cs="Arial"/>
          <w:b/>
          <w:i w:val="0"/>
          <w:color w:val="auto"/>
          <w:sz w:val="20"/>
          <w:szCs w:val="20"/>
        </w:rPr>
        <w:t>bside se</w:t>
      </w:r>
      <w:r w:rsidR="00F42135">
        <w:rPr>
          <w:rFonts w:ascii="Arial" w:hAnsi="Arial" w:cs="Arial"/>
          <w:b/>
          <w:i w:val="0"/>
          <w:color w:val="auto"/>
          <w:sz w:val="20"/>
          <w:szCs w:val="20"/>
        </w:rPr>
        <w:t>rvices, Victoria 2002-03 to 2015-16</w:t>
      </w:r>
    </w:p>
    <w:p w14:paraId="0518FB57" w14:textId="15914C2C" w:rsidR="009E4649" w:rsidRPr="0049771D" w:rsidRDefault="009E4649" w:rsidP="009E4649">
      <w:pPr>
        <w:pStyle w:val="ReportCaptions"/>
        <w:spacing w:before="0" w:after="120" w:line="240" w:lineRule="auto"/>
        <w:rPr>
          <w:rFonts w:cs="Arial"/>
        </w:rPr>
      </w:pPr>
      <w:r w:rsidRPr="0049771D">
        <w:rPr>
          <w:rFonts w:cs="Arial"/>
        </w:rPr>
        <w:t xml:space="preserve"> </w:t>
      </w:r>
      <w:r w:rsidR="00F42135" w:rsidRPr="00EA1D78">
        <w:rPr>
          <w:noProof/>
          <w:lang w:eastAsia="en-AU"/>
        </w:rPr>
        <w:drawing>
          <wp:inline distT="0" distB="0" distL="0" distR="0" wp14:anchorId="02240104" wp14:editId="63361928">
            <wp:extent cx="5260636" cy="31711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52"/>
                    <a:stretch/>
                  </pic:blipFill>
                  <pic:spPr bwMode="auto">
                    <a:xfrm>
                      <a:off x="0" y="0"/>
                      <a:ext cx="5261316" cy="3171600"/>
                    </a:xfrm>
                    <a:prstGeom prst="rect">
                      <a:avLst/>
                    </a:prstGeom>
                    <a:noFill/>
                    <a:ln>
                      <a:noFill/>
                    </a:ln>
                    <a:extLst>
                      <a:ext uri="{53640926-AAD7-44D8-BBD7-CCE9431645EC}">
                        <a14:shadowObscured xmlns:a14="http://schemas.microsoft.com/office/drawing/2010/main"/>
                      </a:ext>
                    </a:extLst>
                  </pic:spPr>
                </pic:pic>
              </a:graphicData>
            </a:graphic>
          </wp:inline>
        </w:drawing>
      </w:r>
    </w:p>
    <w:p w14:paraId="2A6EF6B9" w14:textId="77777777" w:rsidR="009E4649" w:rsidRPr="0049771D" w:rsidRDefault="009E4649" w:rsidP="009E4649">
      <w:pPr>
        <w:rPr>
          <w:rFonts w:ascii="Arial" w:hAnsi="Arial" w:cs="Arial"/>
          <w:b/>
        </w:rPr>
      </w:pPr>
    </w:p>
    <w:p w14:paraId="13BB060D" w14:textId="77777777" w:rsidR="00346AEC" w:rsidRPr="003610F7" w:rsidRDefault="00346AEC" w:rsidP="00346AEC">
      <w:pPr>
        <w:rPr>
          <w:rFonts w:ascii="Arial" w:hAnsi="Arial" w:cs="Arial"/>
          <w:b/>
          <w:sz w:val="20"/>
          <w:szCs w:val="20"/>
        </w:rPr>
      </w:pPr>
      <w:r w:rsidRPr="003610F7">
        <w:rPr>
          <w:rFonts w:ascii="Arial" w:hAnsi="Arial" w:cs="Arial"/>
          <w:b/>
          <w:sz w:val="20"/>
          <w:szCs w:val="20"/>
        </w:rPr>
        <w:t>Composition</w:t>
      </w:r>
    </w:p>
    <w:p w14:paraId="08E3D567" w14:textId="77777777" w:rsidR="00346AEC" w:rsidRPr="00EA1D78" w:rsidRDefault="00346AEC" w:rsidP="00346AEC">
      <w:pPr>
        <w:rPr>
          <w:rFonts w:ascii="Arial" w:hAnsi="Arial" w:cs="Arial"/>
          <w:sz w:val="20"/>
          <w:szCs w:val="20"/>
        </w:rPr>
      </w:pPr>
      <w:r w:rsidRPr="00EA1D78">
        <w:rPr>
          <w:rFonts w:ascii="Arial" w:hAnsi="Arial" w:cs="Arial"/>
          <w:sz w:val="20"/>
          <w:szCs w:val="20"/>
        </w:rPr>
        <w:t>In 2015-16 garbage accounted for more than half (54%) of the 2.14 million tonnes of waste collected by local government household kerbside collection services. Garbage still represents the largest component of the waste stream, whilst the amount of recyclables and garden organics collected over the past 12 years has steadily increased relative to garbage.</w:t>
      </w:r>
    </w:p>
    <w:p w14:paraId="277E7822" w14:textId="77777777" w:rsidR="00346AEC" w:rsidRPr="00EA1D78" w:rsidRDefault="00346AEC" w:rsidP="00346AEC">
      <w:pPr>
        <w:pStyle w:val="Caption"/>
        <w:spacing w:before="240" w:after="60"/>
        <w:rPr>
          <w:rFonts w:ascii="Arial" w:hAnsi="Arial" w:cs="Arial"/>
          <w:b/>
          <w:i w:val="0"/>
          <w:color w:val="auto"/>
          <w:sz w:val="20"/>
          <w:szCs w:val="20"/>
        </w:rPr>
      </w:pPr>
      <w:bookmarkStart w:id="3" w:name="_Toc196024487"/>
      <w:bookmarkStart w:id="4" w:name="_Toc427587436"/>
      <w:r w:rsidRPr="00EA1D78">
        <w:rPr>
          <w:rFonts w:ascii="Arial" w:hAnsi="Arial" w:cs="Arial"/>
          <w:b/>
          <w:i w:val="0"/>
          <w:color w:val="auto"/>
          <w:sz w:val="20"/>
          <w:szCs w:val="20"/>
        </w:rPr>
        <w:t xml:space="preserve">Figure 3: Composition of waste collected through kerbside services, Victoria </w:t>
      </w:r>
      <w:bookmarkEnd w:id="3"/>
      <w:bookmarkEnd w:id="4"/>
      <w:r w:rsidRPr="00EA1D78">
        <w:rPr>
          <w:rFonts w:ascii="Arial" w:hAnsi="Arial" w:cs="Arial"/>
          <w:b/>
          <w:i w:val="0"/>
          <w:color w:val="auto"/>
          <w:sz w:val="20"/>
          <w:szCs w:val="20"/>
        </w:rPr>
        <w:t>2015-16</w:t>
      </w:r>
    </w:p>
    <w:p w14:paraId="39D36E2B" w14:textId="77777777" w:rsidR="00346AEC" w:rsidRPr="00EA1D78" w:rsidRDefault="00346AEC" w:rsidP="00346AEC">
      <w:pPr>
        <w:pStyle w:val="ReportCaptions"/>
        <w:spacing w:before="0" w:after="240" w:line="240" w:lineRule="auto"/>
        <w:jc w:val="center"/>
        <w:rPr>
          <w:rFonts w:cs="Arial"/>
          <w:color w:val="auto"/>
        </w:rPr>
      </w:pPr>
      <w:r w:rsidRPr="00EA1D78">
        <w:rPr>
          <w:noProof/>
          <w:lang w:eastAsia="en-AU"/>
        </w:rPr>
        <w:drawing>
          <wp:inline distT="0" distB="0" distL="0" distR="0" wp14:anchorId="7F363BD6" wp14:editId="5EA2873D">
            <wp:extent cx="4317365" cy="2282190"/>
            <wp:effectExtent l="0" t="0" r="6985"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7365" cy="2282190"/>
                    </a:xfrm>
                    <a:prstGeom prst="rect">
                      <a:avLst/>
                    </a:prstGeom>
                    <a:noFill/>
                    <a:ln>
                      <a:noFill/>
                    </a:ln>
                  </pic:spPr>
                </pic:pic>
              </a:graphicData>
            </a:graphic>
          </wp:inline>
        </w:drawing>
      </w:r>
    </w:p>
    <w:p w14:paraId="1C310C6F" w14:textId="77777777" w:rsidR="009E4649" w:rsidRPr="0049771D" w:rsidRDefault="009E4649" w:rsidP="009E4649">
      <w:pPr>
        <w:rPr>
          <w:rFonts w:ascii="Arial" w:hAnsi="Arial" w:cs="Arial"/>
          <w:b/>
          <w:sz w:val="20"/>
          <w:szCs w:val="20"/>
        </w:rPr>
      </w:pPr>
      <w:r w:rsidRPr="0049771D">
        <w:rPr>
          <w:rFonts w:ascii="Arial" w:hAnsi="Arial" w:cs="Arial"/>
          <w:b/>
          <w:sz w:val="20"/>
          <w:szCs w:val="20"/>
        </w:rPr>
        <w:t>Geography</w:t>
      </w:r>
    </w:p>
    <w:p w14:paraId="73658FC2" w14:textId="77777777" w:rsidR="00346AEC" w:rsidRPr="00B508AB" w:rsidRDefault="00346AEC" w:rsidP="00346AEC">
      <w:pPr>
        <w:rPr>
          <w:rFonts w:ascii="Arial" w:hAnsi="Arial" w:cs="Arial"/>
          <w:sz w:val="20"/>
          <w:szCs w:val="20"/>
        </w:rPr>
      </w:pPr>
      <w:r w:rsidRPr="00B508AB">
        <w:rPr>
          <w:rFonts w:ascii="Arial" w:hAnsi="Arial" w:cs="Arial"/>
          <w:sz w:val="20"/>
          <w:szCs w:val="20"/>
        </w:rPr>
        <w:t>Metropolitan local governments (31 of 79) collected most of Victoria’s total municipal waste from kerbside and drop-off facilities, accounting for 1.7 million tonnes (73%). Regional local governments (48 of 79) collected 634,000 tonnes (27%).</w:t>
      </w:r>
      <w:bookmarkStart w:id="5" w:name="_GoBack"/>
      <w:bookmarkEnd w:id="5"/>
    </w:p>
    <w:p w14:paraId="1089EE66" w14:textId="77777777" w:rsidR="00F11034" w:rsidRPr="00B508AB" w:rsidRDefault="00F11034" w:rsidP="00F11034">
      <w:pPr>
        <w:rPr>
          <w:rFonts w:ascii="Arial" w:hAnsi="Arial" w:cs="Arial"/>
          <w:sz w:val="20"/>
          <w:szCs w:val="20"/>
        </w:rPr>
      </w:pPr>
      <w:r w:rsidRPr="00B508AB">
        <w:rPr>
          <w:rFonts w:ascii="Arial" w:hAnsi="Arial" w:cs="Arial"/>
          <w:sz w:val="20"/>
          <w:szCs w:val="20"/>
        </w:rPr>
        <w:t>Figure 4 shows the relative proportion of material collected by metropolitan and non-metropolitan local governments from kerbside and drop-off facilities.</w:t>
      </w:r>
    </w:p>
    <w:p w14:paraId="168B7AA0" w14:textId="77777777" w:rsidR="00F11034" w:rsidRPr="00B508AB" w:rsidRDefault="00F11034" w:rsidP="00F11034">
      <w:pPr>
        <w:pStyle w:val="Caption"/>
        <w:keepNext/>
        <w:spacing w:before="240" w:after="60"/>
        <w:rPr>
          <w:rFonts w:ascii="Arial" w:hAnsi="Arial" w:cs="Arial"/>
          <w:b/>
          <w:i w:val="0"/>
          <w:color w:val="auto"/>
          <w:sz w:val="20"/>
          <w:szCs w:val="20"/>
        </w:rPr>
      </w:pPr>
      <w:r w:rsidRPr="00B508AB">
        <w:rPr>
          <w:rFonts w:ascii="Arial" w:hAnsi="Arial" w:cs="Arial"/>
          <w:b/>
          <w:i w:val="0"/>
          <w:color w:val="auto"/>
          <w:sz w:val="20"/>
          <w:szCs w:val="20"/>
        </w:rPr>
        <w:t>Figure 4: Waste generation by metro / non-metro local governments, Victoria 2015-16</w:t>
      </w:r>
    </w:p>
    <w:p w14:paraId="7FEC0F1B" w14:textId="77777777" w:rsidR="00F11034" w:rsidRPr="00B508AB" w:rsidRDefault="00F11034" w:rsidP="00F11034">
      <w:pPr>
        <w:keepNext/>
        <w:rPr>
          <w:rFonts w:ascii="Arial" w:hAnsi="Arial" w:cs="Arial"/>
        </w:rPr>
      </w:pPr>
      <w:r w:rsidRPr="00B508AB">
        <w:rPr>
          <w:noProof/>
          <w:lang w:eastAsia="en-AU"/>
        </w:rPr>
        <w:drawing>
          <wp:inline distT="0" distB="0" distL="0" distR="0" wp14:anchorId="7BE7805E" wp14:editId="7B3495E6">
            <wp:extent cx="4603750" cy="31648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03750" cy="3164840"/>
                    </a:xfrm>
                    <a:prstGeom prst="rect">
                      <a:avLst/>
                    </a:prstGeom>
                    <a:noFill/>
                    <a:ln>
                      <a:noFill/>
                    </a:ln>
                  </pic:spPr>
                </pic:pic>
              </a:graphicData>
            </a:graphic>
          </wp:inline>
        </w:drawing>
      </w:r>
    </w:p>
    <w:p w14:paraId="1E0C8DD9" w14:textId="77777777" w:rsidR="00F11034" w:rsidRPr="00F676FF" w:rsidRDefault="00F11034" w:rsidP="00F11034">
      <w:pPr>
        <w:rPr>
          <w:rFonts w:ascii="Arial" w:hAnsi="Arial" w:cs="Arial"/>
          <w:b/>
          <w:sz w:val="20"/>
          <w:szCs w:val="20"/>
        </w:rPr>
      </w:pPr>
      <w:r w:rsidRPr="00F676FF">
        <w:rPr>
          <w:rFonts w:ascii="Arial" w:hAnsi="Arial" w:cs="Arial"/>
          <w:b/>
          <w:sz w:val="20"/>
          <w:szCs w:val="20"/>
        </w:rPr>
        <w:t>Diversion rates</w:t>
      </w:r>
    </w:p>
    <w:p w14:paraId="62AA8E3A" w14:textId="77777777" w:rsidR="00F11034" w:rsidRPr="00F676FF" w:rsidRDefault="00F11034" w:rsidP="00F11034">
      <w:pPr>
        <w:rPr>
          <w:rFonts w:ascii="Arial" w:hAnsi="Arial" w:cs="Arial"/>
          <w:sz w:val="20"/>
          <w:szCs w:val="20"/>
        </w:rPr>
      </w:pPr>
      <w:r w:rsidRPr="00F676FF">
        <w:rPr>
          <w:rFonts w:ascii="Arial" w:hAnsi="Arial" w:cs="Arial"/>
          <w:sz w:val="20"/>
          <w:szCs w:val="20"/>
        </w:rPr>
        <w:t>In 2015-16, the state kerbside diversion rate (incorporating recyclables and garden organics) is 44% and has remained relatively unchanged for the last five years. Figure 5 shows the kerbside diversion rate trends by service type.</w:t>
      </w:r>
      <w:bookmarkStart w:id="6" w:name="_Toc196024486"/>
      <w:bookmarkStart w:id="7" w:name="_Toc427587435"/>
    </w:p>
    <w:p w14:paraId="441F4374" w14:textId="77777777" w:rsidR="00F11034" w:rsidRPr="00F676FF" w:rsidRDefault="00F11034" w:rsidP="00F11034">
      <w:pPr>
        <w:rPr>
          <w:rFonts w:ascii="Arial" w:hAnsi="Arial" w:cs="Arial"/>
          <w:sz w:val="20"/>
          <w:szCs w:val="20"/>
        </w:rPr>
      </w:pPr>
      <w:r w:rsidRPr="00F676FF">
        <w:rPr>
          <w:rFonts w:ascii="Arial" w:hAnsi="Arial" w:cs="Arial"/>
          <w:b/>
          <w:sz w:val="20"/>
          <w:szCs w:val="20"/>
        </w:rPr>
        <w:t xml:space="preserve">Figure 5: Kerbside diversion rate by material collected, Victoria 2002-03 to </w:t>
      </w:r>
      <w:bookmarkEnd w:id="6"/>
      <w:bookmarkEnd w:id="7"/>
      <w:r w:rsidRPr="00F676FF">
        <w:rPr>
          <w:rFonts w:ascii="Arial" w:hAnsi="Arial" w:cs="Arial"/>
          <w:b/>
          <w:sz w:val="20"/>
          <w:szCs w:val="20"/>
        </w:rPr>
        <w:t>2015-16</w:t>
      </w:r>
      <w:r w:rsidRPr="00F676FF">
        <w:rPr>
          <w:noProof/>
          <w:lang w:eastAsia="en-AU"/>
        </w:rPr>
        <w:drawing>
          <wp:inline distT="0" distB="0" distL="0" distR="0" wp14:anchorId="2B678D38" wp14:editId="3EA17024">
            <wp:extent cx="5224145" cy="35941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24145" cy="3594100"/>
                    </a:xfrm>
                    <a:prstGeom prst="rect">
                      <a:avLst/>
                    </a:prstGeom>
                    <a:noFill/>
                    <a:ln>
                      <a:noFill/>
                    </a:ln>
                  </pic:spPr>
                </pic:pic>
              </a:graphicData>
            </a:graphic>
          </wp:inline>
        </w:drawing>
      </w:r>
    </w:p>
    <w:p w14:paraId="7E6B80B2" w14:textId="77777777" w:rsidR="00F11034" w:rsidRPr="006004E4" w:rsidRDefault="00F11034" w:rsidP="00F11034">
      <w:pPr>
        <w:autoSpaceDE w:val="0"/>
        <w:rPr>
          <w:rFonts w:ascii="Arial" w:hAnsi="Arial" w:cs="Arial"/>
          <w:sz w:val="20"/>
          <w:szCs w:val="20"/>
        </w:rPr>
      </w:pPr>
      <w:r w:rsidRPr="006004E4">
        <w:rPr>
          <w:rFonts w:ascii="Arial" w:hAnsi="Arial" w:cs="Arial"/>
          <w:sz w:val="20"/>
          <w:szCs w:val="20"/>
        </w:rPr>
        <w:t>Figure 6 shows the diversion rate achieved for kerbside waste by each of the state’s seven waste and resource recovery regions. For the first time the North Eastern region had the highest diversion rate of 58%, surpassing the state average of 44%. This is largely the result of increased kerbside recycling</w:t>
      </w:r>
      <w:r>
        <w:rPr>
          <w:rFonts w:ascii="Arial" w:hAnsi="Arial" w:cs="Arial"/>
          <w:sz w:val="20"/>
          <w:szCs w:val="20"/>
        </w:rPr>
        <w:t>,</w:t>
      </w:r>
      <w:r w:rsidRPr="006004E4">
        <w:rPr>
          <w:rFonts w:ascii="Arial" w:hAnsi="Arial" w:cs="Arial"/>
          <w:sz w:val="20"/>
          <w:szCs w:val="20"/>
        </w:rPr>
        <w:t xml:space="preserve"> garden organics collections and public education programs. </w:t>
      </w:r>
    </w:p>
    <w:p w14:paraId="7D351868" w14:textId="77777777" w:rsidR="00F11034" w:rsidRPr="006004E4" w:rsidRDefault="00F11034" w:rsidP="00F11034">
      <w:pPr>
        <w:autoSpaceDE w:val="0"/>
        <w:rPr>
          <w:rFonts w:ascii="Arial" w:hAnsi="Arial" w:cs="Arial"/>
          <w:sz w:val="20"/>
          <w:szCs w:val="20"/>
        </w:rPr>
      </w:pPr>
      <w:r w:rsidRPr="006004E4">
        <w:rPr>
          <w:rFonts w:ascii="Arial" w:hAnsi="Arial" w:cs="Arial"/>
          <w:sz w:val="20"/>
          <w:szCs w:val="20"/>
        </w:rPr>
        <w:t>Barwon South West continued to achieve a diversion rate well above the state average with 53%, while Goulburn Valley and Gippsland both also achieved diversion rates above the state average with 45%.</w:t>
      </w:r>
    </w:p>
    <w:p w14:paraId="78F655C6" w14:textId="77777777" w:rsidR="00F11034" w:rsidRPr="006004E4" w:rsidRDefault="00F11034" w:rsidP="00F11034">
      <w:pPr>
        <w:autoSpaceDE w:val="0"/>
        <w:rPr>
          <w:rFonts w:ascii="Arial" w:hAnsi="Arial" w:cs="Arial"/>
        </w:rPr>
      </w:pPr>
      <w:r w:rsidRPr="006004E4">
        <w:rPr>
          <w:rFonts w:ascii="Arial" w:hAnsi="Arial" w:cs="Arial"/>
          <w:b/>
          <w:sz w:val="20"/>
          <w:szCs w:val="20"/>
        </w:rPr>
        <w:t>Figure 6: Diversion rate by waste and resource recovery region, Victoria 2015-16</w:t>
      </w:r>
      <w:r w:rsidRPr="006004E4">
        <w:rPr>
          <w:rFonts w:ascii="Arial" w:hAnsi="Arial" w:cs="Arial"/>
        </w:rPr>
        <w:t xml:space="preserve"> </w:t>
      </w:r>
    </w:p>
    <w:p w14:paraId="1D4580D9" w14:textId="77777777" w:rsidR="00F11034" w:rsidRPr="00027B64" w:rsidRDefault="00F11034" w:rsidP="00F11034">
      <w:pPr>
        <w:pStyle w:val="Heading2"/>
        <w:keepNext w:val="0"/>
        <w:keepLines w:val="0"/>
        <w:widowControl w:val="0"/>
        <w:spacing w:before="0" w:line="260" w:lineRule="atLeast"/>
        <w:ind w:left="720"/>
        <w:rPr>
          <w:rFonts w:ascii="Arial" w:eastAsia="Times New Roman" w:hAnsi="Arial" w:cs="Arial"/>
          <w:bCs/>
          <w:color w:val="595959"/>
          <w:highlight w:val="yellow"/>
        </w:rPr>
      </w:pPr>
    </w:p>
    <w:p w14:paraId="0E6CB850" w14:textId="77777777" w:rsidR="00F11034" w:rsidRPr="006004E4" w:rsidRDefault="00F11034" w:rsidP="00F11034">
      <w:pPr>
        <w:rPr>
          <w:rFonts w:ascii="Arial" w:hAnsi="Arial" w:cs="Arial"/>
        </w:rPr>
      </w:pPr>
      <w:r w:rsidRPr="006004E4">
        <w:rPr>
          <w:noProof/>
          <w:lang w:eastAsia="en-AU"/>
        </w:rPr>
        <w:drawing>
          <wp:inline distT="0" distB="0" distL="0" distR="0" wp14:anchorId="5257E3E7" wp14:editId="10CEF20F">
            <wp:extent cx="5446394" cy="2867025"/>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112" t="4664" b="7592"/>
                    <a:stretch/>
                  </pic:blipFill>
                  <pic:spPr bwMode="auto">
                    <a:xfrm>
                      <a:off x="0" y="0"/>
                      <a:ext cx="5446726" cy="2867200"/>
                    </a:xfrm>
                    <a:prstGeom prst="rect">
                      <a:avLst/>
                    </a:prstGeom>
                    <a:noFill/>
                    <a:ln>
                      <a:noFill/>
                    </a:ln>
                    <a:extLst>
                      <a:ext uri="{53640926-AAD7-44D8-BBD7-CCE9431645EC}">
                        <a14:shadowObscured xmlns:a14="http://schemas.microsoft.com/office/drawing/2010/main"/>
                      </a:ext>
                    </a:extLst>
                  </pic:spPr>
                </pic:pic>
              </a:graphicData>
            </a:graphic>
          </wp:inline>
        </w:drawing>
      </w:r>
    </w:p>
    <w:p w14:paraId="12CEACE0" w14:textId="54CE7C78" w:rsidR="003213BC" w:rsidRDefault="003213BC" w:rsidP="00F11034"/>
    <w:sectPr w:rsidR="003213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A09DE"/>
    <w:multiLevelType w:val="hybridMultilevel"/>
    <w:tmpl w:val="A3603680"/>
    <w:lvl w:ilvl="0" w:tplc="0C09000F">
      <w:start w:val="1"/>
      <w:numFmt w:val="decimal"/>
      <w:lvlText w:val="%1."/>
      <w:lvlJc w:val="left"/>
      <w:pPr>
        <w:ind w:left="720" w:hanging="360"/>
      </w:pPr>
      <w:rPr>
        <w:rFonts w:hint="default"/>
      </w:rPr>
    </w:lvl>
    <w:lvl w:ilvl="1" w:tplc="408A5C76">
      <w:numFmt w:val="bullet"/>
      <w:lvlText w:val="•"/>
      <w:lvlJc w:val="left"/>
      <w:pPr>
        <w:ind w:left="1800" w:hanging="72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49"/>
    <w:rsid w:val="0014644C"/>
    <w:rsid w:val="00191149"/>
    <w:rsid w:val="0029721D"/>
    <w:rsid w:val="002B15CC"/>
    <w:rsid w:val="00315EC6"/>
    <w:rsid w:val="003213BC"/>
    <w:rsid w:val="00323632"/>
    <w:rsid w:val="00346AEC"/>
    <w:rsid w:val="00382C35"/>
    <w:rsid w:val="00437D75"/>
    <w:rsid w:val="00825C34"/>
    <w:rsid w:val="008B5979"/>
    <w:rsid w:val="00904F66"/>
    <w:rsid w:val="00934656"/>
    <w:rsid w:val="009E4649"/>
    <w:rsid w:val="00A312F5"/>
    <w:rsid w:val="00A701ED"/>
    <w:rsid w:val="00B37C2D"/>
    <w:rsid w:val="00B667CF"/>
    <w:rsid w:val="00D16CAA"/>
    <w:rsid w:val="00DC560D"/>
    <w:rsid w:val="00F11034"/>
    <w:rsid w:val="00F42135"/>
    <w:rsid w:val="00FB6A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AEAE"/>
  <w15:chartTrackingRefBased/>
  <w15:docId w15:val="{C668A186-FDA3-4AAB-945E-C56AA631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649"/>
  </w:style>
  <w:style w:type="paragraph" w:styleId="Heading2">
    <w:name w:val="heading 2"/>
    <w:basedOn w:val="Normal"/>
    <w:next w:val="Normal"/>
    <w:link w:val="Heading2Char"/>
    <w:unhideWhenUsed/>
    <w:qFormat/>
    <w:rsid w:val="009E46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4649"/>
    <w:rPr>
      <w:rFonts w:asciiTheme="majorHAnsi" w:eastAsiaTheme="majorEastAsia" w:hAnsiTheme="majorHAnsi" w:cstheme="majorBidi"/>
      <w:color w:val="2E74B5" w:themeColor="accent1" w:themeShade="BF"/>
      <w:sz w:val="26"/>
      <w:szCs w:val="26"/>
    </w:rPr>
  </w:style>
  <w:style w:type="paragraph" w:customStyle="1" w:styleId="ReportCaptions">
    <w:name w:val="Report Captions"/>
    <w:basedOn w:val="Caption"/>
    <w:link w:val="ReportCaptionsChar"/>
    <w:rsid w:val="009E4649"/>
    <w:pPr>
      <w:widowControl w:val="0"/>
      <w:spacing w:before="240" w:after="60" w:line="260" w:lineRule="atLeast"/>
    </w:pPr>
    <w:rPr>
      <w:rFonts w:ascii="Arial" w:eastAsia="Times New Roman" w:hAnsi="Arial" w:cs="Times New Roman"/>
      <w:i w:val="0"/>
      <w:iCs w:val="0"/>
      <w:color w:val="000000"/>
      <w:spacing w:val="-5"/>
      <w:sz w:val="20"/>
      <w:szCs w:val="20"/>
    </w:rPr>
  </w:style>
  <w:style w:type="character" w:customStyle="1" w:styleId="ReportCaptionsChar">
    <w:name w:val="Report Captions Char"/>
    <w:link w:val="ReportCaptions"/>
    <w:rsid w:val="009E4649"/>
    <w:rPr>
      <w:rFonts w:ascii="Arial" w:eastAsia="Times New Roman" w:hAnsi="Arial" w:cs="Times New Roman"/>
      <w:color w:val="000000"/>
      <w:spacing w:val="-5"/>
      <w:sz w:val="20"/>
      <w:szCs w:val="20"/>
    </w:rPr>
  </w:style>
  <w:style w:type="paragraph" w:styleId="Caption">
    <w:name w:val="caption"/>
    <w:basedOn w:val="Normal"/>
    <w:next w:val="Normal"/>
    <w:link w:val="CaptionChar"/>
    <w:unhideWhenUsed/>
    <w:qFormat/>
    <w:rsid w:val="009E4649"/>
    <w:pPr>
      <w:spacing w:after="200" w:line="240" w:lineRule="auto"/>
    </w:pPr>
    <w:rPr>
      <w:i/>
      <w:iCs/>
      <w:color w:val="44546A" w:themeColor="text2"/>
      <w:sz w:val="18"/>
      <w:szCs w:val="18"/>
    </w:rPr>
  </w:style>
  <w:style w:type="character" w:customStyle="1" w:styleId="CaptionChar">
    <w:name w:val="Caption Char"/>
    <w:link w:val="Caption"/>
    <w:rsid w:val="009E4649"/>
    <w:rPr>
      <w:i/>
      <w:iCs/>
      <w:color w:val="44546A" w:themeColor="text2"/>
      <w:sz w:val="18"/>
      <w:szCs w:val="18"/>
    </w:rPr>
  </w:style>
  <w:style w:type="character" w:styleId="CommentReference">
    <w:name w:val="annotation reference"/>
    <w:basedOn w:val="DefaultParagraphFont"/>
    <w:uiPriority w:val="99"/>
    <w:semiHidden/>
    <w:unhideWhenUsed/>
    <w:rsid w:val="00A701ED"/>
    <w:rPr>
      <w:sz w:val="16"/>
      <w:szCs w:val="16"/>
    </w:rPr>
  </w:style>
  <w:style w:type="paragraph" w:styleId="CommentText">
    <w:name w:val="annotation text"/>
    <w:basedOn w:val="Normal"/>
    <w:link w:val="CommentTextChar"/>
    <w:uiPriority w:val="99"/>
    <w:semiHidden/>
    <w:unhideWhenUsed/>
    <w:rsid w:val="00A701ED"/>
    <w:pPr>
      <w:spacing w:line="240" w:lineRule="auto"/>
    </w:pPr>
    <w:rPr>
      <w:sz w:val="20"/>
      <w:szCs w:val="20"/>
    </w:rPr>
  </w:style>
  <w:style w:type="character" w:customStyle="1" w:styleId="CommentTextChar">
    <w:name w:val="Comment Text Char"/>
    <w:basedOn w:val="DefaultParagraphFont"/>
    <w:link w:val="CommentText"/>
    <w:uiPriority w:val="99"/>
    <w:semiHidden/>
    <w:rsid w:val="00A701ED"/>
    <w:rPr>
      <w:sz w:val="20"/>
      <w:szCs w:val="20"/>
    </w:rPr>
  </w:style>
  <w:style w:type="paragraph" w:styleId="CommentSubject">
    <w:name w:val="annotation subject"/>
    <w:basedOn w:val="CommentText"/>
    <w:next w:val="CommentText"/>
    <w:link w:val="CommentSubjectChar"/>
    <w:uiPriority w:val="99"/>
    <w:semiHidden/>
    <w:unhideWhenUsed/>
    <w:rsid w:val="00A701ED"/>
    <w:rPr>
      <w:b/>
      <w:bCs/>
    </w:rPr>
  </w:style>
  <w:style w:type="character" w:customStyle="1" w:styleId="CommentSubjectChar">
    <w:name w:val="Comment Subject Char"/>
    <w:basedOn w:val="CommentTextChar"/>
    <w:link w:val="CommentSubject"/>
    <w:uiPriority w:val="99"/>
    <w:semiHidden/>
    <w:rsid w:val="00A701ED"/>
    <w:rPr>
      <w:b/>
      <w:bCs/>
      <w:sz w:val="20"/>
      <w:szCs w:val="20"/>
    </w:rPr>
  </w:style>
  <w:style w:type="paragraph" w:styleId="BalloonText">
    <w:name w:val="Balloon Text"/>
    <w:basedOn w:val="Normal"/>
    <w:link w:val="BalloonTextChar"/>
    <w:uiPriority w:val="99"/>
    <w:semiHidden/>
    <w:unhideWhenUsed/>
    <w:rsid w:val="00A70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velinkID xmlns="49319c53-6c8b-4713-a0c6-7c714a55ca0e" xsi:nil="true"/>
    <l19c03aba7cf4268b442a699abdd95c1 xmlns="49319c53-6c8b-4713-a0c6-7c714a55ca0e">
      <Terms xmlns="http://schemas.microsoft.com/office/infopath/2007/PartnerControls">
        <TermInfo xmlns="http://schemas.microsoft.com/office/infopath/2007/PartnerControls">
          <TermName xmlns="http://schemas.microsoft.com/office/infopath/2007/PartnerControls">Waste Outcomes</TermName>
          <TermId xmlns="http://schemas.microsoft.com/office/infopath/2007/PartnerControls">43633b0c-7c13-4d2c-836c-e9fd9de4d7f0</TermId>
        </TermInfo>
      </Terms>
    </l19c03aba7cf4268b442a699abdd95c1>
    <oa9ff634f432497fbe7a448b9e66b205 xmlns="49319c53-6c8b-4713-a0c6-7c714a55ca0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a6f64896-ae48-4d38-9394-0168a9e18a35</TermId>
        </TermInfo>
      </Terms>
    </oa9ff634f432497fbe7a448b9e66b205>
    <Marked_x0020_for_x0020_Deletion xmlns="0478b3d0-02d8-4d17-b53a-8e4130380b85">false</Marked_x0020_for_x0020_Deletion>
    <TaxCatchAll xmlns="49319c53-6c8b-4713-a0c6-7c714a55ca0e">
      <Value>8</Value>
      <Value>23</Value>
      <Value>37</Value>
      <Value>36</Value>
      <Value>42</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ata File" ma:contentTypeID="0x01010099DDF8EDA320E543B1EC6B982B0C01210900500B88DE46F7F6468447E221C4F2679B" ma:contentTypeVersion="2" ma:contentTypeDescription="" ma:contentTypeScope="" ma:versionID="c9998f9d9032f8cc04b724531767cada">
  <xsd:schema xmlns:xsd="http://www.w3.org/2001/XMLSchema" xmlns:xs="http://www.w3.org/2001/XMLSchema" xmlns:p="http://schemas.microsoft.com/office/2006/metadata/properties" xmlns:ns2="49319c53-6c8b-4713-a0c6-7c714a55ca0e" xmlns:ns3="0478b3d0-02d8-4d17-b53a-8e4130380b85" targetNamespace="http://schemas.microsoft.com/office/2006/metadata/properties" ma:root="true" ma:fieldsID="03742cb5b89c6b9f255d72374d5ef93e" ns2:_="" ns3:_="">
    <xsd:import namespace="49319c53-6c8b-4713-a0c6-7c714a55ca0e"/>
    <xsd:import namespace="0478b3d0-02d8-4d17-b53a-8e4130380b85"/>
    <xsd:element name="properties">
      <xsd:complexType>
        <xsd:sequence>
          <xsd:element name="documentManagement">
            <xsd:complexType>
              <xsd:all>
                <xsd:element ref="ns2:l19c03aba7cf4268b442a699abdd95c1" minOccurs="0"/>
                <xsd:element ref="ns2:TaxCatchAll" minOccurs="0"/>
                <xsd:element ref="ns2:TaxCatchAllLabel" minOccurs="0"/>
                <xsd:element ref="ns3:Marked_x0020_for_x0020_Deletion" minOccurs="0"/>
                <xsd:element ref="ns2:LivelinkID" minOccurs="0"/>
                <xsd:element ref="ns2:oa9ff634f432497fbe7a448b9e66b20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19c53-6c8b-4713-a0c6-7c714a55ca0e" elementFormDefault="qualified">
    <xsd:import namespace="http://schemas.microsoft.com/office/2006/documentManagement/types"/>
    <xsd:import namespace="http://schemas.microsoft.com/office/infopath/2007/PartnerControls"/>
    <xsd:element name="l19c03aba7cf4268b442a699abdd95c1" ma:index="8" nillable="true" ma:taxonomy="true" ma:internalName="l19c03aba7cf4268b442a699abdd95c1" ma:taxonomyFieldName="DM_x0020_Key_x0020_Word" ma:displayName="DM Key Word" ma:readOnly="false" ma:default="" ma:fieldId="{519c03ab-a7cf-4268-b442-a699abdd95c1}" ma:sspId="a2a80313-aeb0-43cb-af8b-51726a16eb99" ma:termSetId="5b46aed8-1fb6-4566-8825-d0f9ab16c4f5" ma:anchorId="120fab74-ac46-4a1b-854a-45c68965d96a" ma:open="false" ma:isKeyword="false">
      <xsd:complexType>
        <xsd:sequence>
          <xsd:element ref="pc:Terms" minOccurs="0" maxOccurs="1"/>
        </xsd:sequence>
      </xsd:complexType>
    </xsd:element>
    <xsd:element name="TaxCatchAll" ma:index="9" nillable="true" ma:displayName="Taxonomy Catch All Column" ma:hidden="true" ma:list="{7222b401-0907-4ff4-96eb-0d34feb836e8}" ma:internalName="TaxCatchAll" ma:showField="CatchAllData" ma:web="49319c53-6c8b-4713-a0c6-7c714a55ca0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222b401-0907-4ff4-96eb-0d34feb836e8}" ma:internalName="TaxCatchAllLabel" ma:readOnly="true" ma:showField="CatchAllDataLabel" ma:web="49319c53-6c8b-4713-a0c6-7c714a55ca0e">
      <xsd:complexType>
        <xsd:complexContent>
          <xsd:extension base="dms:MultiChoiceLookup">
            <xsd:sequence>
              <xsd:element name="Value" type="dms:Lookup" maxOccurs="unbounded" minOccurs="0" nillable="true"/>
            </xsd:sequence>
          </xsd:extension>
        </xsd:complexContent>
      </xsd:complexType>
    </xsd:element>
    <xsd:element name="LivelinkID" ma:index="13" nillable="true" ma:displayName="LivelinkID" ma:internalName="LivelinkID" ma:readOnly="false">
      <xsd:simpleType>
        <xsd:restriction base="dms:Text">
          <xsd:maxLength value="255"/>
        </xsd:restriction>
      </xsd:simpleType>
    </xsd:element>
    <xsd:element name="oa9ff634f432497fbe7a448b9e66b205" ma:index="14" nillable="true" ma:taxonomy="true" ma:internalName="oa9ff634f432497fbe7a448b9e66b205" ma:taxonomyFieldName="Security_x0020_Classification" ma:displayName="Security Classification" ma:default="37;#Unclassified|a6f64896-ae48-4d38-9394-0168a9e18a35" ma:fieldId="{8a9ff634-f432-497f-be7a-448b9e66b205}" ma:sspId="a2a80313-aeb0-43cb-af8b-51726a16eb99" ma:termSetId="d16bce95-03fb-4cb9-88d5-15e906f2f9c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78b3d0-02d8-4d17-b53a-8e4130380b85" elementFormDefault="qualified">
    <xsd:import namespace="http://schemas.microsoft.com/office/2006/documentManagement/types"/>
    <xsd:import namespace="http://schemas.microsoft.com/office/infopath/2007/PartnerControls"/>
    <xsd:element name="Marked_x0020_for_x0020_Deletion" ma:index="12" nillable="true" ma:displayName="Marked for Deletion" ma:default="0" ma:internalName="Marked_x0020_for_x0020_Deletion"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B8D160-502D-4FB3-9DF7-49746644C481}"/>
</file>

<file path=customXml/itemProps2.xml><?xml version="1.0" encoding="utf-8"?>
<ds:datastoreItem xmlns:ds="http://schemas.openxmlformats.org/officeDocument/2006/customXml" ds:itemID="{A6B539A0-4D82-472F-85B4-A2B8F090E8A7}"/>
</file>

<file path=customXml/itemProps3.xml><?xml version="1.0" encoding="utf-8"?>
<ds:datastoreItem xmlns:ds="http://schemas.openxmlformats.org/officeDocument/2006/customXml" ds:itemID="{9FFE94B5-4C24-493F-A125-384A3773230D}"/>
</file>

<file path=docProps/app.xml><?xml version="1.0" encoding="utf-8"?>
<Properties xmlns="http://schemas.openxmlformats.org/officeDocument/2006/extended-properties" xmlns:vt="http://schemas.openxmlformats.org/officeDocument/2006/docPropsVTypes">
  <Template>Normal</Template>
  <TotalTime>35</TotalTime>
  <Pages>4</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Fogarty</dc:creator>
  <cp:keywords/>
  <dc:description/>
  <cp:lastModifiedBy>Marcus Fogarty</cp:lastModifiedBy>
  <cp:revision>3</cp:revision>
  <dcterms:created xsi:type="dcterms:W3CDTF">2017-06-23T01:31:00Z</dcterms:created>
  <dcterms:modified xsi:type="dcterms:W3CDTF">2017-06-23T02:26:00Z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0x01010099DDF8EDA320E543B1EC6B982B0C01210900500B88DE46F7F6468447E221C4F2679B</vt:lpwstr>
  </property>
  <property fmtid="{D5CDD505-2E9C-101B-9397-08002B2CF9AE}" pid="3" name="m2a46786ab4242859a6101eb70b9b150">
    <vt:lpwstr>Internal Report|a89eade3-a39a-496c-a215-f730206bee91</vt:lpwstr>
  </property>
  <property fmtid="{D5CDD505-2E9C-101B-9397-08002B2CF9AE}" pid="4" name="lbd76de8d1c447e69ed2be2b10a21be3">
    <vt:lpwstr>2014-15|c8ad80d9-9626-4ad5-9533-87bf6e7ffebf</vt:lpwstr>
  </property>
  <property fmtid="{D5CDD505-2E9C-101B-9397-08002B2CF9AE}" pid="5" name="DM Key Word">
    <vt:lpwstr>36;#Waste Outcomes|43633b0c-7c13-4d2c-836c-e9fd9de4d7f0</vt:lpwstr>
  </property>
  <property fmtid="{D5CDD505-2E9C-101B-9397-08002B2CF9AE}" pid="6" name="Security Classification">
    <vt:lpwstr>37;#Unclassified|a6f64896-ae48-4d38-9394-0168a9e18a35</vt:lpwstr>
  </property>
  <property fmtid="{D5CDD505-2E9C-101B-9397-08002B2CF9AE}" pid="7" name="ndce0d0d55a349928d36ed823709dfec">
    <vt:lpwstr>Data and Governance|3fcd623d-c4c5-45d6-9bd0-abc774937aee</vt:lpwstr>
  </property>
  <property fmtid="{D5CDD505-2E9C-101B-9397-08002B2CF9AE}" pid="8" name="Data Collection">
    <vt:lpwstr/>
  </property>
  <property fmtid="{D5CDD505-2E9C-101B-9397-08002B2CF9AE}" pid="9" name="Report Type">
    <vt:lpwstr>23;#Internal Report|a89eade3-a39a-496c-a215-f730206bee91</vt:lpwstr>
  </property>
  <property fmtid="{D5CDD505-2E9C-101B-9397-08002B2CF9AE}" pid="10" name="Team1">
    <vt:lpwstr>42;#Data and Governance|3fcd623d-c4c5-45d6-9bd0-abc774937aee</vt:lpwstr>
  </property>
  <property fmtid="{D5CDD505-2E9C-101B-9397-08002B2CF9AE}" pid="11" name="Financial Year">
    <vt:lpwstr>8;#2014-15|c8ad80d9-9626-4ad5-9533-87bf6e7ffebf</vt:lpwstr>
  </property>
  <property fmtid="{D5CDD505-2E9C-101B-9397-08002B2CF9AE}" pid="12" name="a08a6089e46746499c2f2704ce97e999">
    <vt:lpwstr/>
  </property>
</Properties>
</file>