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7184E" w14:textId="77777777" w:rsidR="00A91944" w:rsidRPr="0049771D" w:rsidRDefault="00A91944" w:rsidP="00E97343">
      <w:pPr>
        <w:pStyle w:val="Heading2"/>
        <w:keepNext w:val="0"/>
        <w:keepLines w:val="0"/>
        <w:widowControl w:val="0"/>
        <w:spacing w:before="0" w:line="260" w:lineRule="atLeast"/>
        <w:rPr>
          <w:rFonts w:ascii="Arial" w:eastAsia="Times New Roman" w:hAnsi="Arial" w:cs="Arial"/>
          <w:bCs/>
          <w:color w:val="595959"/>
        </w:rPr>
      </w:pPr>
      <w:bookmarkStart w:id="0" w:name="_Toc445453851"/>
      <w:r w:rsidRPr="0049771D">
        <w:rPr>
          <w:rFonts w:ascii="Arial" w:eastAsia="Times New Roman" w:hAnsi="Arial" w:cs="Arial"/>
          <w:bCs/>
          <w:color w:val="595959"/>
        </w:rPr>
        <w:t>Green organics collection service results</w:t>
      </w:r>
      <w:bookmarkEnd w:id="0"/>
    </w:p>
    <w:p w14:paraId="64DC4FF6" w14:textId="77777777" w:rsidR="00A91944" w:rsidRPr="0049771D" w:rsidRDefault="00A91944" w:rsidP="00A91944">
      <w:pPr>
        <w:rPr>
          <w:rFonts w:ascii="Arial" w:hAnsi="Arial" w:cs="Arial"/>
          <w:sz w:val="20"/>
          <w:szCs w:val="20"/>
        </w:rPr>
      </w:pPr>
    </w:p>
    <w:p w14:paraId="2231B383" w14:textId="77777777" w:rsidR="006F3130" w:rsidRPr="007C5F04" w:rsidRDefault="006F3130" w:rsidP="006F3130">
      <w:pPr>
        <w:rPr>
          <w:rFonts w:ascii="Arial" w:hAnsi="Arial" w:cs="Arial"/>
          <w:sz w:val="20"/>
          <w:szCs w:val="20"/>
        </w:rPr>
      </w:pPr>
      <w:bookmarkStart w:id="1" w:name="_Toc196024505"/>
      <w:bookmarkStart w:id="2" w:name="_Toc427587458"/>
      <w:r w:rsidRPr="007C5F04">
        <w:rPr>
          <w:rFonts w:ascii="Arial" w:hAnsi="Arial" w:cs="Arial"/>
          <w:sz w:val="20"/>
          <w:szCs w:val="20"/>
        </w:rPr>
        <w:t>In Victoria, 54 of 79 local governments offer household garden organics collection services that cover 68% of Victorian households. The majority of councils that do not offer a kerbside garden organics service are based in regional areas where such a service would be either unnecessary or economically unviable.</w:t>
      </w:r>
    </w:p>
    <w:p w14:paraId="67C06D72" w14:textId="77777777" w:rsidR="006F3130" w:rsidRPr="007C5F04" w:rsidRDefault="006F3130" w:rsidP="006F3130">
      <w:pPr>
        <w:rPr>
          <w:rFonts w:ascii="Arial" w:hAnsi="Arial" w:cs="Arial"/>
          <w:sz w:val="20"/>
          <w:szCs w:val="20"/>
        </w:rPr>
      </w:pPr>
      <w:r w:rsidRPr="007C5F04">
        <w:rPr>
          <w:rFonts w:ascii="Arial" w:hAnsi="Arial" w:cs="Arial"/>
          <w:sz w:val="20"/>
          <w:szCs w:val="20"/>
        </w:rPr>
        <w:t xml:space="preserve">In 2015-16 the amount of garden organics collected by local governments via household kerbside collections services was </w:t>
      </w:r>
      <w:r w:rsidRPr="007C5F04">
        <w:rPr>
          <w:rFonts w:ascii="Arial" w:hAnsi="Arial" w:cs="Arial"/>
          <w:b/>
          <w:sz w:val="20"/>
          <w:szCs w:val="20"/>
        </w:rPr>
        <w:t>393,727 tonnes</w:t>
      </w:r>
      <w:r w:rsidRPr="007C5F04">
        <w:rPr>
          <w:rFonts w:ascii="Arial" w:hAnsi="Arial" w:cs="Arial"/>
          <w:sz w:val="20"/>
          <w:szCs w:val="20"/>
        </w:rPr>
        <w:t xml:space="preserve"> (equivalent to 290kg per household</w:t>
      </w:r>
      <w:r>
        <w:rPr>
          <w:rFonts w:ascii="Arial" w:hAnsi="Arial" w:cs="Arial"/>
          <w:sz w:val="20"/>
          <w:szCs w:val="20"/>
        </w:rPr>
        <w:t xml:space="preserve"> or 65kg per person</w:t>
      </w:r>
      <w:r w:rsidRPr="007C5F04">
        <w:rPr>
          <w:rFonts w:ascii="Arial" w:hAnsi="Arial" w:cs="Arial"/>
          <w:sz w:val="20"/>
          <w:szCs w:val="20"/>
        </w:rPr>
        <w:t xml:space="preserve">). This figure increased by </w:t>
      </w:r>
      <w:r>
        <w:rPr>
          <w:rFonts w:ascii="Arial" w:hAnsi="Arial" w:cs="Arial"/>
          <w:sz w:val="20"/>
          <w:szCs w:val="20"/>
        </w:rPr>
        <w:t>3.0</w:t>
      </w:r>
      <w:r w:rsidRPr="007C5F04">
        <w:rPr>
          <w:rFonts w:ascii="Arial" w:hAnsi="Arial" w:cs="Arial"/>
          <w:sz w:val="20"/>
          <w:szCs w:val="20"/>
        </w:rPr>
        <w:t>%</w:t>
      </w:r>
      <w:r>
        <w:rPr>
          <w:rFonts w:ascii="Arial" w:hAnsi="Arial" w:cs="Arial"/>
          <w:sz w:val="20"/>
          <w:szCs w:val="20"/>
        </w:rPr>
        <w:t xml:space="preserve"> or 12,000 tonnes</w:t>
      </w:r>
      <w:r w:rsidRPr="007C5F04">
        <w:rPr>
          <w:rFonts w:ascii="Arial" w:hAnsi="Arial" w:cs="Arial"/>
          <w:sz w:val="20"/>
          <w:szCs w:val="20"/>
        </w:rPr>
        <w:t xml:space="preserve"> from 2014-15 (</w:t>
      </w:r>
      <w:r>
        <w:rPr>
          <w:rFonts w:ascii="Arial" w:hAnsi="Arial" w:cs="Arial"/>
          <w:sz w:val="20"/>
          <w:szCs w:val="20"/>
        </w:rPr>
        <w:t>382,212</w:t>
      </w:r>
      <w:r w:rsidRPr="007C5F04">
        <w:rPr>
          <w:rFonts w:ascii="Arial" w:hAnsi="Arial" w:cs="Arial"/>
          <w:sz w:val="20"/>
          <w:szCs w:val="20"/>
        </w:rPr>
        <w:t xml:space="preserve"> tonnes). </w:t>
      </w:r>
    </w:p>
    <w:p w14:paraId="5C33ABD8" w14:textId="77777777" w:rsidR="006F3130" w:rsidRPr="007C5F04" w:rsidRDefault="006F3130" w:rsidP="006F3130">
      <w:pPr>
        <w:rPr>
          <w:rFonts w:ascii="Arial" w:hAnsi="Arial" w:cs="Arial"/>
          <w:sz w:val="20"/>
          <w:szCs w:val="20"/>
        </w:rPr>
      </w:pPr>
      <w:r w:rsidRPr="007C5F04">
        <w:rPr>
          <w:rFonts w:ascii="Arial" w:hAnsi="Arial" w:cs="Arial"/>
          <w:sz w:val="20"/>
          <w:szCs w:val="20"/>
        </w:rPr>
        <w:t xml:space="preserve">Of the total amount collected, almost 100% was processed – less than 1% was not and this is likely sent to landfill or burnt due to contamination or limited access opportunities to a garden organics processing facility. </w:t>
      </w:r>
    </w:p>
    <w:p w14:paraId="455459DB" w14:textId="20CC4437" w:rsidR="006F3130" w:rsidRPr="007C5F04" w:rsidRDefault="006F3130" w:rsidP="006F3130">
      <w:pPr>
        <w:rPr>
          <w:rFonts w:ascii="Arial" w:hAnsi="Arial" w:cs="Arial"/>
          <w:sz w:val="20"/>
          <w:szCs w:val="20"/>
        </w:rPr>
      </w:pPr>
      <w:r>
        <w:rPr>
          <w:rFonts w:ascii="Arial" w:hAnsi="Arial" w:cs="Arial"/>
          <w:sz w:val="20"/>
          <w:szCs w:val="20"/>
        </w:rPr>
        <w:t>Figure 1</w:t>
      </w:r>
      <w:r w:rsidRPr="007C5F04">
        <w:rPr>
          <w:rFonts w:ascii="Arial" w:hAnsi="Arial" w:cs="Arial"/>
          <w:sz w:val="20"/>
          <w:szCs w:val="20"/>
        </w:rPr>
        <w:t xml:space="preserve"> shows that since the Victorian Local Government Annual Waste Services Report began in 2001-02, household garden organics collection has more than tripled. During this time, there has been an expansion of the three bin system to a small bin for garbage, one large bin for recyclables and another large bin for garden organics. As a result, this has encouraged households to divert garden organics from landfill.</w:t>
      </w:r>
    </w:p>
    <w:p w14:paraId="5007FEF9" w14:textId="77777777" w:rsidR="006F3130" w:rsidRPr="007C5F04" w:rsidRDefault="006F3130" w:rsidP="006F3130">
      <w:pPr>
        <w:rPr>
          <w:rFonts w:ascii="Arial" w:hAnsi="Arial" w:cs="Arial"/>
          <w:sz w:val="20"/>
          <w:szCs w:val="20"/>
        </w:rPr>
      </w:pPr>
      <w:r w:rsidRPr="007C5F04">
        <w:rPr>
          <w:rFonts w:ascii="Arial" w:hAnsi="Arial" w:cs="Arial"/>
          <w:sz w:val="20"/>
          <w:szCs w:val="20"/>
        </w:rPr>
        <w:t>Quantities collected over the five years prior to 2009-10 remained relatively stable. This can be attributed largely to the prevailing drought conditions in Victoria and the watering restrictions enforced in many parts of the state at that time.</w:t>
      </w:r>
    </w:p>
    <w:p w14:paraId="5DCD7D2F" w14:textId="7771F79F" w:rsidR="006F3130" w:rsidRPr="007C5F04" w:rsidRDefault="006F3130" w:rsidP="006F3130">
      <w:pPr>
        <w:rPr>
          <w:rFonts w:ascii="Arial" w:hAnsi="Arial" w:cs="Arial"/>
          <w:sz w:val="20"/>
          <w:szCs w:val="20"/>
        </w:rPr>
      </w:pPr>
      <w:r>
        <w:rPr>
          <w:rFonts w:ascii="Arial" w:hAnsi="Arial" w:cs="Arial"/>
          <w:sz w:val="20"/>
          <w:szCs w:val="20"/>
        </w:rPr>
        <w:t>The large increase in 2010</w:t>
      </w:r>
      <w:r w:rsidRPr="007C5F04">
        <w:rPr>
          <w:rFonts w:ascii="Arial" w:hAnsi="Arial" w:cs="Arial"/>
          <w:sz w:val="20"/>
          <w:szCs w:val="20"/>
        </w:rPr>
        <w:t>-11 can be attributed to the drought coming to an end and the introduction by state government in 2009 that saw residents in bushfire prone areas able to clear trees within 10 metres and shrubs within 30 metres of their homes without a permit.</w:t>
      </w:r>
    </w:p>
    <w:p w14:paraId="5DD57F30" w14:textId="70102B94" w:rsidR="00A91944" w:rsidRPr="0049771D" w:rsidRDefault="006F3130" w:rsidP="00A91944">
      <w:pPr>
        <w:pStyle w:val="ReportCaptions"/>
        <w:rPr>
          <w:rFonts w:cs="Arial"/>
          <w:b/>
          <w:color w:val="auto"/>
        </w:rPr>
      </w:pPr>
      <w:r>
        <w:rPr>
          <w:rFonts w:cs="Arial"/>
          <w:b/>
          <w:color w:val="auto"/>
        </w:rPr>
        <w:t>Figure 1</w:t>
      </w:r>
      <w:r w:rsidR="00A91944" w:rsidRPr="0049771D">
        <w:rPr>
          <w:rFonts w:cs="Arial"/>
          <w:b/>
          <w:color w:val="auto"/>
        </w:rPr>
        <w:t>: Green organics tonnes collected, Victoria 2001-02 to 201</w:t>
      </w:r>
      <w:bookmarkEnd w:id="1"/>
      <w:r>
        <w:rPr>
          <w:rFonts w:cs="Arial"/>
          <w:b/>
          <w:color w:val="auto"/>
        </w:rPr>
        <w:t>5</w:t>
      </w:r>
      <w:r w:rsidR="00A91944" w:rsidRPr="0049771D">
        <w:rPr>
          <w:rFonts w:cs="Arial"/>
          <w:b/>
          <w:color w:val="auto"/>
        </w:rPr>
        <w:t>-1</w:t>
      </w:r>
      <w:bookmarkEnd w:id="2"/>
      <w:r>
        <w:rPr>
          <w:rFonts w:cs="Arial"/>
          <w:b/>
          <w:color w:val="auto"/>
        </w:rPr>
        <w:t>6</w:t>
      </w:r>
    </w:p>
    <w:p w14:paraId="7800647A" w14:textId="4F8D50AA" w:rsidR="00A91944" w:rsidRPr="0049771D" w:rsidRDefault="006F3130" w:rsidP="00A91944">
      <w:pPr>
        <w:rPr>
          <w:rFonts w:ascii="Arial" w:hAnsi="Arial" w:cs="Arial"/>
        </w:rPr>
      </w:pPr>
      <w:r w:rsidRPr="007C5F04">
        <w:rPr>
          <w:noProof/>
          <w:lang w:eastAsia="en-AU"/>
        </w:rPr>
        <w:drawing>
          <wp:inline distT="0" distB="0" distL="0" distR="0" wp14:anchorId="7B5C7799" wp14:editId="256533BA">
            <wp:extent cx="4683125" cy="3045460"/>
            <wp:effectExtent l="0" t="0" r="317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3125" cy="3045460"/>
                    </a:xfrm>
                    <a:prstGeom prst="rect">
                      <a:avLst/>
                    </a:prstGeom>
                    <a:noFill/>
                    <a:ln>
                      <a:noFill/>
                    </a:ln>
                  </pic:spPr>
                </pic:pic>
              </a:graphicData>
            </a:graphic>
          </wp:inline>
        </w:drawing>
      </w:r>
    </w:p>
    <w:p w14:paraId="421BA3B7" w14:textId="77777777" w:rsidR="00A91944" w:rsidRPr="0049771D" w:rsidRDefault="00A91944" w:rsidP="00A91944">
      <w:pPr>
        <w:rPr>
          <w:rFonts w:ascii="Arial" w:hAnsi="Arial" w:cs="Arial"/>
          <w:b/>
          <w:sz w:val="20"/>
          <w:szCs w:val="20"/>
        </w:rPr>
      </w:pPr>
      <w:r w:rsidRPr="0049771D">
        <w:rPr>
          <w:rFonts w:ascii="Arial" w:hAnsi="Arial" w:cs="Arial"/>
          <w:b/>
          <w:sz w:val="20"/>
          <w:szCs w:val="20"/>
        </w:rPr>
        <w:t>Cost and geography</w:t>
      </w:r>
    </w:p>
    <w:p w14:paraId="2AAC7756" w14:textId="77777777" w:rsidR="006F3130" w:rsidRPr="00760DCE" w:rsidRDefault="006F3130" w:rsidP="006F3130">
      <w:pPr>
        <w:rPr>
          <w:rFonts w:ascii="Arial" w:hAnsi="Arial" w:cs="Arial"/>
          <w:sz w:val="20"/>
          <w:szCs w:val="20"/>
        </w:rPr>
      </w:pPr>
      <w:r w:rsidRPr="00760DCE">
        <w:rPr>
          <w:rFonts w:ascii="Arial" w:hAnsi="Arial" w:cs="Arial"/>
          <w:sz w:val="20"/>
          <w:szCs w:val="20"/>
        </w:rPr>
        <w:t>In 2015-16 the cost of local governments to provide a garden organics collection service was $69 million (equivalent to $51.00 per household or $</w:t>
      </w:r>
      <w:r>
        <w:rPr>
          <w:rFonts w:ascii="Arial" w:hAnsi="Arial" w:cs="Arial"/>
          <w:sz w:val="20"/>
          <w:szCs w:val="20"/>
        </w:rPr>
        <w:t>11.42</w:t>
      </w:r>
      <w:r w:rsidRPr="00760DCE">
        <w:rPr>
          <w:rFonts w:ascii="Arial" w:hAnsi="Arial" w:cs="Arial"/>
          <w:sz w:val="20"/>
          <w:szCs w:val="20"/>
        </w:rPr>
        <w:t xml:space="preserve"> per person). This </w:t>
      </w:r>
      <w:r>
        <w:rPr>
          <w:rFonts w:ascii="Arial" w:hAnsi="Arial" w:cs="Arial"/>
          <w:sz w:val="20"/>
          <w:szCs w:val="20"/>
        </w:rPr>
        <w:t>is an increase of $5.9</w:t>
      </w:r>
      <w:r w:rsidRPr="00760DCE">
        <w:rPr>
          <w:rFonts w:ascii="Arial" w:hAnsi="Arial" w:cs="Arial"/>
          <w:sz w:val="20"/>
          <w:szCs w:val="20"/>
        </w:rPr>
        <w:t xml:space="preserve"> million or 9</w:t>
      </w:r>
      <w:r>
        <w:rPr>
          <w:rFonts w:ascii="Arial" w:hAnsi="Arial" w:cs="Arial"/>
          <w:sz w:val="20"/>
          <w:szCs w:val="20"/>
        </w:rPr>
        <w:t>.3</w:t>
      </w:r>
      <w:r w:rsidRPr="00760DCE">
        <w:rPr>
          <w:rFonts w:ascii="Arial" w:hAnsi="Arial" w:cs="Arial"/>
          <w:sz w:val="20"/>
          <w:szCs w:val="20"/>
        </w:rPr>
        <w:t>% since 2014-15</w:t>
      </w:r>
      <w:r>
        <w:rPr>
          <w:rFonts w:ascii="Arial" w:hAnsi="Arial" w:cs="Arial"/>
          <w:sz w:val="20"/>
          <w:szCs w:val="20"/>
        </w:rPr>
        <w:t xml:space="preserve"> ($63</w:t>
      </w:r>
      <w:r w:rsidRPr="00760DCE">
        <w:rPr>
          <w:rFonts w:ascii="Arial" w:hAnsi="Arial" w:cs="Arial"/>
          <w:sz w:val="20"/>
          <w:szCs w:val="20"/>
        </w:rPr>
        <w:t xml:space="preserve"> million). This increase can be partly explained by additional services undertaken by local governments and a CPI increase of 1% since 2014-15.</w:t>
      </w:r>
    </w:p>
    <w:p w14:paraId="356AD504" w14:textId="77777777" w:rsidR="006F3130" w:rsidRPr="007E7D7E" w:rsidRDefault="006F3130" w:rsidP="006F3130">
      <w:pPr>
        <w:rPr>
          <w:rFonts w:ascii="Arial" w:hAnsi="Arial" w:cs="Arial"/>
          <w:sz w:val="20"/>
          <w:szCs w:val="20"/>
        </w:rPr>
      </w:pPr>
      <w:r w:rsidRPr="007E7D7E">
        <w:rPr>
          <w:rFonts w:ascii="Arial" w:hAnsi="Arial" w:cs="Arial"/>
          <w:sz w:val="20"/>
          <w:szCs w:val="20"/>
        </w:rPr>
        <w:t>Non-metropolitan councils spent on average 7% or $3.63 more per household for a garden organics collection than Metropolitan councils while yielding slightly more material – 294kg per household as opposed to Metropolitan councils which yielded 289kg on average.</w:t>
      </w:r>
    </w:p>
    <w:p w14:paraId="5E7ACBD3" w14:textId="77777777" w:rsidR="006F3130" w:rsidRPr="007E7D7E" w:rsidRDefault="006F3130" w:rsidP="006F3130">
      <w:pPr>
        <w:rPr>
          <w:rFonts w:ascii="Arial" w:hAnsi="Arial" w:cs="Arial"/>
          <w:b/>
          <w:sz w:val="20"/>
          <w:szCs w:val="20"/>
        </w:rPr>
      </w:pPr>
    </w:p>
    <w:p w14:paraId="27EA4189" w14:textId="77777777" w:rsidR="006F3130" w:rsidRPr="007E7D7E" w:rsidRDefault="006F3130" w:rsidP="006F3130">
      <w:pPr>
        <w:rPr>
          <w:rFonts w:ascii="Arial" w:hAnsi="Arial" w:cs="Arial"/>
          <w:b/>
          <w:sz w:val="20"/>
          <w:szCs w:val="20"/>
        </w:rPr>
      </w:pPr>
      <w:r w:rsidRPr="007E7D7E">
        <w:rPr>
          <w:rFonts w:ascii="Arial" w:hAnsi="Arial" w:cs="Arial"/>
          <w:b/>
          <w:sz w:val="20"/>
          <w:szCs w:val="20"/>
        </w:rPr>
        <w:t>Bin collection system</w:t>
      </w:r>
    </w:p>
    <w:p w14:paraId="60E0DD1D" w14:textId="31C3C255" w:rsidR="006F3130" w:rsidRPr="007E7D7E" w:rsidRDefault="006F3130" w:rsidP="006F3130">
      <w:pPr>
        <w:rPr>
          <w:rFonts w:ascii="Arial" w:hAnsi="Arial" w:cs="Arial"/>
          <w:sz w:val="20"/>
          <w:szCs w:val="20"/>
        </w:rPr>
      </w:pPr>
      <w:r>
        <w:rPr>
          <w:rFonts w:ascii="Arial" w:hAnsi="Arial" w:cs="Arial"/>
          <w:sz w:val="20"/>
          <w:szCs w:val="20"/>
        </w:rPr>
        <w:t>Table 1</w:t>
      </w:r>
      <w:r w:rsidRPr="007E7D7E">
        <w:rPr>
          <w:rFonts w:ascii="Arial" w:hAnsi="Arial" w:cs="Arial"/>
          <w:sz w:val="20"/>
          <w:szCs w:val="20"/>
        </w:rPr>
        <w:t xml:space="preserve"> shows the range and frequency of bins used for green organic collections. The predominant bin used by Victorian local governments is the 240L bin, accounting for 42 (64%) of all garden organics collection services provided.</w:t>
      </w:r>
    </w:p>
    <w:p w14:paraId="2D8F9227" w14:textId="6FC1D59B" w:rsidR="006F3130" w:rsidRPr="007E7D7E" w:rsidRDefault="006F3130" w:rsidP="006F3130">
      <w:pPr>
        <w:pStyle w:val="ReportCaptions"/>
        <w:rPr>
          <w:rFonts w:cs="Arial"/>
          <w:b/>
          <w:color w:val="auto"/>
        </w:rPr>
      </w:pPr>
      <w:bookmarkStart w:id="3" w:name="_Toc196024530"/>
      <w:bookmarkStart w:id="4" w:name="_Toc394049932"/>
      <w:bookmarkStart w:id="5" w:name="_Toc440637775"/>
      <w:r>
        <w:rPr>
          <w:rFonts w:cs="Arial"/>
          <w:b/>
          <w:color w:val="auto"/>
        </w:rPr>
        <w:t>Table 1</w:t>
      </w:r>
      <w:r w:rsidRPr="007E7D7E">
        <w:rPr>
          <w:rFonts w:cs="Arial"/>
          <w:b/>
          <w:color w:val="auto"/>
        </w:rPr>
        <w:t xml:space="preserve">: Garden organics bin systems, Victoria </w:t>
      </w:r>
      <w:bookmarkEnd w:id="3"/>
      <w:bookmarkEnd w:id="4"/>
      <w:bookmarkEnd w:id="5"/>
      <w:r w:rsidRPr="007E7D7E">
        <w:rPr>
          <w:rFonts w:cs="Arial"/>
          <w:b/>
          <w:color w:val="auto"/>
        </w:rPr>
        <w:t>2015-16</w:t>
      </w:r>
      <w:bookmarkStart w:id="6" w:name="_GoBack"/>
      <w:bookmarkEnd w:id="6"/>
    </w:p>
    <w:tbl>
      <w:tblPr>
        <w:tblW w:w="0" w:type="auto"/>
        <w:tblInd w:w="108" w:type="dxa"/>
        <w:tblLook w:val="0000" w:firstRow="0" w:lastRow="0" w:firstColumn="0" w:lastColumn="0" w:noHBand="0" w:noVBand="0"/>
      </w:tblPr>
      <w:tblGrid>
        <w:gridCol w:w="1333"/>
        <w:gridCol w:w="1157"/>
        <w:gridCol w:w="1241"/>
        <w:gridCol w:w="720"/>
      </w:tblGrid>
      <w:tr w:rsidR="006F3130" w:rsidRPr="007E7D7E" w14:paraId="0CC18A55" w14:textId="77777777" w:rsidTr="003945AA">
        <w:trPr>
          <w:trHeight w:val="300"/>
        </w:trPr>
        <w:tc>
          <w:tcPr>
            <w:tcW w:w="1333" w:type="dxa"/>
            <w:tcBorders>
              <w:top w:val="single" w:sz="4" w:space="0" w:color="000000"/>
              <w:left w:val="nil"/>
              <w:bottom w:val="single" w:sz="4" w:space="0" w:color="000000"/>
              <w:right w:val="nil"/>
            </w:tcBorders>
            <w:shd w:val="clear" w:color="auto" w:fill="C1E1A0"/>
            <w:noWrap/>
            <w:vAlign w:val="bottom"/>
          </w:tcPr>
          <w:p w14:paraId="77E6BC3B" w14:textId="77777777" w:rsidR="006F3130" w:rsidRPr="007E7D7E" w:rsidRDefault="006F3130" w:rsidP="003945AA">
            <w:pPr>
              <w:tabs>
                <w:tab w:val="left" w:pos="1452"/>
              </w:tabs>
              <w:spacing w:after="0" w:line="240" w:lineRule="auto"/>
              <w:rPr>
                <w:rFonts w:ascii="Arial" w:hAnsi="Arial" w:cs="Arial"/>
                <w:sz w:val="16"/>
                <w:szCs w:val="16"/>
                <w:lang w:eastAsia="en-AU"/>
              </w:rPr>
            </w:pPr>
            <w:r w:rsidRPr="007E7D7E">
              <w:rPr>
                <w:rFonts w:ascii="Arial" w:hAnsi="Arial" w:cs="Arial"/>
                <w:sz w:val="16"/>
                <w:szCs w:val="16"/>
                <w:lang w:eastAsia="en-AU"/>
              </w:rPr>
              <w:t>Primary bin</w:t>
            </w:r>
          </w:p>
        </w:tc>
        <w:tc>
          <w:tcPr>
            <w:tcW w:w="1157" w:type="dxa"/>
            <w:tcBorders>
              <w:top w:val="single" w:sz="4" w:space="0" w:color="000000"/>
              <w:left w:val="nil"/>
              <w:bottom w:val="single" w:sz="4" w:space="0" w:color="000000"/>
              <w:right w:val="nil"/>
            </w:tcBorders>
            <w:shd w:val="clear" w:color="auto" w:fill="C1E1A0"/>
            <w:noWrap/>
            <w:vAlign w:val="bottom"/>
          </w:tcPr>
          <w:p w14:paraId="69D00A02"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lang w:eastAsia="en-AU"/>
              </w:rPr>
              <w:t>Metro</w:t>
            </w:r>
          </w:p>
        </w:tc>
        <w:tc>
          <w:tcPr>
            <w:tcW w:w="1241" w:type="dxa"/>
            <w:tcBorders>
              <w:top w:val="single" w:sz="4" w:space="0" w:color="000000"/>
              <w:left w:val="nil"/>
              <w:bottom w:val="single" w:sz="4" w:space="0" w:color="000000"/>
              <w:right w:val="nil"/>
            </w:tcBorders>
            <w:shd w:val="clear" w:color="auto" w:fill="C1E1A0"/>
            <w:noWrap/>
            <w:vAlign w:val="bottom"/>
          </w:tcPr>
          <w:p w14:paraId="6D1CE230"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lang w:eastAsia="en-AU"/>
              </w:rPr>
              <w:t>Non-metro</w:t>
            </w:r>
          </w:p>
        </w:tc>
        <w:tc>
          <w:tcPr>
            <w:tcW w:w="720" w:type="dxa"/>
            <w:tcBorders>
              <w:top w:val="single" w:sz="4" w:space="0" w:color="000000"/>
              <w:left w:val="nil"/>
              <w:bottom w:val="single" w:sz="4" w:space="0" w:color="000000"/>
              <w:right w:val="nil"/>
            </w:tcBorders>
            <w:shd w:val="clear" w:color="auto" w:fill="C1E1A0"/>
            <w:vAlign w:val="bottom"/>
          </w:tcPr>
          <w:p w14:paraId="081E481F" w14:textId="77777777" w:rsidR="006F3130" w:rsidRPr="007E7D7E" w:rsidRDefault="006F3130" w:rsidP="003945AA">
            <w:pPr>
              <w:spacing w:after="0" w:line="240" w:lineRule="auto"/>
              <w:jc w:val="right"/>
              <w:rPr>
                <w:rFonts w:ascii="Arial" w:hAnsi="Arial" w:cs="Arial"/>
                <w:sz w:val="16"/>
                <w:szCs w:val="16"/>
                <w:lang w:eastAsia="en-AU"/>
              </w:rPr>
            </w:pPr>
            <w:r w:rsidRPr="007E7D7E">
              <w:rPr>
                <w:rFonts w:ascii="Arial" w:hAnsi="Arial" w:cs="Arial"/>
                <w:sz w:val="16"/>
                <w:szCs w:val="16"/>
                <w:lang w:eastAsia="en-AU"/>
              </w:rPr>
              <w:t>Total</w:t>
            </w:r>
          </w:p>
        </w:tc>
      </w:tr>
      <w:tr w:rsidR="006F3130" w:rsidRPr="007E7D7E" w14:paraId="65E8CDE4" w14:textId="77777777" w:rsidTr="003945AA">
        <w:trPr>
          <w:trHeight w:val="255"/>
        </w:trPr>
        <w:tc>
          <w:tcPr>
            <w:tcW w:w="1333" w:type="dxa"/>
            <w:tcBorders>
              <w:top w:val="nil"/>
              <w:left w:val="nil"/>
              <w:bottom w:val="nil"/>
              <w:right w:val="nil"/>
            </w:tcBorders>
            <w:shd w:val="clear" w:color="auto" w:fill="auto"/>
            <w:noWrap/>
            <w:vAlign w:val="bottom"/>
          </w:tcPr>
          <w:p w14:paraId="77E493C6" w14:textId="77777777" w:rsidR="006F3130" w:rsidRPr="007E7D7E" w:rsidRDefault="006F3130" w:rsidP="003945AA">
            <w:pPr>
              <w:tabs>
                <w:tab w:val="left" w:pos="1452"/>
              </w:tabs>
              <w:spacing w:after="0" w:line="240" w:lineRule="auto"/>
              <w:rPr>
                <w:rFonts w:ascii="Arial" w:hAnsi="Arial" w:cs="Arial"/>
                <w:sz w:val="16"/>
                <w:szCs w:val="16"/>
                <w:lang w:eastAsia="en-AU"/>
              </w:rPr>
            </w:pPr>
            <w:r w:rsidRPr="007E7D7E">
              <w:rPr>
                <w:rFonts w:ascii="Arial" w:hAnsi="Arial" w:cs="Arial"/>
                <w:sz w:val="16"/>
                <w:szCs w:val="16"/>
                <w:lang w:eastAsia="en-AU"/>
              </w:rPr>
              <w:t>120 L</w:t>
            </w:r>
          </w:p>
        </w:tc>
        <w:tc>
          <w:tcPr>
            <w:tcW w:w="1157" w:type="dxa"/>
            <w:tcBorders>
              <w:top w:val="nil"/>
              <w:left w:val="nil"/>
              <w:bottom w:val="nil"/>
              <w:right w:val="nil"/>
            </w:tcBorders>
            <w:shd w:val="clear" w:color="auto" w:fill="auto"/>
            <w:noWrap/>
            <w:vAlign w:val="center"/>
          </w:tcPr>
          <w:p w14:paraId="17061C47"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6</w:t>
            </w:r>
          </w:p>
        </w:tc>
        <w:tc>
          <w:tcPr>
            <w:tcW w:w="1241" w:type="dxa"/>
            <w:tcBorders>
              <w:top w:val="nil"/>
              <w:left w:val="nil"/>
              <w:bottom w:val="nil"/>
              <w:right w:val="nil"/>
            </w:tcBorders>
            <w:shd w:val="clear" w:color="auto" w:fill="auto"/>
            <w:noWrap/>
            <w:vAlign w:val="center"/>
          </w:tcPr>
          <w:p w14:paraId="60778152"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w:t>
            </w:r>
          </w:p>
        </w:tc>
        <w:tc>
          <w:tcPr>
            <w:tcW w:w="720" w:type="dxa"/>
            <w:tcBorders>
              <w:top w:val="nil"/>
              <w:left w:val="nil"/>
              <w:bottom w:val="nil"/>
              <w:right w:val="nil"/>
            </w:tcBorders>
            <w:shd w:val="clear" w:color="auto" w:fill="auto"/>
            <w:noWrap/>
            <w:vAlign w:val="center"/>
          </w:tcPr>
          <w:p w14:paraId="63A90319" w14:textId="77777777" w:rsidR="006F3130" w:rsidRPr="007E7D7E" w:rsidRDefault="006F3130" w:rsidP="003945AA">
            <w:pPr>
              <w:spacing w:after="0" w:line="240" w:lineRule="auto"/>
              <w:jc w:val="right"/>
              <w:rPr>
                <w:rFonts w:ascii="Arial" w:hAnsi="Arial" w:cs="Arial"/>
                <w:sz w:val="16"/>
                <w:szCs w:val="16"/>
                <w:lang w:eastAsia="en-AU"/>
              </w:rPr>
            </w:pPr>
            <w:r w:rsidRPr="007E7D7E">
              <w:rPr>
                <w:rFonts w:ascii="Arial" w:hAnsi="Arial" w:cs="Arial"/>
                <w:b/>
                <w:bCs/>
                <w:sz w:val="16"/>
                <w:szCs w:val="16"/>
              </w:rPr>
              <w:t>6</w:t>
            </w:r>
          </w:p>
        </w:tc>
      </w:tr>
      <w:tr w:rsidR="006F3130" w:rsidRPr="007E7D7E" w14:paraId="3528AD11" w14:textId="77777777" w:rsidTr="003945AA">
        <w:trPr>
          <w:trHeight w:val="255"/>
        </w:trPr>
        <w:tc>
          <w:tcPr>
            <w:tcW w:w="1333" w:type="dxa"/>
            <w:tcBorders>
              <w:top w:val="nil"/>
              <w:left w:val="nil"/>
              <w:right w:val="nil"/>
            </w:tcBorders>
            <w:shd w:val="clear" w:color="auto" w:fill="auto"/>
            <w:noWrap/>
            <w:vAlign w:val="bottom"/>
          </w:tcPr>
          <w:p w14:paraId="2F2F8EAD" w14:textId="77777777" w:rsidR="006F3130" w:rsidRPr="007E7D7E" w:rsidRDefault="006F3130" w:rsidP="003945AA">
            <w:pPr>
              <w:tabs>
                <w:tab w:val="left" w:pos="1452"/>
              </w:tabs>
              <w:spacing w:after="0" w:line="240" w:lineRule="auto"/>
              <w:rPr>
                <w:rFonts w:ascii="Arial" w:hAnsi="Arial" w:cs="Arial"/>
                <w:sz w:val="16"/>
                <w:szCs w:val="16"/>
                <w:lang w:eastAsia="en-AU"/>
              </w:rPr>
            </w:pPr>
            <w:r w:rsidRPr="007E7D7E">
              <w:rPr>
                <w:rFonts w:ascii="Arial" w:hAnsi="Arial" w:cs="Arial"/>
                <w:sz w:val="16"/>
                <w:szCs w:val="16"/>
                <w:lang w:eastAsia="en-AU"/>
              </w:rPr>
              <w:t>240 L</w:t>
            </w:r>
          </w:p>
        </w:tc>
        <w:tc>
          <w:tcPr>
            <w:tcW w:w="1157" w:type="dxa"/>
            <w:tcBorders>
              <w:top w:val="nil"/>
              <w:left w:val="nil"/>
              <w:right w:val="nil"/>
            </w:tcBorders>
            <w:shd w:val="clear" w:color="auto" w:fill="auto"/>
            <w:noWrap/>
            <w:vAlign w:val="center"/>
          </w:tcPr>
          <w:p w14:paraId="4E815D6F"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21</w:t>
            </w:r>
          </w:p>
        </w:tc>
        <w:tc>
          <w:tcPr>
            <w:tcW w:w="1241" w:type="dxa"/>
            <w:tcBorders>
              <w:top w:val="nil"/>
              <w:left w:val="nil"/>
              <w:right w:val="nil"/>
            </w:tcBorders>
            <w:shd w:val="clear" w:color="auto" w:fill="auto"/>
            <w:noWrap/>
            <w:vAlign w:val="center"/>
          </w:tcPr>
          <w:p w14:paraId="53EA5C51"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21</w:t>
            </w:r>
          </w:p>
        </w:tc>
        <w:tc>
          <w:tcPr>
            <w:tcW w:w="720" w:type="dxa"/>
            <w:tcBorders>
              <w:top w:val="nil"/>
              <w:left w:val="nil"/>
              <w:right w:val="nil"/>
            </w:tcBorders>
            <w:shd w:val="clear" w:color="auto" w:fill="auto"/>
            <w:noWrap/>
            <w:vAlign w:val="center"/>
          </w:tcPr>
          <w:p w14:paraId="60E465F7" w14:textId="77777777" w:rsidR="006F3130" w:rsidRPr="007E7D7E" w:rsidRDefault="006F3130" w:rsidP="003945AA">
            <w:pPr>
              <w:spacing w:after="0" w:line="240" w:lineRule="auto"/>
              <w:jc w:val="right"/>
              <w:rPr>
                <w:rFonts w:ascii="Arial" w:hAnsi="Arial" w:cs="Arial"/>
                <w:sz w:val="16"/>
                <w:szCs w:val="16"/>
                <w:lang w:eastAsia="en-AU"/>
              </w:rPr>
            </w:pPr>
            <w:r w:rsidRPr="007E7D7E">
              <w:rPr>
                <w:rFonts w:ascii="Arial" w:hAnsi="Arial" w:cs="Arial"/>
                <w:b/>
                <w:bCs/>
                <w:sz w:val="16"/>
                <w:szCs w:val="16"/>
              </w:rPr>
              <w:t>42</w:t>
            </w:r>
          </w:p>
        </w:tc>
      </w:tr>
      <w:tr w:rsidR="006F3130" w:rsidRPr="007E7D7E" w14:paraId="706B8916" w14:textId="77777777" w:rsidTr="003945AA">
        <w:trPr>
          <w:trHeight w:val="255"/>
        </w:trPr>
        <w:tc>
          <w:tcPr>
            <w:tcW w:w="1333" w:type="dxa"/>
            <w:tcBorders>
              <w:top w:val="nil"/>
              <w:bottom w:val="nil"/>
              <w:right w:val="nil"/>
            </w:tcBorders>
            <w:shd w:val="clear" w:color="auto" w:fill="auto"/>
            <w:noWrap/>
            <w:vAlign w:val="bottom"/>
          </w:tcPr>
          <w:p w14:paraId="74843413" w14:textId="77777777" w:rsidR="006F3130" w:rsidRPr="007E7D7E" w:rsidRDefault="006F3130" w:rsidP="003945AA">
            <w:pPr>
              <w:tabs>
                <w:tab w:val="left" w:pos="1452"/>
              </w:tabs>
              <w:spacing w:after="0" w:line="240" w:lineRule="auto"/>
              <w:rPr>
                <w:rFonts w:ascii="Arial" w:hAnsi="Arial" w:cs="Arial"/>
                <w:sz w:val="16"/>
                <w:szCs w:val="16"/>
                <w:lang w:eastAsia="en-AU"/>
              </w:rPr>
            </w:pPr>
            <w:r w:rsidRPr="007E7D7E">
              <w:rPr>
                <w:rFonts w:ascii="Arial" w:hAnsi="Arial" w:cs="Arial"/>
                <w:sz w:val="16"/>
                <w:szCs w:val="16"/>
                <w:lang w:eastAsia="en-AU"/>
              </w:rPr>
              <w:t>Loose stack</w:t>
            </w:r>
          </w:p>
        </w:tc>
        <w:tc>
          <w:tcPr>
            <w:tcW w:w="1157" w:type="dxa"/>
            <w:tcBorders>
              <w:top w:val="nil"/>
              <w:left w:val="nil"/>
              <w:bottom w:val="nil"/>
              <w:right w:val="nil"/>
            </w:tcBorders>
            <w:shd w:val="clear" w:color="auto" w:fill="auto"/>
            <w:noWrap/>
            <w:vAlign w:val="center"/>
          </w:tcPr>
          <w:p w14:paraId="0ECEA103"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w:t>
            </w:r>
          </w:p>
        </w:tc>
        <w:tc>
          <w:tcPr>
            <w:tcW w:w="1241" w:type="dxa"/>
            <w:tcBorders>
              <w:top w:val="nil"/>
              <w:left w:val="nil"/>
              <w:bottom w:val="nil"/>
              <w:right w:val="nil"/>
            </w:tcBorders>
            <w:shd w:val="clear" w:color="auto" w:fill="auto"/>
            <w:noWrap/>
            <w:vAlign w:val="center"/>
          </w:tcPr>
          <w:p w14:paraId="280396FB"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2</w:t>
            </w:r>
          </w:p>
        </w:tc>
        <w:tc>
          <w:tcPr>
            <w:tcW w:w="720" w:type="dxa"/>
            <w:tcBorders>
              <w:top w:val="nil"/>
              <w:left w:val="nil"/>
              <w:bottom w:val="nil"/>
              <w:right w:val="nil"/>
            </w:tcBorders>
            <w:shd w:val="clear" w:color="auto" w:fill="auto"/>
            <w:noWrap/>
            <w:vAlign w:val="center"/>
          </w:tcPr>
          <w:p w14:paraId="2CC3D913" w14:textId="77777777" w:rsidR="006F3130" w:rsidRPr="007E7D7E" w:rsidRDefault="006F3130" w:rsidP="003945AA">
            <w:pPr>
              <w:spacing w:after="0" w:line="240" w:lineRule="auto"/>
              <w:jc w:val="right"/>
              <w:rPr>
                <w:rFonts w:ascii="Arial" w:hAnsi="Arial" w:cs="Arial"/>
                <w:sz w:val="16"/>
                <w:szCs w:val="16"/>
                <w:lang w:eastAsia="en-AU"/>
              </w:rPr>
            </w:pPr>
            <w:r w:rsidRPr="007E7D7E">
              <w:rPr>
                <w:rFonts w:ascii="Arial" w:hAnsi="Arial" w:cs="Arial"/>
                <w:b/>
                <w:bCs/>
                <w:sz w:val="16"/>
                <w:szCs w:val="16"/>
              </w:rPr>
              <w:t>2</w:t>
            </w:r>
          </w:p>
        </w:tc>
      </w:tr>
      <w:tr w:rsidR="006F3130" w:rsidRPr="007E7D7E" w14:paraId="00ECDC39" w14:textId="77777777" w:rsidTr="003945AA">
        <w:trPr>
          <w:trHeight w:val="255"/>
        </w:trPr>
        <w:tc>
          <w:tcPr>
            <w:tcW w:w="1333" w:type="dxa"/>
            <w:tcBorders>
              <w:top w:val="nil"/>
              <w:left w:val="nil"/>
              <w:bottom w:val="single" w:sz="4" w:space="0" w:color="auto"/>
              <w:right w:val="nil"/>
            </w:tcBorders>
            <w:shd w:val="clear" w:color="auto" w:fill="auto"/>
            <w:noWrap/>
            <w:vAlign w:val="bottom"/>
          </w:tcPr>
          <w:p w14:paraId="6877135E" w14:textId="77777777" w:rsidR="006F3130" w:rsidRPr="007E7D7E" w:rsidRDefault="006F3130" w:rsidP="003945AA">
            <w:pPr>
              <w:tabs>
                <w:tab w:val="left" w:pos="1452"/>
              </w:tabs>
              <w:spacing w:after="0" w:line="240" w:lineRule="auto"/>
              <w:rPr>
                <w:rFonts w:ascii="Arial" w:hAnsi="Arial" w:cs="Arial"/>
                <w:sz w:val="16"/>
                <w:szCs w:val="16"/>
                <w:lang w:eastAsia="en-AU"/>
              </w:rPr>
            </w:pPr>
            <w:r w:rsidRPr="007E7D7E">
              <w:rPr>
                <w:rFonts w:ascii="Arial" w:hAnsi="Arial" w:cs="Arial"/>
                <w:sz w:val="16"/>
                <w:szCs w:val="16"/>
                <w:lang w:eastAsia="en-AU"/>
              </w:rPr>
              <w:t>Tied bundle</w:t>
            </w:r>
          </w:p>
        </w:tc>
        <w:tc>
          <w:tcPr>
            <w:tcW w:w="1157" w:type="dxa"/>
            <w:tcBorders>
              <w:top w:val="nil"/>
              <w:left w:val="nil"/>
              <w:bottom w:val="single" w:sz="4" w:space="0" w:color="auto"/>
              <w:right w:val="nil"/>
            </w:tcBorders>
            <w:shd w:val="clear" w:color="auto" w:fill="auto"/>
            <w:noWrap/>
            <w:vAlign w:val="center"/>
          </w:tcPr>
          <w:p w14:paraId="3B2ED916"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15</w:t>
            </w:r>
          </w:p>
        </w:tc>
        <w:tc>
          <w:tcPr>
            <w:tcW w:w="1241" w:type="dxa"/>
            <w:tcBorders>
              <w:top w:val="nil"/>
              <w:left w:val="nil"/>
              <w:bottom w:val="single" w:sz="4" w:space="0" w:color="auto"/>
              <w:right w:val="nil"/>
            </w:tcBorders>
            <w:shd w:val="clear" w:color="auto" w:fill="auto"/>
            <w:noWrap/>
            <w:vAlign w:val="center"/>
          </w:tcPr>
          <w:p w14:paraId="0F4AF5F7"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1</w:t>
            </w:r>
          </w:p>
        </w:tc>
        <w:tc>
          <w:tcPr>
            <w:tcW w:w="720" w:type="dxa"/>
            <w:tcBorders>
              <w:top w:val="nil"/>
              <w:left w:val="nil"/>
              <w:bottom w:val="single" w:sz="4" w:space="0" w:color="auto"/>
              <w:right w:val="nil"/>
            </w:tcBorders>
            <w:shd w:val="clear" w:color="auto" w:fill="auto"/>
            <w:noWrap/>
            <w:vAlign w:val="center"/>
          </w:tcPr>
          <w:p w14:paraId="49CAB775" w14:textId="77777777" w:rsidR="006F3130" w:rsidRPr="007E7D7E" w:rsidRDefault="006F3130" w:rsidP="003945AA">
            <w:pPr>
              <w:spacing w:after="0" w:line="240" w:lineRule="auto"/>
              <w:jc w:val="right"/>
              <w:rPr>
                <w:rFonts w:ascii="Arial" w:hAnsi="Arial" w:cs="Arial"/>
                <w:sz w:val="16"/>
                <w:szCs w:val="16"/>
                <w:lang w:eastAsia="en-AU"/>
              </w:rPr>
            </w:pPr>
            <w:r w:rsidRPr="007E7D7E">
              <w:rPr>
                <w:rFonts w:ascii="Arial" w:hAnsi="Arial" w:cs="Arial"/>
                <w:b/>
                <w:bCs/>
                <w:sz w:val="16"/>
                <w:szCs w:val="16"/>
              </w:rPr>
              <w:t>16</w:t>
            </w:r>
          </w:p>
        </w:tc>
      </w:tr>
      <w:tr w:rsidR="006F3130" w:rsidRPr="007E7D7E" w14:paraId="563D8207" w14:textId="77777777" w:rsidTr="003945AA">
        <w:trPr>
          <w:trHeight w:val="255"/>
        </w:trPr>
        <w:tc>
          <w:tcPr>
            <w:tcW w:w="1333" w:type="dxa"/>
            <w:tcBorders>
              <w:top w:val="single" w:sz="4" w:space="0" w:color="auto"/>
              <w:left w:val="nil"/>
              <w:bottom w:val="single" w:sz="4" w:space="0" w:color="auto"/>
              <w:right w:val="nil"/>
            </w:tcBorders>
            <w:shd w:val="clear" w:color="auto" w:fill="E0F0D0"/>
            <w:noWrap/>
            <w:vAlign w:val="bottom"/>
          </w:tcPr>
          <w:p w14:paraId="19C92C95" w14:textId="77777777" w:rsidR="006F3130" w:rsidRPr="007E7D7E" w:rsidRDefault="006F3130" w:rsidP="003945AA">
            <w:pPr>
              <w:tabs>
                <w:tab w:val="left" w:pos="1452"/>
              </w:tabs>
              <w:spacing w:after="0" w:line="240" w:lineRule="auto"/>
              <w:rPr>
                <w:rFonts w:ascii="Arial" w:hAnsi="Arial" w:cs="Arial"/>
                <w:sz w:val="16"/>
                <w:szCs w:val="16"/>
                <w:lang w:eastAsia="en-AU"/>
              </w:rPr>
            </w:pPr>
            <w:r w:rsidRPr="007E7D7E">
              <w:rPr>
                <w:rFonts w:ascii="Arial" w:hAnsi="Arial" w:cs="Arial"/>
                <w:sz w:val="16"/>
                <w:szCs w:val="16"/>
                <w:lang w:eastAsia="en-AU"/>
              </w:rPr>
              <w:t>Total</w:t>
            </w:r>
          </w:p>
        </w:tc>
        <w:tc>
          <w:tcPr>
            <w:tcW w:w="1157" w:type="dxa"/>
            <w:tcBorders>
              <w:top w:val="single" w:sz="4" w:space="0" w:color="auto"/>
              <w:left w:val="nil"/>
              <w:bottom w:val="single" w:sz="4" w:space="0" w:color="auto"/>
              <w:right w:val="nil"/>
            </w:tcBorders>
            <w:shd w:val="clear" w:color="auto" w:fill="E0F0D0"/>
            <w:noWrap/>
            <w:vAlign w:val="center"/>
          </w:tcPr>
          <w:p w14:paraId="55C01A9C"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42</w:t>
            </w:r>
          </w:p>
        </w:tc>
        <w:tc>
          <w:tcPr>
            <w:tcW w:w="1241" w:type="dxa"/>
            <w:tcBorders>
              <w:top w:val="single" w:sz="4" w:space="0" w:color="auto"/>
              <w:left w:val="nil"/>
              <w:bottom w:val="single" w:sz="4" w:space="0" w:color="auto"/>
              <w:right w:val="nil"/>
            </w:tcBorders>
            <w:shd w:val="clear" w:color="auto" w:fill="E0F0D0"/>
            <w:noWrap/>
            <w:vAlign w:val="center"/>
          </w:tcPr>
          <w:p w14:paraId="45C9A6C7" w14:textId="77777777" w:rsidR="006F3130" w:rsidRPr="007E7D7E" w:rsidRDefault="006F3130" w:rsidP="003945AA">
            <w:pPr>
              <w:spacing w:after="0" w:line="240" w:lineRule="auto"/>
              <w:jc w:val="center"/>
              <w:rPr>
                <w:rFonts w:ascii="Arial" w:hAnsi="Arial" w:cs="Arial"/>
                <w:sz w:val="16"/>
                <w:szCs w:val="16"/>
                <w:lang w:eastAsia="en-AU"/>
              </w:rPr>
            </w:pPr>
            <w:r w:rsidRPr="007E7D7E">
              <w:rPr>
                <w:rFonts w:ascii="Arial" w:hAnsi="Arial" w:cs="Arial"/>
                <w:sz w:val="16"/>
                <w:szCs w:val="16"/>
              </w:rPr>
              <w:t>24</w:t>
            </w:r>
          </w:p>
        </w:tc>
        <w:tc>
          <w:tcPr>
            <w:tcW w:w="720" w:type="dxa"/>
            <w:tcBorders>
              <w:top w:val="single" w:sz="4" w:space="0" w:color="auto"/>
              <w:left w:val="nil"/>
              <w:bottom w:val="single" w:sz="4" w:space="0" w:color="auto"/>
              <w:right w:val="nil"/>
            </w:tcBorders>
            <w:shd w:val="clear" w:color="auto" w:fill="E0F0D0"/>
            <w:noWrap/>
            <w:vAlign w:val="center"/>
          </w:tcPr>
          <w:p w14:paraId="64100931" w14:textId="77777777" w:rsidR="006F3130" w:rsidRPr="007E7D7E" w:rsidRDefault="006F3130" w:rsidP="003945AA">
            <w:pPr>
              <w:spacing w:after="0" w:line="240" w:lineRule="auto"/>
              <w:jc w:val="right"/>
              <w:rPr>
                <w:rFonts w:ascii="Arial" w:hAnsi="Arial" w:cs="Arial"/>
                <w:sz w:val="16"/>
                <w:szCs w:val="16"/>
                <w:lang w:eastAsia="en-AU"/>
              </w:rPr>
            </w:pPr>
            <w:r w:rsidRPr="007E7D7E">
              <w:rPr>
                <w:rFonts w:ascii="Arial" w:hAnsi="Arial" w:cs="Arial"/>
                <w:b/>
                <w:bCs/>
                <w:sz w:val="16"/>
                <w:szCs w:val="16"/>
              </w:rPr>
              <w:t>66</w:t>
            </w:r>
          </w:p>
        </w:tc>
      </w:tr>
    </w:tbl>
    <w:p w14:paraId="10B22F98" w14:textId="77777777" w:rsidR="006F3130" w:rsidRPr="007E7D7E" w:rsidRDefault="006F3130" w:rsidP="006F3130">
      <w:pPr>
        <w:rPr>
          <w:rFonts w:ascii="Arial" w:hAnsi="Arial" w:cs="Arial"/>
        </w:rPr>
      </w:pPr>
    </w:p>
    <w:p w14:paraId="694CE0D3" w14:textId="77777777" w:rsidR="008727E3" w:rsidRDefault="008727E3"/>
    <w:sectPr w:rsidR="00872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09DE"/>
    <w:multiLevelType w:val="hybridMultilevel"/>
    <w:tmpl w:val="A3603680"/>
    <w:lvl w:ilvl="0" w:tplc="0C09000F">
      <w:start w:val="1"/>
      <w:numFmt w:val="decimal"/>
      <w:lvlText w:val="%1."/>
      <w:lvlJc w:val="left"/>
      <w:pPr>
        <w:ind w:left="720" w:hanging="360"/>
      </w:pPr>
      <w:rPr>
        <w:rFonts w:hint="default"/>
      </w:rPr>
    </w:lvl>
    <w:lvl w:ilvl="1" w:tplc="408A5C76">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44"/>
    <w:rsid w:val="00025215"/>
    <w:rsid w:val="000926F7"/>
    <w:rsid w:val="00365D4A"/>
    <w:rsid w:val="003D0DE3"/>
    <w:rsid w:val="004E3793"/>
    <w:rsid w:val="00614798"/>
    <w:rsid w:val="006F3130"/>
    <w:rsid w:val="008727E3"/>
    <w:rsid w:val="00872CBA"/>
    <w:rsid w:val="008828EE"/>
    <w:rsid w:val="00911831"/>
    <w:rsid w:val="00933E9B"/>
    <w:rsid w:val="00A91944"/>
    <w:rsid w:val="00AC3EA9"/>
    <w:rsid w:val="00D72C2A"/>
    <w:rsid w:val="00E97343"/>
    <w:rsid w:val="00FE6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08D3"/>
  <w15:chartTrackingRefBased/>
  <w15:docId w15:val="{4A2F13AD-3603-4672-8677-93E256D8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44"/>
  </w:style>
  <w:style w:type="paragraph" w:styleId="Heading2">
    <w:name w:val="heading 2"/>
    <w:basedOn w:val="Normal"/>
    <w:next w:val="Normal"/>
    <w:link w:val="Heading2Char"/>
    <w:unhideWhenUsed/>
    <w:qFormat/>
    <w:rsid w:val="00A919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1944"/>
    <w:rPr>
      <w:rFonts w:asciiTheme="majorHAnsi" w:eastAsiaTheme="majorEastAsia" w:hAnsiTheme="majorHAnsi" w:cstheme="majorBidi"/>
      <w:color w:val="2E74B5" w:themeColor="accent1" w:themeShade="BF"/>
      <w:sz w:val="26"/>
      <w:szCs w:val="26"/>
    </w:rPr>
  </w:style>
  <w:style w:type="paragraph" w:customStyle="1" w:styleId="ReportCaptions">
    <w:name w:val="Report Captions"/>
    <w:basedOn w:val="Caption"/>
    <w:link w:val="ReportCaptionsChar"/>
    <w:rsid w:val="00A91944"/>
    <w:pPr>
      <w:widowControl w:val="0"/>
      <w:spacing w:before="240" w:after="60" w:line="260" w:lineRule="atLeast"/>
    </w:pPr>
    <w:rPr>
      <w:rFonts w:ascii="Arial" w:eastAsia="Times New Roman" w:hAnsi="Arial" w:cs="Times New Roman"/>
      <w:i w:val="0"/>
      <w:iCs w:val="0"/>
      <w:color w:val="000000"/>
      <w:spacing w:val="-5"/>
      <w:sz w:val="20"/>
      <w:szCs w:val="20"/>
    </w:rPr>
  </w:style>
  <w:style w:type="character" w:customStyle="1" w:styleId="ReportCaptionsChar">
    <w:name w:val="Report Captions Char"/>
    <w:link w:val="ReportCaptions"/>
    <w:rsid w:val="00A91944"/>
    <w:rPr>
      <w:rFonts w:ascii="Arial" w:eastAsia="Times New Roman" w:hAnsi="Arial" w:cs="Times New Roman"/>
      <w:color w:val="000000"/>
      <w:spacing w:val="-5"/>
      <w:sz w:val="20"/>
      <w:szCs w:val="20"/>
    </w:rPr>
  </w:style>
  <w:style w:type="paragraph" w:styleId="Caption">
    <w:name w:val="caption"/>
    <w:basedOn w:val="Normal"/>
    <w:next w:val="Normal"/>
    <w:uiPriority w:val="35"/>
    <w:semiHidden/>
    <w:unhideWhenUsed/>
    <w:qFormat/>
    <w:rsid w:val="00A9194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14798"/>
    <w:rPr>
      <w:sz w:val="16"/>
      <w:szCs w:val="16"/>
    </w:rPr>
  </w:style>
  <w:style w:type="paragraph" w:styleId="CommentText">
    <w:name w:val="annotation text"/>
    <w:basedOn w:val="Normal"/>
    <w:link w:val="CommentTextChar"/>
    <w:uiPriority w:val="99"/>
    <w:semiHidden/>
    <w:unhideWhenUsed/>
    <w:rsid w:val="00614798"/>
    <w:pPr>
      <w:spacing w:line="240" w:lineRule="auto"/>
    </w:pPr>
    <w:rPr>
      <w:sz w:val="20"/>
      <w:szCs w:val="20"/>
    </w:rPr>
  </w:style>
  <w:style w:type="character" w:customStyle="1" w:styleId="CommentTextChar">
    <w:name w:val="Comment Text Char"/>
    <w:basedOn w:val="DefaultParagraphFont"/>
    <w:link w:val="CommentText"/>
    <w:uiPriority w:val="99"/>
    <w:semiHidden/>
    <w:rsid w:val="00614798"/>
    <w:rPr>
      <w:sz w:val="20"/>
      <w:szCs w:val="20"/>
    </w:rPr>
  </w:style>
  <w:style w:type="paragraph" w:styleId="CommentSubject">
    <w:name w:val="annotation subject"/>
    <w:basedOn w:val="CommentText"/>
    <w:next w:val="CommentText"/>
    <w:link w:val="CommentSubjectChar"/>
    <w:uiPriority w:val="99"/>
    <w:semiHidden/>
    <w:unhideWhenUsed/>
    <w:rsid w:val="00614798"/>
    <w:rPr>
      <w:b/>
      <w:bCs/>
    </w:rPr>
  </w:style>
  <w:style w:type="character" w:customStyle="1" w:styleId="CommentSubjectChar">
    <w:name w:val="Comment Subject Char"/>
    <w:basedOn w:val="CommentTextChar"/>
    <w:link w:val="CommentSubject"/>
    <w:uiPriority w:val="99"/>
    <w:semiHidden/>
    <w:rsid w:val="00614798"/>
    <w:rPr>
      <w:b/>
      <w:bCs/>
      <w:sz w:val="20"/>
      <w:szCs w:val="20"/>
    </w:rPr>
  </w:style>
  <w:style w:type="paragraph" w:styleId="BalloonText">
    <w:name w:val="Balloon Text"/>
    <w:basedOn w:val="Normal"/>
    <w:link w:val="BalloonTextChar"/>
    <w:uiPriority w:val="99"/>
    <w:semiHidden/>
    <w:unhideWhenUsed/>
    <w:rsid w:val="0061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98"/>
    <w:rPr>
      <w:rFonts w:ascii="Segoe UI" w:hAnsi="Segoe UI" w:cs="Segoe UI"/>
      <w:sz w:val="18"/>
      <w:szCs w:val="18"/>
    </w:rPr>
  </w:style>
  <w:style w:type="character" w:styleId="SubtleEmphasis">
    <w:name w:val="Subtle Emphasis"/>
    <w:basedOn w:val="DefaultParagraphFont"/>
    <w:uiPriority w:val="19"/>
    <w:qFormat/>
    <w:rsid w:val="00365D4A"/>
    <w:rPr>
      <w:i/>
      <w:iCs/>
      <w:color w:val="404040" w:themeColor="text1" w:themeTint="BF"/>
    </w:rPr>
  </w:style>
  <w:style w:type="character" w:styleId="Emphasis">
    <w:name w:val="Emphasis"/>
    <w:basedOn w:val="DefaultParagraphFont"/>
    <w:uiPriority w:val="20"/>
    <w:qFormat/>
    <w:rsid w:val="00365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velinkID xmlns="49319c53-6c8b-4713-a0c6-7c714a55ca0e" xsi:nil="true"/>
    <l19c03aba7cf4268b442a699abdd95c1 xmlns="49319c53-6c8b-4713-a0c6-7c714a55ca0e">
      <Terms xmlns="http://schemas.microsoft.com/office/infopath/2007/PartnerControls">
        <TermInfo xmlns="http://schemas.microsoft.com/office/infopath/2007/PartnerControls">
          <TermName xmlns="http://schemas.microsoft.com/office/infopath/2007/PartnerControls">Waste Outcomes</TermName>
          <TermId xmlns="http://schemas.microsoft.com/office/infopath/2007/PartnerControls">43633b0c-7c13-4d2c-836c-e9fd9de4d7f0</TermId>
        </TermInfo>
      </Terms>
    </l19c03aba7cf4268b442a699abdd95c1>
    <oa9ff634f432497fbe7a448b9e66b205 xmlns="49319c53-6c8b-4713-a0c6-7c714a55ca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Marked_x0020_for_x0020_Deletion xmlns="0478b3d0-02d8-4d17-b53a-8e4130380b85">false</Marked_x0020_for_x0020_Deletion>
    <TaxCatchAll xmlns="49319c53-6c8b-4713-a0c6-7c714a55ca0e">
      <Value>8</Value>
      <Value>23</Value>
      <Value>37</Value>
      <Value>36</Value>
      <Value>42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ata File" ma:contentTypeID="0x01010099DDF8EDA320E543B1EC6B982B0C01210900500B88DE46F7F6468447E221C4F2679B" ma:contentTypeVersion="2" ma:contentTypeDescription="" ma:contentTypeScope="" ma:versionID="c9998f9d9032f8cc04b724531767cada">
  <xsd:schema xmlns:xsd="http://www.w3.org/2001/XMLSchema" xmlns:xs="http://www.w3.org/2001/XMLSchema" xmlns:p="http://schemas.microsoft.com/office/2006/metadata/properties" xmlns:ns2="49319c53-6c8b-4713-a0c6-7c714a55ca0e" xmlns:ns3="0478b3d0-02d8-4d17-b53a-8e4130380b85" targetNamespace="http://schemas.microsoft.com/office/2006/metadata/properties" ma:root="true" ma:fieldsID="03742cb5b89c6b9f255d72374d5ef93e" ns2:_="" ns3:_="">
    <xsd:import namespace="49319c53-6c8b-4713-a0c6-7c714a55ca0e"/>
    <xsd:import namespace="0478b3d0-02d8-4d17-b53a-8e4130380b85"/>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19c53-6c8b-4713-a0c6-7c714a55ca0e"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120fab74-ac46-4a1b-854a-45c68965d96a" ma:open="false" ma:isKeyword="false">
      <xsd:complexType>
        <xsd:sequence>
          <xsd:element ref="pc:Terms" minOccurs="0" maxOccurs="1"/>
        </xsd:sequence>
      </xsd:complexType>
    </xsd:element>
    <xsd:element name="TaxCatchAll" ma:index="9" nillable="true" ma:displayName="Taxonomy Catch All Column" ma:hidden="true" ma:list="{7222b401-0907-4ff4-96eb-0d34feb836e8}" ma:internalName="TaxCatchAll" ma:showField="CatchAllData" ma:web="49319c53-6c8b-4713-a0c6-7c714a55c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22b401-0907-4ff4-96eb-0d34feb836e8}" ma:internalName="TaxCatchAllLabel" ma:readOnly="true" ma:showField="CatchAllDataLabel" ma:web="49319c53-6c8b-4713-a0c6-7c714a55ca0e">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default="37;#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C1E12-A227-4CB3-942E-E13CF47C85BD}"/>
</file>

<file path=customXml/itemProps2.xml><?xml version="1.0" encoding="utf-8"?>
<ds:datastoreItem xmlns:ds="http://schemas.openxmlformats.org/officeDocument/2006/customXml" ds:itemID="{5A150AA5-AC06-4550-B001-B9F8EBC0E389}"/>
</file>

<file path=customXml/itemProps3.xml><?xml version="1.0" encoding="utf-8"?>
<ds:datastoreItem xmlns:ds="http://schemas.openxmlformats.org/officeDocument/2006/customXml" ds:itemID="{7821E359-1AD2-470D-9005-6347FEB78728}"/>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Fogarty</dc:creator>
  <cp:keywords/>
  <dc:description/>
  <cp:lastModifiedBy>Marcus Fogarty</cp:lastModifiedBy>
  <cp:revision>3</cp:revision>
  <dcterms:created xsi:type="dcterms:W3CDTF">2017-06-27T06:25:00Z</dcterms:created>
  <dcterms:modified xsi:type="dcterms:W3CDTF">2017-06-27T06:29:00Z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0x01010099DDF8EDA320E543B1EC6B982B0C01210900500B88DE46F7F6468447E221C4F2679B</vt:lpwstr>
  </property>
  <property fmtid="{D5CDD505-2E9C-101B-9397-08002B2CF9AE}" pid="3" name="m2a46786ab4242859a6101eb70b9b150">
    <vt:lpwstr>Internal Report|a89eade3-a39a-496c-a215-f730206bee91</vt:lpwstr>
  </property>
  <property fmtid="{D5CDD505-2E9C-101B-9397-08002B2CF9AE}" pid="4" name="lbd76de8d1c447e69ed2be2b10a21be3">
    <vt:lpwstr>2014-15|c8ad80d9-9626-4ad5-9533-87bf6e7ffebf</vt:lpwstr>
  </property>
  <property fmtid="{D5CDD505-2E9C-101B-9397-08002B2CF9AE}" pid="5" name="DM Key Word">
    <vt:lpwstr>36;#Waste Outcomes|43633b0c-7c13-4d2c-836c-e9fd9de4d7f0</vt:lpwstr>
  </property>
  <property fmtid="{D5CDD505-2E9C-101B-9397-08002B2CF9AE}" pid="6" name="Security Classification">
    <vt:lpwstr>37;#Unclassified|a6f64896-ae48-4d38-9394-0168a9e18a35</vt:lpwstr>
  </property>
  <property fmtid="{D5CDD505-2E9C-101B-9397-08002B2CF9AE}" pid="7" name="ndce0d0d55a349928d36ed823709dfec">
    <vt:lpwstr>Data and Governance|3fcd623d-c4c5-45d6-9bd0-abc774937aee</vt:lpwstr>
  </property>
  <property fmtid="{D5CDD505-2E9C-101B-9397-08002B2CF9AE}" pid="8" name="Data Collection">
    <vt:lpwstr/>
  </property>
  <property fmtid="{D5CDD505-2E9C-101B-9397-08002B2CF9AE}" pid="9" name="Report Type">
    <vt:lpwstr>23;#Internal Report|a89eade3-a39a-496c-a215-f730206bee91</vt:lpwstr>
  </property>
  <property fmtid="{D5CDD505-2E9C-101B-9397-08002B2CF9AE}" pid="10" name="Team1">
    <vt:lpwstr>42;#Data and Governance|3fcd623d-c4c5-45d6-9bd0-abc774937aee</vt:lpwstr>
  </property>
  <property fmtid="{D5CDD505-2E9C-101B-9397-08002B2CF9AE}" pid="11" name="Financial Year">
    <vt:lpwstr>8;#2014-15|c8ad80d9-9626-4ad5-9533-87bf6e7ffebf</vt:lpwstr>
  </property>
  <property fmtid="{D5CDD505-2E9C-101B-9397-08002B2CF9AE}" pid="12" name="a08a6089e46746499c2f2704ce97e999">
    <vt:lpwstr/>
  </property>
</Properties>
</file>