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0E647" w14:textId="77777777" w:rsidR="003322F2" w:rsidRDefault="003322F2" w:rsidP="003322F2">
      <w:pPr>
        <w:pStyle w:val="ProjectTitle"/>
        <w:rPr>
          <w:b w:val="0"/>
        </w:rPr>
      </w:pPr>
    </w:p>
    <w:p w14:paraId="40732511" w14:textId="77777777" w:rsidR="003322F2" w:rsidRDefault="003322F2" w:rsidP="003322F2">
      <w:pPr>
        <w:pStyle w:val="ProjectTitle"/>
        <w:rPr>
          <w:b w:val="0"/>
        </w:rPr>
      </w:pPr>
    </w:p>
    <w:p w14:paraId="1173F969" w14:textId="77777777" w:rsidR="003322F2" w:rsidRDefault="003322F2" w:rsidP="003322F2">
      <w:pPr>
        <w:pStyle w:val="ProjectTitle"/>
        <w:rPr>
          <w:b w:val="0"/>
        </w:rPr>
      </w:pPr>
    </w:p>
    <w:p w14:paraId="7BBD939E" w14:textId="77777777" w:rsidR="003322F2" w:rsidRDefault="003322F2" w:rsidP="003322F2">
      <w:pPr>
        <w:pStyle w:val="ProjectTitle"/>
        <w:rPr>
          <w:b w:val="0"/>
        </w:rPr>
      </w:pPr>
    </w:p>
    <w:p w14:paraId="355BFD45" w14:textId="77777777" w:rsidR="003322F2" w:rsidRDefault="003322F2" w:rsidP="003322F2">
      <w:pPr>
        <w:pStyle w:val="ProjectTitle"/>
        <w:rPr>
          <w:b w:val="0"/>
        </w:rPr>
      </w:pPr>
    </w:p>
    <w:p w14:paraId="507BAE66" w14:textId="77777777" w:rsidR="003322F2" w:rsidRDefault="003322F2" w:rsidP="003322F2">
      <w:pPr>
        <w:pStyle w:val="ProjectTitle"/>
        <w:rPr>
          <w:b w:val="0"/>
        </w:rPr>
      </w:pPr>
    </w:p>
    <w:p w14:paraId="6F24D264" w14:textId="77777777" w:rsidR="003322F2" w:rsidRDefault="003322F2" w:rsidP="003322F2">
      <w:pPr>
        <w:pStyle w:val="ProjectTitle"/>
        <w:rPr>
          <w:b w:val="0"/>
        </w:rPr>
      </w:pPr>
    </w:p>
    <w:p w14:paraId="216C7574" w14:textId="39F0EF07" w:rsidR="003322F2" w:rsidRPr="00041296" w:rsidRDefault="003322F2" w:rsidP="003322F2">
      <w:pPr>
        <w:pStyle w:val="ProjectTitle"/>
      </w:pPr>
      <w:r>
        <w:t>LCA of Kerbside Recyc</w:t>
      </w:r>
      <w:r w:rsidR="009B5E5E">
        <w:t>ling</w:t>
      </w:r>
      <w:r>
        <w:t xml:space="preserve"> in Victoria</w:t>
      </w:r>
    </w:p>
    <w:p w14:paraId="660399D7" w14:textId="4C3E7B72" w:rsidR="008D49C5" w:rsidRPr="008D49C5" w:rsidRDefault="008D49C5" w:rsidP="003A2892">
      <w:pPr>
        <w:rPr>
          <w:b/>
        </w:rPr>
      </w:pPr>
      <w:r>
        <w:rPr>
          <w:b/>
        </w:rPr>
        <w:t>Final I</w:t>
      </w:r>
      <w:r w:rsidRPr="008D49C5">
        <w:rPr>
          <w:b/>
        </w:rPr>
        <w:t>ssue</w:t>
      </w:r>
    </w:p>
    <w:p w14:paraId="0D49418C" w14:textId="77777777" w:rsidR="00F13A4B" w:rsidRPr="00041296" w:rsidRDefault="00F13A4B" w:rsidP="003A2892">
      <w:r w:rsidRPr="00041296">
        <w:t>Prepared for:</w:t>
      </w:r>
    </w:p>
    <w:p w14:paraId="0D49418D" w14:textId="77777777" w:rsidR="00887B62" w:rsidRPr="00041296" w:rsidRDefault="00E07CC3" w:rsidP="003A2892">
      <w:bookmarkStart w:id="0" w:name="ClientCompany"/>
      <w:r>
        <w:t>Sustainability Victoria</w:t>
      </w:r>
      <w:bookmarkEnd w:id="0"/>
    </w:p>
    <w:p w14:paraId="0D49418E" w14:textId="77777777" w:rsidR="00887B62" w:rsidRPr="00041296" w:rsidRDefault="00E07CC3" w:rsidP="003A2892">
      <w:bookmarkStart w:id="1" w:name="ClientContact"/>
      <w:r>
        <w:t>Contact: Marcus Fogarty</w:t>
      </w:r>
      <w:bookmarkEnd w:id="1"/>
    </w:p>
    <w:p w14:paraId="0D49418F" w14:textId="77777777" w:rsidR="00CE35B6" w:rsidRPr="00041296" w:rsidRDefault="00CE35B6" w:rsidP="003A2892"/>
    <w:p w14:paraId="0D494190" w14:textId="3FD0CAEF" w:rsidR="00AE2071" w:rsidRPr="00041296" w:rsidRDefault="00F13A4B" w:rsidP="003A2892">
      <w:r w:rsidRPr="00041296">
        <w:t>Issue</w:t>
      </w:r>
      <w:r w:rsidR="00062CFD" w:rsidRPr="00041296">
        <w:t>:</w:t>
      </w:r>
      <w:r w:rsidR="007E794E">
        <w:tab/>
      </w:r>
      <w:r w:rsidR="00CE35B6" w:rsidRPr="00041296">
        <w:tab/>
      </w:r>
      <w:bookmarkStart w:id="2" w:name="IssueDate"/>
      <w:r w:rsidR="00924382">
        <w:t>30 October 2015</w:t>
      </w:r>
      <w:bookmarkEnd w:id="2"/>
    </w:p>
    <w:p w14:paraId="0D494191" w14:textId="76CA61E0" w:rsidR="00F13A4B" w:rsidRPr="00041296" w:rsidRDefault="00F13A4B" w:rsidP="003A2892">
      <w:r w:rsidRPr="00041296">
        <w:t>Version:</w:t>
      </w:r>
      <w:r w:rsidR="00CE35B6" w:rsidRPr="00041296">
        <w:tab/>
      </w:r>
      <w:bookmarkStart w:id="3" w:name="VersionNumber"/>
      <w:r w:rsidR="00200B96">
        <w:t>1</w:t>
      </w:r>
      <w:r w:rsidR="00FF5764" w:rsidRPr="00041296">
        <w:t>.</w:t>
      </w:r>
      <w:bookmarkEnd w:id="3"/>
      <w:r w:rsidR="007505D6">
        <w:t>3</w:t>
      </w:r>
    </w:p>
    <w:p w14:paraId="0D494192" w14:textId="77777777" w:rsidR="00CE35B6" w:rsidRPr="00041296" w:rsidRDefault="00CE35B6" w:rsidP="003A2892"/>
    <w:p w14:paraId="0D494193" w14:textId="3639C387" w:rsidR="00F13A4B" w:rsidRPr="00041296" w:rsidRDefault="00F13A4B" w:rsidP="003A2892">
      <w:r w:rsidRPr="00041296">
        <w:t>Authors:</w:t>
      </w:r>
    </w:p>
    <w:p w14:paraId="2CC18EBE" w14:textId="406CDAC8" w:rsidR="00FA4FCC" w:rsidRDefault="00E07CC3" w:rsidP="0044773A">
      <w:r>
        <w:t>M</w:t>
      </w:r>
      <w:r w:rsidR="0044773A">
        <w:t xml:space="preserve">r. </w:t>
      </w:r>
      <w:r>
        <w:t>Andrew Carre</w:t>
      </w:r>
      <w:r w:rsidR="00FA4FCC" w:rsidRPr="00FA4FCC">
        <w:rPr>
          <w:vertAlign w:val="superscript"/>
        </w:rPr>
        <w:t>1</w:t>
      </w:r>
      <w:r w:rsidR="00FA4FCC">
        <w:t xml:space="preserve">, </w:t>
      </w:r>
      <w:r w:rsidR="009365CD">
        <w:t>Dr. Enda Crossin</w:t>
      </w:r>
      <w:r w:rsidR="00FA4FCC" w:rsidRPr="00FA4FCC">
        <w:rPr>
          <w:vertAlign w:val="superscript"/>
        </w:rPr>
        <w:t>2</w:t>
      </w:r>
      <w:r w:rsidR="00FA4FCC">
        <w:t xml:space="preserve">, </w:t>
      </w:r>
      <w:r w:rsidR="009365CD">
        <w:t>Dr. Stephen Clune</w:t>
      </w:r>
      <w:r w:rsidR="00FA4FCC" w:rsidRPr="00FA4FCC">
        <w:rPr>
          <w:vertAlign w:val="superscript"/>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FA4FCC" w14:paraId="2ED950CB" w14:textId="77777777" w:rsidTr="00FA4FCC">
        <w:tc>
          <w:tcPr>
            <w:tcW w:w="9039" w:type="dxa"/>
          </w:tcPr>
          <w:p w14:paraId="06944C0A" w14:textId="77777777" w:rsidR="00F819E1" w:rsidRDefault="00F819E1" w:rsidP="00FA4FCC">
            <w:pPr>
              <w:spacing w:after="0"/>
            </w:pPr>
          </w:p>
          <w:p w14:paraId="01E6904C" w14:textId="04768CA2" w:rsidR="00FA4FCC" w:rsidRDefault="00FA4FCC" w:rsidP="00FA4FCC">
            <w:pPr>
              <w:spacing w:after="0"/>
            </w:pPr>
            <w:bookmarkStart w:id="4" w:name="_GoBack"/>
            <w:bookmarkEnd w:id="4"/>
            <w:r>
              <w:t xml:space="preserve">1. School of Property, Construction and Project Management, RMIT University </w:t>
            </w:r>
          </w:p>
          <w:p w14:paraId="2B1619BD" w14:textId="2D733CC2" w:rsidR="00FA4FCC" w:rsidRDefault="00F819E1" w:rsidP="00FA4FCC">
            <w:pPr>
              <w:spacing w:after="0"/>
            </w:pPr>
            <w:r>
              <w:t>PO Box 2476, Melbourne VIC 3001, Australia</w:t>
            </w:r>
          </w:p>
          <w:p w14:paraId="60155E8E" w14:textId="36E1D577" w:rsidR="00FA4FCC" w:rsidRDefault="00FA4FCC" w:rsidP="00FA4FCC">
            <w:pPr>
              <w:spacing w:after="0"/>
            </w:pPr>
            <w:r>
              <w:t xml:space="preserve">Tel: + 61 3 9925 3903 </w:t>
            </w:r>
          </w:p>
        </w:tc>
      </w:tr>
    </w:tbl>
    <w:p w14:paraId="61FD421A" w14:textId="77777777" w:rsidR="00FA4FCC" w:rsidRDefault="00FA4FCC" w:rsidP="00FA4FC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FA4FCC" w14:paraId="10F51BBD" w14:textId="77777777" w:rsidTr="00FA4FCC">
        <w:tc>
          <w:tcPr>
            <w:tcW w:w="9039" w:type="dxa"/>
          </w:tcPr>
          <w:p w14:paraId="5FFBCC38" w14:textId="37396FBC" w:rsidR="00FA4FCC" w:rsidRDefault="00FA4FCC" w:rsidP="00FA4FCC">
            <w:pPr>
              <w:spacing w:after="0"/>
            </w:pPr>
            <w:r>
              <w:t>2. School of Aerospace, Mechanical and Manufacturing Engineering, RMIT University</w:t>
            </w:r>
          </w:p>
          <w:p w14:paraId="59D66532" w14:textId="36D7677B" w:rsidR="00FA4FCC" w:rsidRDefault="00FA4FCC" w:rsidP="00FA4FCC">
            <w:pPr>
              <w:spacing w:after="0"/>
            </w:pPr>
            <w:r>
              <w:t>PO Box 71 Bundoora VIC 3083</w:t>
            </w:r>
            <w:r w:rsidR="00F819E1">
              <w:t>, Australia</w:t>
            </w:r>
          </w:p>
        </w:tc>
      </w:tr>
    </w:tbl>
    <w:p w14:paraId="5FA742EA" w14:textId="10C71983" w:rsidR="00FA4FCC" w:rsidRDefault="00FA4FCC" w:rsidP="00FA4FCC">
      <w:pPr>
        <w:spacing w:after="0"/>
      </w:pPr>
      <w:r>
        <w:t>Tel:+ 61 3 9925 9085</w:t>
      </w:r>
    </w:p>
    <w:p w14:paraId="6892183E" w14:textId="77777777" w:rsidR="00FA4FCC" w:rsidRDefault="00FA4FCC" w:rsidP="00F819E1">
      <w:pPr>
        <w:spacing w:after="0"/>
      </w:pPr>
    </w:p>
    <w:p w14:paraId="7236D380" w14:textId="6C5F655A" w:rsidR="00FA4FCC" w:rsidRDefault="00FA4FCC" w:rsidP="00F819E1">
      <w:pPr>
        <w:spacing w:after="0"/>
      </w:pPr>
      <w:r>
        <w:t xml:space="preserve">3. </w:t>
      </w:r>
      <w:r w:rsidRPr="00FA4FCC">
        <w:t>Lancaster Institute for the Contemporary Arts</w:t>
      </w:r>
      <w:r>
        <w:t>, Lancaster University</w:t>
      </w:r>
    </w:p>
    <w:p w14:paraId="00A9AFC8" w14:textId="0A54156F" w:rsidR="00F819E1" w:rsidRDefault="00F819E1" w:rsidP="00F819E1">
      <w:pPr>
        <w:spacing w:after="0"/>
      </w:pPr>
      <w:r>
        <w:t>The LICA Building,</w:t>
      </w:r>
      <w:r>
        <w:t xml:space="preserve"> </w:t>
      </w:r>
      <w:r>
        <w:t>Lancaster University,</w:t>
      </w:r>
      <w:r>
        <w:t xml:space="preserve"> Lancaster LA1 4YW, </w:t>
      </w:r>
      <w:r>
        <w:t>United Kingdom</w:t>
      </w:r>
    </w:p>
    <w:p w14:paraId="1713933C" w14:textId="3C5CD2F8" w:rsidR="00FA4FCC" w:rsidRDefault="00FA4FCC" w:rsidP="00F819E1">
      <w:pPr>
        <w:spacing w:after="0"/>
      </w:pPr>
      <w:r>
        <w:t xml:space="preserve">Tel: + </w:t>
      </w:r>
      <w:r w:rsidRPr="00FA4FCC">
        <w:t>44 (0) 1524 510792</w:t>
      </w:r>
    </w:p>
    <w:p w14:paraId="0D494197" w14:textId="7115F876" w:rsidR="007C18C2" w:rsidRDefault="007C18C2" w:rsidP="003A2892"/>
    <w:p w14:paraId="0D494198" w14:textId="687C573C" w:rsidR="00FA2A78" w:rsidRPr="00041296" w:rsidRDefault="00FA2A78" w:rsidP="003A2892">
      <w:pPr>
        <w:sectPr w:rsidR="00FA2A78" w:rsidRPr="00041296" w:rsidSect="003322F2">
          <w:footerReference w:type="default" r:id="rId9"/>
          <w:headerReference w:type="first" r:id="rId10"/>
          <w:pgSz w:w="11906" w:h="16838" w:code="9"/>
          <w:pgMar w:top="-284" w:right="425" w:bottom="1440" w:left="1440" w:header="170" w:footer="510" w:gutter="0"/>
          <w:pgNumType w:start="1"/>
          <w:cols w:space="708"/>
          <w:titlePg/>
          <w:docGrid w:linePitch="360"/>
        </w:sectPr>
      </w:pPr>
    </w:p>
    <w:p w14:paraId="0D494199" w14:textId="77777777" w:rsidR="00F13A4B" w:rsidRPr="00041296" w:rsidRDefault="00F13A4B" w:rsidP="003A2892">
      <w:r w:rsidRPr="00041296">
        <w:lastRenderedPageBreak/>
        <w:t>QA Review</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389"/>
        <w:gridCol w:w="4391"/>
      </w:tblGrid>
      <w:tr w:rsidR="00F13A4B" w:rsidRPr="00041296" w14:paraId="0D49419C" w14:textId="77777777" w:rsidTr="005A7438">
        <w:trPr>
          <w:trHeight w:val="173"/>
          <w:tblHeader/>
        </w:trPr>
        <w:tc>
          <w:tcPr>
            <w:tcW w:w="4389" w:type="dxa"/>
            <w:shd w:val="clear" w:color="auto" w:fill="BFBFBF"/>
          </w:tcPr>
          <w:p w14:paraId="0D49419A" w14:textId="77777777" w:rsidR="00F13A4B" w:rsidRPr="00041296" w:rsidRDefault="00F13A4B" w:rsidP="00A27DD8">
            <w:pPr>
              <w:contextualSpacing/>
            </w:pPr>
            <w:r w:rsidRPr="00041296">
              <w:t>Reviewed by</w:t>
            </w:r>
          </w:p>
        </w:tc>
        <w:tc>
          <w:tcPr>
            <w:tcW w:w="4391" w:type="dxa"/>
            <w:shd w:val="clear" w:color="auto" w:fill="BFBFBF"/>
          </w:tcPr>
          <w:p w14:paraId="0D49419B" w14:textId="77777777" w:rsidR="00F13A4B" w:rsidRPr="00041296" w:rsidRDefault="00F13A4B" w:rsidP="00A27DD8">
            <w:pPr>
              <w:contextualSpacing/>
            </w:pPr>
            <w:r w:rsidRPr="00041296">
              <w:t>Date</w:t>
            </w:r>
          </w:p>
        </w:tc>
      </w:tr>
      <w:tr w:rsidR="00F13A4B" w:rsidRPr="00041296" w14:paraId="0D49419F" w14:textId="77777777" w:rsidTr="005A7438">
        <w:tc>
          <w:tcPr>
            <w:tcW w:w="4389" w:type="dxa"/>
            <w:shd w:val="clear" w:color="auto" w:fill="FFFFFF"/>
          </w:tcPr>
          <w:p w14:paraId="0D49419D" w14:textId="77777777" w:rsidR="00F13A4B" w:rsidRPr="00041296" w:rsidRDefault="00FA2A78" w:rsidP="005A7438">
            <w:pPr>
              <w:spacing w:after="0"/>
              <w:contextualSpacing/>
            </w:pPr>
            <w:r>
              <w:t xml:space="preserve">Dr. </w:t>
            </w:r>
            <w:r w:rsidR="004E4CE4">
              <w:t>Enda Crossin</w:t>
            </w:r>
          </w:p>
        </w:tc>
        <w:tc>
          <w:tcPr>
            <w:tcW w:w="4391" w:type="dxa"/>
            <w:shd w:val="clear" w:color="auto" w:fill="FFFFFF"/>
          </w:tcPr>
          <w:p w14:paraId="0D49419E" w14:textId="52E1D615" w:rsidR="00F13A4B" w:rsidRPr="00041296" w:rsidRDefault="00FA2A78" w:rsidP="001828B4">
            <w:pPr>
              <w:spacing w:after="0"/>
              <w:contextualSpacing/>
            </w:pPr>
            <w:r>
              <w:t>11</w:t>
            </w:r>
            <w:r w:rsidR="001828B4">
              <w:t>/6/</w:t>
            </w:r>
            <w:r w:rsidR="004E4CE4">
              <w:t>201</w:t>
            </w:r>
            <w:r w:rsidR="001828B4">
              <w:t>3</w:t>
            </w:r>
          </w:p>
        </w:tc>
      </w:tr>
      <w:tr w:rsidR="00523303" w:rsidRPr="00041296" w14:paraId="0D4941A2" w14:textId="77777777" w:rsidTr="005A7438">
        <w:tc>
          <w:tcPr>
            <w:tcW w:w="4389" w:type="dxa"/>
            <w:shd w:val="clear" w:color="auto" w:fill="FFFFFF"/>
          </w:tcPr>
          <w:p w14:paraId="0D4941A0" w14:textId="678FFA12" w:rsidR="00523303" w:rsidRDefault="001828B4" w:rsidP="005A7438">
            <w:pPr>
              <w:spacing w:after="0"/>
              <w:contextualSpacing/>
            </w:pPr>
            <w:r>
              <w:t>Dr. Enda Crossin</w:t>
            </w:r>
          </w:p>
        </w:tc>
        <w:tc>
          <w:tcPr>
            <w:tcW w:w="4391" w:type="dxa"/>
            <w:shd w:val="clear" w:color="auto" w:fill="FFFFFF"/>
          </w:tcPr>
          <w:p w14:paraId="0D4941A1" w14:textId="163BC898" w:rsidR="00523303" w:rsidRDefault="001828B4" w:rsidP="005A7438">
            <w:pPr>
              <w:spacing w:after="0"/>
              <w:contextualSpacing/>
            </w:pPr>
            <w:r>
              <w:t>31/7/2013</w:t>
            </w:r>
          </w:p>
        </w:tc>
      </w:tr>
    </w:tbl>
    <w:p w14:paraId="0D4941A3" w14:textId="77777777" w:rsidR="00D574E1" w:rsidRPr="00041296" w:rsidRDefault="00D574E1" w:rsidP="003A2892"/>
    <w:p w14:paraId="0D4941A4" w14:textId="77777777" w:rsidR="00F13A4B" w:rsidRPr="00041296" w:rsidRDefault="00F13A4B" w:rsidP="003A2892">
      <w:r w:rsidRPr="00041296">
        <w:t>Release and Revision Record</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18"/>
        <w:gridCol w:w="5580"/>
        <w:gridCol w:w="1620"/>
      </w:tblGrid>
      <w:tr w:rsidR="00F13A4B" w:rsidRPr="00041296" w14:paraId="0D4941A8" w14:textId="77777777" w:rsidTr="00FA2A78">
        <w:trPr>
          <w:tblHeader/>
        </w:trPr>
        <w:tc>
          <w:tcPr>
            <w:tcW w:w="1818" w:type="dxa"/>
            <w:shd w:val="clear" w:color="auto" w:fill="BFBFBF"/>
          </w:tcPr>
          <w:p w14:paraId="0D4941A5" w14:textId="77777777" w:rsidR="00F13A4B" w:rsidRPr="00041296" w:rsidRDefault="00F13A4B" w:rsidP="00A27DD8">
            <w:pPr>
              <w:contextualSpacing/>
            </w:pPr>
            <w:r w:rsidRPr="00041296">
              <w:t>Revision Date</w:t>
            </w:r>
          </w:p>
        </w:tc>
        <w:tc>
          <w:tcPr>
            <w:tcW w:w="5580" w:type="dxa"/>
            <w:shd w:val="clear" w:color="auto" w:fill="BFBFBF"/>
          </w:tcPr>
          <w:p w14:paraId="0D4941A6" w14:textId="77777777" w:rsidR="00F13A4B" w:rsidRPr="00041296" w:rsidRDefault="00F13A4B" w:rsidP="00A27DD8">
            <w:pPr>
              <w:contextualSpacing/>
            </w:pPr>
            <w:r w:rsidRPr="00041296">
              <w:t>Release/Revision Description</w:t>
            </w:r>
          </w:p>
        </w:tc>
        <w:tc>
          <w:tcPr>
            <w:tcW w:w="1620" w:type="dxa"/>
            <w:shd w:val="clear" w:color="auto" w:fill="BFBFBF"/>
          </w:tcPr>
          <w:p w14:paraId="0D4941A7" w14:textId="2D94F005" w:rsidR="00F13A4B" w:rsidRPr="00041296" w:rsidRDefault="000C35F5" w:rsidP="00A27DD8">
            <w:pPr>
              <w:contextualSpacing/>
            </w:pPr>
            <w:r>
              <w:t>Doc Version</w:t>
            </w:r>
          </w:p>
        </w:tc>
      </w:tr>
      <w:tr w:rsidR="00E07CC3" w:rsidRPr="00041296" w14:paraId="0D4941AC" w14:textId="77777777" w:rsidTr="00FA2A78">
        <w:tc>
          <w:tcPr>
            <w:tcW w:w="1818" w:type="dxa"/>
            <w:shd w:val="clear" w:color="auto" w:fill="FFFFFF"/>
          </w:tcPr>
          <w:p w14:paraId="0D4941A9" w14:textId="5978DD6B" w:rsidR="00F13A4B" w:rsidRPr="00041296" w:rsidRDefault="00F20C10" w:rsidP="005A7438">
            <w:pPr>
              <w:spacing w:after="0"/>
              <w:contextualSpacing/>
            </w:pPr>
            <w:r>
              <w:t>3/7/2013</w:t>
            </w:r>
          </w:p>
        </w:tc>
        <w:tc>
          <w:tcPr>
            <w:tcW w:w="5580" w:type="dxa"/>
            <w:shd w:val="clear" w:color="auto" w:fill="FFFFFF"/>
          </w:tcPr>
          <w:p w14:paraId="0D4941AA" w14:textId="6D31228A" w:rsidR="00F13A4B" w:rsidRPr="00041296" w:rsidRDefault="00F20C10" w:rsidP="005A7438">
            <w:pPr>
              <w:spacing w:after="0"/>
              <w:contextualSpacing/>
            </w:pPr>
            <w:r>
              <w:t>Response to initial feedback.</w:t>
            </w:r>
          </w:p>
        </w:tc>
        <w:tc>
          <w:tcPr>
            <w:tcW w:w="1620" w:type="dxa"/>
            <w:shd w:val="clear" w:color="auto" w:fill="FFFFFF"/>
          </w:tcPr>
          <w:p w14:paraId="0D4941AB" w14:textId="16A9731B" w:rsidR="00F13A4B" w:rsidRPr="00041296" w:rsidRDefault="000C35F5" w:rsidP="005A7438">
            <w:pPr>
              <w:spacing w:after="0"/>
              <w:contextualSpacing/>
            </w:pPr>
            <w:r>
              <w:t>1.0</w:t>
            </w:r>
          </w:p>
        </w:tc>
      </w:tr>
      <w:tr w:rsidR="00FA2A78" w:rsidRPr="00041296" w14:paraId="0D4941B0" w14:textId="77777777" w:rsidTr="00FA2A78">
        <w:tc>
          <w:tcPr>
            <w:tcW w:w="1818" w:type="dxa"/>
            <w:shd w:val="clear" w:color="auto" w:fill="FFFFFF"/>
          </w:tcPr>
          <w:p w14:paraId="0D4941AD" w14:textId="69435687" w:rsidR="00FA2A78" w:rsidRDefault="000C35F5" w:rsidP="005A7438">
            <w:pPr>
              <w:spacing w:after="0"/>
              <w:contextualSpacing/>
            </w:pPr>
            <w:r>
              <w:t>31/7/2013</w:t>
            </w:r>
          </w:p>
        </w:tc>
        <w:tc>
          <w:tcPr>
            <w:tcW w:w="5580" w:type="dxa"/>
            <w:shd w:val="clear" w:color="auto" w:fill="FFFFFF"/>
          </w:tcPr>
          <w:p w14:paraId="0D4941AE" w14:textId="4D11A12B" w:rsidR="00FA2A78" w:rsidRPr="00041296" w:rsidRDefault="000C35F5" w:rsidP="005A7438">
            <w:pPr>
              <w:spacing w:after="0"/>
              <w:contextualSpacing/>
            </w:pPr>
            <w:r>
              <w:t>Response to LCA reviewer feedback.</w:t>
            </w:r>
          </w:p>
        </w:tc>
        <w:tc>
          <w:tcPr>
            <w:tcW w:w="1620" w:type="dxa"/>
            <w:shd w:val="clear" w:color="auto" w:fill="FFFFFF"/>
          </w:tcPr>
          <w:p w14:paraId="0D4941AF" w14:textId="10D8918E" w:rsidR="00FA2A78" w:rsidRPr="00041296" w:rsidRDefault="000C35F5" w:rsidP="005A7438">
            <w:pPr>
              <w:spacing w:after="0"/>
              <w:contextualSpacing/>
            </w:pPr>
            <w:r>
              <w:t>1.1</w:t>
            </w:r>
          </w:p>
        </w:tc>
      </w:tr>
      <w:tr w:rsidR="003A6F2A" w:rsidRPr="00041296" w14:paraId="058BE224" w14:textId="77777777" w:rsidTr="00FA2A78">
        <w:tc>
          <w:tcPr>
            <w:tcW w:w="1818" w:type="dxa"/>
            <w:shd w:val="clear" w:color="auto" w:fill="FFFFFF"/>
          </w:tcPr>
          <w:p w14:paraId="56D039D2" w14:textId="4C508EEF" w:rsidR="003A6F2A" w:rsidRDefault="00D7133A" w:rsidP="005A7438">
            <w:pPr>
              <w:spacing w:after="0"/>
              <w:contextualSpacing/>
            </w:pPr>
            <w:r>
              <w:t>19</w:t>
            </w:r>
            <w:r w:rsidR="003A6F2A">
              <w:t>/9/2013</w:t>
            </w:r>
          </w:p>
        </w:tc>
        <w:tc>
          <w:tcPr>
            <w:tcW w:w="5580" w:type="dxa"/>
            <w:shd w:val="clear" w:color="auto" w:fill="FFFFFF"/>
          </w:tcPr>
          <w:p w14:paraId="0D471AC3" w14:textId="798EFA5C" w:rsidR="003A6F2A" w:rsidRDefault="003A6F2A" w:rsidP="005A7438">
            <w:pPr>
              <w:spacing w:after="0"/>
              <w:contextualSpacing/>
            </w:pPr>
            <w:r>
              <w:t>Minor formatting and edits.</w:t>
            </w:r>
            <w:r w:rsidR="0096211C">
              <w:t xml:space="preserve"> Release to client.</w:t>
            </w:r>
          </w:p>
        </w:tc>
        <w:tc>
          <w:tcPr>
            <w:tcW w:w="1620" w:type="dxa"/>
            <w:shd w:val="clear" w:color="auto" w:fill="FFFFFF"/>
          </w:tcPr>
          <w:p w14:paraId="7BDA6CC6" w14:textId="0E22C357" w:rsidR="003A6F2A" w:rsidRDefault="003A6F2A" w:rsidP="005A7438">
            <w:pPr>
              <w:spacing w:after="0"/>
              <w:contextualSpacing/>
            </w:pPr>
            <w:r>
              <w:t>1.2</w:t>
            </w:r>
          </w:p>
        </w:tc>
      </w:tr>
      <w:tr w:rsidR="007505D6" w:rsidRPr="00041296" w14:paraId="6CBD05C3" w14:textId="77777777" w:rsidTr="00FA2A78">
        <w:tc>
          <w:tcPr>
            <w:tcW w:w="1818" w:type="dxa"/>
            <w:shd w:val="clear" w:color="auto" w:fill="FFFFFF"/>
          </w:tcPr>
          <w:p w14:paraId="2CABC694" w14:textId="226AD606" w:rsidR="007505D6" w:rsidRDefault="0096211C" w:rsidP="005A7438">
            <w:pPr>
              <w:spacing w:after="0"/>
              <w:contextualSpacing/>
            </w:pPr>
            <w:r>
              <w:t>30/10</w:t>
            </w:r>
            <w:r w:rsidR="007505D6">
              <w:t>/201</w:t>
            </w:r>
            <w:r>
              <w:t>5</w:t>
            </w:r>
          </w:p>
        </w:tc>
        <w:tc>
          <w:tcPr>
            <w:tcW w:w="5580" w:type="dxa"/>
            <w:shd w:val="clear" w:color="auto" w:fill="FFFFFF"/>
          </w:tcPr>
          <w:p w14:paraId="54EDF8E7" w14:textId="5B7CC4D2" w:rsidR="007505D6" w:rsidRDefault="00FC7DE2" w:rsidP="005A7438">
            <w:pPr>
              <w:spacing w:after="0"/>
              <w:contextualSpacing/>
            </w:pPr>
            <w:r>
              <w:t>Public release.</w:t>
            </w:r>
          </w:p>
        </w:tc>
        <w:tc>
          <w:tcPr>
            <w:tcW w:w="1620" w:type="dxa"/>
            <w:shd w:val="clear" w:color="auto" w:fill="FFFFFF"/>
          </w:tcPr>
          <w:p w14:paraId="4872874A" w14:textId="13B5FB2E" w:rsidR="007505D6" w:rsidRDefault="007505D6" w:rsidP="005A7438">
            <w:pPr>
              <w:spacing w:after="0"/>
              <w:contextualSpacing/>
            </w:pPr>
            <w:r>
              <w:t>1.3</w:t>
            </w:r>
          </w:p>
        </w:tc>
      </w:tr>
    </w:tbl>
    <w:p w14:paraId="0D4941B1" w14:textId="77777777" w:rsidR="00946C93" w:rsidRPr="00041296" w:rsidRDefault="00946C93" w:rsidP="003A2892"/>
    <w:p w14:paraId="0D4941B2" w14:textId="77777777" w:rsidR="00946C93" w:rsidRDefault="00946C93" w:rsidP="00A27DD8">
      <w:pPr>
        <w:spacing w:after="0"/>
      </w:pPr>
    </w:p>
    <w:p w14:paraId="0D4941B3" w14:textId="77777777" w:rsidR="00350018" w:rsidRDefault="00350018" w:rsidP="00A27DD8">
      <w:pPr>
        <w:spacing w:after="0"/>
      </w:pPr>
    </w:p>
    <w:p w14:paraId="0D4941B4" w14:textId="77777777" w:rsidR="00350018" w:rsidRDefault="00350018" w:rsidP="00A27DD8">
      <w:pPr>
        <w:spacing w:after="0"/>
      </w:pPr>
    </w:p>
    <w:p w14:paraId="0D4941B5" w14:textId="77777777" w:rsidR="00350018" w:rsidRDefault="00350018" w:rsidP="00A27DD8">
      <w:pPr>
        <w:spacing w:after="0"/>
      </w:pPr>
    </w:p>
    <w:p w14:paraId="0D4941B6" w14:textId="77777777" w:rsidR="00350018" w:rsidRDefault="00350018" w:rsidP="00A27DD8">
      <w:pPr>
        <w:spacing w:after="0"/>
      </w:pPr>
    </w:p>
    <w:p w14:paraId="0D4941B7" w14:textId="77777777" w:rsidR="00350018" w:rsidRPr="00041296" w:rsidRDefault="00350018" w:rsidP="00A27DD8">
      <w:pPr>
        <w:spacing w:after="0"/>
      </w:pPr>
    </w:p>
    <w:p w14:paraId="0D4941B8" w14:textId="77777777" w:rsidR="00946C93" w:rsidRPr="00041296" w:rsidRDefault="00946C93" w:rsidP="00A27DD8">
      <w:pPr>
        <w:spacing w:after="0"/>
      </w:pPr>
    </w:p>
    <w:p w14:paraId="0D4941B9" w14:textId="77777777" w:rsidR="00946C93" w:rsidRPr="00041296" w:rsidRDefault="00946C93" w:rsidP="00A27DD8">
      <w:pPr>
        <w:spacing w:after="0"/>
      </w:pPr>
    </w:p>
    <w:p w14:paraId="0D4941BA" w14:textId="77777777" w:rsidR="00946C93" w:rsidRPr="00041296" w:rsidRDefault="00946C93" w:rsidP="00A27DD8">
      <w:pPr>
        <w:spacing w:after="0"/>
      </w:pPr>
    </w:p>
    <w:p w14:paraId="0D4941BB" w14:textId="77777777" w:rsidR="00946C93" w:rsidRPr="00041296" w:rsidRDefault="00946C93" w:rsidP="00A27DD8">
      <w:pPr>
        <w:spacing w:after="0"/>
      </w:pPr>
    </w:p>
    <w:p w14:paraId="0D4941BC" w14:textId="77777777" w:rsidR="00946C93" w:rsidRPr="00041296" w:rsidRDefault="00946C93" w:rsidP="00A27DD8">
      <w:pPr>
        <w:spacing w:after="0"/>
      </w:pPr>
    </w:p>
    <w:p w14:paraId="0D4941BD" w14:textId="77777777" w:rsidR="00946C93" w:rsidRPr="00041296" w:rsidRDefault="00946C93" w:rsidP="00A27DD8">
      <w:pPr>
        <w:spacing w:after="0"/>
      </w:pPr>
    </w:p>
    <w:p w14:paraId="0D4941C8" w14:textId="77777777" w:rsidR="00AE61E5" w:rsidRPr="00041296" w:rsidRDefault="00AE61E5" w:rsidP="003A2892"/>
    <w:p w14:paraId="0D4941C9" w14:textId="77777777" w:rsidR="00944B7E" w:rsidRPr="00041296" w:rsidRDefault="00944B7E" w:rsidP="003A2892">
      <w:pPr>
        <w:sectPr w:rsidR="00944B7E" w:rsidRPr="00041296" w:rsidSect="006555B4">
          <w:footerReference w:type="default" r:id="rId11"/>
          <w:pgSz w:w="11906" w:h="16838" w:code="9"/>
          <w:pgMar w:top="1418" w:right="1440" w:bottom="1418" w:left="1440" w:header="709" w:footer="488" w:gutter="0"/>
          <w:pgNumType w:start="1"/>
          <w:cols w:space="708"/>
          <w:docGrid w:linePitch="360"/>
        </w:sectPr>
      </w:pPr>
    </w:p>
    <w:p w14:paraId="0D4941CA" w14:textId="77777777" w:rsidR="007C18C2" w:rsidRPr="00041296" w:rsidRDefault="007C18C2" w:rsidP="00AA7C56">
      <w:pPr>
        <w:pStyle w:val="ProjectTitle"/>
      </w:pPr>
      <w:r w:rsidRPr="00041296">
        <w:lastRenderedPageBreak/>
        <w:t>Table of Contents</w:t>
      </w:r>
    </w:p>
    <w:p w14:paraId="73477F30" w14:textId="77777777" w:rsidR="00564E5C" w:rsidRDefault="00B35BE0">
      <w:pPr>
        <w:pStyle w:val="TOC1"/>
        <w:rPr>
          <w:rFonts w:asciiTheme="minorHAnsi" w:eastAsiaTheme="minorEastAsia" w:hAnsiTheme="minorHAnsi" w:cstheme="minorBidi"/>
          <w:noProof/>
          <w:sz w:val="22"/>
          <w:szCs w:val="22"/>
        </w:rPr>
      </w:pPr>
      <w:r w:rsidRPr="00041296">
        <w:fldChar w:fldCharType="begin"/>
      </w:r>
      <w:r w:rsidR="007C18C2" w:rsidRPr="00041296">
        <w:instrText xml:space="preserve"> TOC \o "1-3" \h \z \u </w:instrText>
      </w:r>
      <w:r w:rsidRPr="00041296">
        <w:fldChar w:fldCharType="separate"/>
      </w:r>
      <w:hyperlink w:anchor="_Toc433964517" w:history="1">
        <w:r w:rsidR="00564E5C" w:rsidRPr="00042B5F">
          <w:rPr>
            <w:rStyle w:val="Hyperlink"/>
            <w:noProof/>
          </w:rPr>
          <w:t>1</w:t>
        </w:r>
        <w:r w:rsidR="00564E5C">
          <w:rPr>
            <w:rFonts w:asciiTheme="minorHAnsi" w:eastAsiaTheme="minorEastAsia" w:hAnsiTheme="minorHAnsi" w:cstheme="minorBidi"/>
            <w:noProof/>
            <w:sz w:val="22"/>
            <w:szCs w:val="22"/>
          </w:rPr>
          <w:tab/>
        </w:r>
        <w:r w:rsidR="00564E5C" w:rsidRPr="00042B5F">
          <w:rPr>
            <w:rStyle w:val="Hyperlink"/>
            <w:noProof/>
          </w:rPr>
          <w:t>Executive summary</w:t>
        </w:r>
        <w:r w:rsidR="00564E5C">
          <w:rPr>
            <w:noProof/>
            <w:webHidden/>
          </w:rPr>
          <w:tab/>
        </w:r>
        <w:r w:rsidR="00564E5C">
          <w:rPr>
            <w:noProof/>
            <w:webHidden/>
          </w:rPr>
          <w:fldChar w:fldCharType="begin"/>
        </w:r>
        <w:r w:rsidR="00564E5C">
          <w:rPr>
            <w:noProof/>
            <w:webHidden/>
          </w:rPr>
          <w:instrText xml:space="preserve"> PAGEREF _Toc433964517 \h </w:instrText>
        </w:r>
        <w:r w:rsidR="00564E5C">
          <w:rPr>
            <w:noProof/>
            <w:webHidden/>
          </w:rPr>
        </w:r>
        <w:r w:rsidR="00564E5C">
          <w:rPr>
            <w:noProof/>
            <w:webHidden/>
          </w:rPr>
          <w:fldChar w:fldCharType="separate"/>
        </w:r>
        <w:r w:rsidR="00564E5C">
          <w:rPr>
            <w:noProof/>
            <w:webHidden/>
          </w:rPr>
          <w:t>4</w:t>
        </w:r>
        <w:r w:rsidR="00564E5C">
          <w:rPr>
            <w:noProof/>
            <w:webHidden/>
          </w:rPr>
          <w:fldChar w:fldCharType="end"/>
        </w:r>
      </w:hyperlink>
    </w:p>
    <w:p w14:paraId="18E74F3F" w14:textId="77777777" w:rsidR="00564E5C" w:rsidRDefault="00564E5C">
      <w:pPr>
        <w:pStyle w:val="TOC1"/>
        <w:rPr>
          <w:rFonts w:asciiTheme="minorHAnsi" w:eastAsiaTheme="minorEastAsia" w:hAnsiTheme="minorHAnsi" w:cstheme="minorBidi"/>
          <w:noProof/>
          <w:sz w:val="22"/>
          <w:szCs w:val="22"/>
        </w:rPr>
      </w:pPr>
      <w:hyperlink w:anchor="_Toc433964518" w:history="1">
        <w:r w:rsidRPr="00042B5F">
          <w:rPr>
            <w:rStyle w:val="Hyperlink"/>
            <w:noProof/>
          </w:rPr>
          <w:t>2</w:t>
        </w:r>
        <w:r>
          <w:rPr>
            <w:rFonts w:asciiTheme="minorHAnsi" w:eastAsiaTheme="minorEastAsia" w:hAnsiTheme="minorHAnsi" w:cstheme="minorBidi"/>
            <w:noProof/>
            <w:sz w:val="22"/>
            <w:szCs w:val="22"/>
          </w:rPr>
          <w:tab/>
        </w:r>
        <w:r w:rsidRPr="00042B5F">
          <w:rPr>
            <w:rStyle w:val="Hyperlink"/>
            <w:noProof/>
          </w:rPr>
          <w:t>Introduction</w:t>
        </w:r>
        <w:r>
          <w:rPr>
            <w:noProof/>
            <w:webHidden/>
          </w:rPr>
          <w:tab/>
        </w:r>
        <w:r>
          <w:rPr>
            <w:noProof/>
            <w:webHidden/>
          </w:rPr>
          <w:fldChar w:fldCharType="begin"/>
        </w:r>
        <w:r>
          <w:rPr>
            <w:noProof/>
            <w:webHidden/>
          </w:rPr>
          <w:instrText xml:space="preserve"> PAGEREF _Toc433964518 \h </w:instrText>
        </w:r>
        <w:r>
          <w:rPr>
            <w:noProof/>
            <w:webHidden/>
          </w:rPr>
        </w:r>
        <w:r>
          <w:rPr>
            <w:noProof/>
            <w:webHidden/>
          </w:rPr>
          <w:fldChar w:fldCharType="separate"/>
        </w:r>
        <w:r>
          <w:rPr>
            <w:noProof/>
            <w:webHidden/>
          </w:rPr>
          <w:t>9</w:t>
        </w:r>
        <w:r>
          <w:rPr>
            <w:noProof/>
            <w:webHidden/>
          </w:rPr>
          <w:fldChar w:fldCharType="end"/>
        </w:r>
      </w:hyperlink>
    </w:p>
    <w:p w14:paraId="7CD7F2A2" w14:textId="77777777" w:rsidR="00564E5C" w:rsidRDefault="00564E5C">
      <w:pPr>
        <w:pStyle w:val="TOC2"/>
        <w:rPr>
          <w:rFonts w:asciiTheme="minorHAnsi" w:eastAsiaTheme="minorEastAsia" w:hAnsiTheme="minorHAnsi" w:cstheme="minorBidi"/>
          <w:noProof/>
          <w:sz w:val="22"/>
          <w:szCs w:val="22"/>
        </w:rPr>
      </w:pPr>
      <w:hyperlink w:anchor="_Toc433964519" w:history="1">
        <w:r w:rsidRPr="00042B5F">
          <w:rPr>
            <w:rStyle w:val="Hyperlink"/>
            <w:noProof/>
          </w:rPr>
          <w:t>2.1</w:t>
        </w:r>
        <w:r>
          <w:rPr>
            <w:rFonts w:asciiTheme="minorHAnsi" w:eastAsiaTheme="minorEastAsia" w:hAnsiTheme="minorHAnsi" w:cstheme="minorBidi"/>
            <w:noProof/>
            <w:sz w:val="22"/>
            <w:szCs w:val="22"/>
          </w:rPr>
          <w:tab/>
        </w:r>
        <w:r w:rsidRPr="00042B5F">
          <w:rPr>
            <w:rStyle w:val="Hyperlink"/>
            <w:noProof/>
          </w:rPr>
          <w:t>Acknowledgements</w:t>
        </w:r>
        <w:r>
          <w:rPr>
            <w:noProof/>
            <w:webHidden/>
          </w:rPr>
          <w:tab/>
        </w:r>
        <w:r>
          <w:rPr>
            <w:noProof/>
            <w:webHidden/>
          </w:rPr>
          <w:fldChar w:fldCharType="begin"/>
        </w:r>
        <w:r>
          <w:rPr>
            <w:noProof/>
            <w:webHidden/>
          </w:rPr>
          <w:instrText xml:space="preserve"> PAGEREF _Toc433964519 \h </w:instrText>
        </w:r>
        <w:r>
          <w:rPr>
            <w:noProof/>
            <w:webHidden/>
          </w:rPr>
        </w:r>
        <w:r>
          <w:rPr>
            <w:noProof/>
            <w:webHidden/>
          </w:rPr>
          <w:fldChar w:fldCharType="separate"/>
        </w:r>
        <w:r>
          <w:rPr>
            <w:noProof/>
            <w:webHidden/>
          </w:rPr>
          <w:t>9</w:t>
        </w:r>
        <w:r>
          <w:rPr>
            <w:noProof/>
            <w:webHidden/>
          </w:rPr>
          <w:fldChar w:fldCharType="end"/>
        </w:r>
      </w:hyperlink>
    </w:p>
    <w:p w14:paraId="03842D63" w14:textId="77777777" w:rsidR="00564E5C" w:rsidRDefault="00564E5C">
      <w:pPr>
        <w:pStyle w:val="TOC2"/>
        <w:rPr>
          <w:rFonts w:asciiTheme="minorHAnsi" w:eastAsiaTheme="minorEastAsia" w:hAnsiTheme="minorHAnsi" w:cstheme="minorBidi"/>
          <w:noProof/>
          <w:sz w:val="22"/>
          <w:szCs w:val="22"/>
        </w:rPr>
      </w:pPr>
      <w:hyperlink w:anchor="_Toc433964520" w:history="1">
        <w:r w:rsidRPr="00042B5F">
          <w:rPr>
            <w:rStyle w:val="Hyperlink"/>
            <w:noProof/>
          </w:rPr>
          <w:t>2.2</w:t>
        </w:r>
        <w:r>
          <w:rPr>
            <w:rFonts w:asciiTheme="minorHAnsi" w:eastAsiaTheme="minorEastAsia" w:hAnsiTheme="minorHAnsi" w:cstheme="minorBidi"/>
            <w:noProof/>
            <w:sz w:val="22"/>
            <w:szCs w:val="22"/>
          </w:rPr>
          <w:tab/>
        </w:r>
        <w:r w:rsidRPr="00042B5F">
          <w:rPr>
            <w:rStyle w:val="Hyperlink"/>
            <w:noProof/>
          </w:rPr>
          <w:t>Purpose of this report</w:t>
        </w:r>
        <w:r>
          <w:rPr>
            <w:noProof/>
            <w:webHidden/>
          </w:rPr>
          <w:tab/>
        </w:r>
        <w:r>
          <w:rPr>
            <w:noProof/>
            <w:webHidden/>
          </w:rPr>
          <w:fldChar w:fldCharType="begin"/>
        </w:r>
        <w:r>
          <w:rPr>
            <w:noProof/>
            <w:webHidden/>
          </w:rPr>
          <w:instrText xml:space="preserve"> PAGEREF _Toc433964520 \h </w:instrText>
        </w:r>
        <w:r>
          <w:rPr>
            <w:noProof/>
            <w:webHidden/>
          </w:rPr>
        </w:r>
        <w:r>
          <w:rPr>
            <w:noProof/>
            <w:webHidden/>
          </w:rPr>
          <w:fldChar w:fldCharType="separate"/>
        </w:r>
        <w:r>
          <w:rPr>
            <w:noProof/>
            <w:webHidden/>
          </w:rPr>
          <w:t>10</w:t>
        </w:r>
        <w:r>
          <w:rPr>
            <w:noProof/>
            <w:webHidden/>
          </w:rPr>
          <w:fldChar w:fldCharType="end"/>
        </w:r>
      </w:hyperlink>
    </w:p>
    <w:p w14:paraId="00CDDE19" w14:textId="77777777" w:rsidR="00564E5C" w:rsidRDefault="00564E5C">
      <w:pPr>
        <w:pStyle w:val="TOC1"/>
        <w:rPr>
          <w:rFonts w:asciiTheme="minorHAnsi" w:eastAsiaTheme="minorEastAsia" w:hAnsiTheme="minorHAnsi" w:cstheme="minorBidi"/>
          <w:noProof/>
          <w:sz w:val="22"/>
          <w:szCs w:val="22"/>
        </w:rPr>
      </w:pPr>
      <w:hyperlink w:anchor="_Toc433964521" w:history="1">
        <w:r w:rsidRPr="00042B5F">
          <w:rPr>
            <w:rStyle w:val="Hyperlink"/>
            <w:noProof/>
          </w:rPr>
          <w:t>3</w:t>
        </w:r>
        <w:r>
          <w:rPr>
            <w:rFonts w:asciiTheme="minorHAnsi" w:eastAsiaTheme="minorEastAsia" w:hAnsiTheme="minorHAnsi" w:cstheme="minorBidi"/>
            <w:noProof/>
            <w:sz w:val="22"/>
            <w:szCs w:val="22"/>
          </w:rPr>
          <w:tab/>
        </w:r>
        <w:r w:rsidRPr="00042B5F">
          <w:rPr>
            <w:rStyle w:val="Hyperlink"/>
            <w:noProof/>
          </w:rPr>
          <w:t>Background</w:t>
        </w:r>
        <w:r>
          <w:rPr>
            <w:noProof/>
            <w:webHidden/>
          </w:rPr>
          <w:tab/>
        </w:r>
        <w:r>
          <w:rPr>
            <w:noProof/>
            <w:webHidden/>
          </w:rPr>
          <w:fldChar w:fldCharType="begin"/>
        </w:r>
        <w:r>
          <w:rPr>
            <w:noProof/>
            <w:webHidden/>
          </w:rPr>
          <w:instrText xml:space="preserve"> PAGEREF _Toc433964521 \h </w:instrText>
        </w:r>
        <w:r>
          <w:rPr>
            <w:noProof/>
            <w:webHidden/>
          </w:rPr>
        </w:r>
        <w:r>
          <w:rPr>
            <w:noProof/>
            <w:webHidden/>
          </w:rPr>
          <w:fldChar w:fldCharType="separate"/>
        </w:r>
        <w:r>
          <w:rPr>
            <w:noProof/>
            <w:webHidden/>
          </w:rPr>
          <w:t>11</w:t>
        </w:r>
        <w:r>
          <w:rPr>
            <w:noProof/>
            <w:webHidden/>
          </w:rPr>
          <w:fldChar w:fldCharType="end"/>
        </w:r>
      </w:hyperlink>
    </w:p>
    <w:p w14:paraId="74CE2238" w14:textId="77777777" w:rsidR="00564E5C" w:rsidRDefault="00564E5C">
      <w:pPr>
        <w:pStyle w:val="TOC2"/>
        <w:rPr>
          <w:rFonts w:asciiTheme="minorHAnsi" w:eastAsiaTheme="minorEastAsia" w:hAnsiTheme="minorHAnsi" w:cstheme="minorBidi"/>
          <w:noProof/>
          <w:sz w:val="22"/>
          <w:szCs w:val="22"/>
        </w:rPr>
      </w:pPr>
      <w:hyperlink w:anchor="_Toc433964522" w:history="1">
        <w:r w:rsidRPr="00042B5F">
          <w:rPr>
            <w:rStyle w:val="Hyperlink"/>
            <w:noProof/>
          </w:rPr>
          <w:t>3.1</w:t>
        </w:r>
        <w:r>
          <w:rPr>
            <w:rFonts w:asciiTheme="minorHAnsi" w:eastAsiaTheme="minorEastAsia" w:hAnsiTheme="minorHAnsi" w:cstheme="minorBidi"/>
            <w:noProof/>
            <w:sz w:val="22"/>
            <w:szCs w:val="22"/>
          </w:rPr>
          <w:tab/>
        </w:r>
        <w:r w:rsidRPr="00042B5F">
          <w:rPr>
            <w:rStyle w:val="Hyperlink"/>
            <w:noProof/>
          </w:rPr>
          <w:t>Terminology</w:t>
        </w:r>
        <w:r>
          <w:rPr>
            <w:noProof/>
            <w:webHidden/>
          </w:rPr>
          <w:tab/>
        </w:r>
        <w:r>
          <w:rPr>
            <w:noProof/>
            <w:webHidden/>
          </w:rPr>
          <w:fldChar w:fldCharType="begin"/>
        </w:r>
        <w:r>
          <w:rPr>
            <w:noProof/>
            <w:webHidden/>
          </w:rPr>
          <w:instrText xml:space="preserve"> PAGEREF _Toc433964522 \h </w:instrText>
        </w:r>
        <w:r>
          <w:rPr>
            <w:noProof/>
            <w:webHidden/>
          </w:rPr>
        </w:r>
        <w:r>
          <w:rPr>
            <w:noProof/>
            <w:webHidden/>
          </w:rPr>
          <w:fldChar w:fldCharType="separate"/>
        </w:r>
        <w:r>
          <w:rPr>
            <w:noProof/>
            <w:webHidden/>
          </w:rPr>
          <w:t>11</w:t>
        </w:r>
        <w:r>
          <w:rPr>
            <w:noProof/>
            <w:webHidden/>
          </w:rPr>
          <w:fldChar w:fldCharType="end"/>
        </w:r>
      </w:hyperlink>
    </w:p>
    <w:p w14:paraId="2303C6F1" w14:textId="77777777" w:rsidR="00564E5C" w:rsidRDefault="00564E5C">
      <w:pPr>
        <w:pStyle w:val="TOC2"/>
        <w:rPr>
          <w:rFonts w:asciiTheme="minorHAnsi" w:eastAsiaTheme="minorEastAsia" w:hAnsiTheme="minorHAnsi" w:cstheme="minorBidi"/>
          <w:noProof/>
          <w:sz w:val="22"/>
          <w:szCs w:val="22"/>
        </w:rPr>
      </w:pPr>
      <w:hyperlink w:anchor="_Toc433964523" w:history="1">
        <w:r w:rsidRPr="00042B5F">
          <w:rPr>
            <w:rStyle w:val="Hyperlink"/>
            <w:noProof/>
          </w:rPr>
          <w:t>3.2</w:t>
        </w:r>
        <w:r>
          <w:rPr>
            <w:rFonts w:asciiTheme="minorHAnsi" w:eastAsiaTheme="minorEastAsia" w:hAnsiTheme="minorHAnsi" w:cstheme="minorBidi"/>
            <w:noProof/>
            <w:sz w:val="22"/>
            <w:szCs w:val="22"/>
          </w:rPr>
          <w:tab/>
        </w:r>
        <w:r w:rsidRPr="00042B5F">
          <w:rPr>
            <w:rStyle w:val="Hyperlink"/>
            <w:noProof/>
          </w:rPr>
          <w:t>Recycling in Australia and Victoria</w:t>
        </w:r>
        <w:r>
          <w:rPr>
            <w:noProof/>
            <w:webHidden/>
          </w:rPr>
          <w:tab/>
        </w:r>
        <w:r>
          <w:rPr>
            <w:noProof/>
            <w:webHidden/>
          </w:rPr>
          <w:fldChar w:fldCharType="begin"/>
        </w:r>
        <w:r>
          <w:rPr>
            <w:noProof/>
            <w:webHidden/>
          </w:rPr>
          <w:instrText xml:space="preserve"> PAGEREF _Toc433964523 \h </w:instrText>
        </w:r>
        <w:r>
          <w:rPr>
            <w:noProof/>
            <w:webHidden/>
          </w:rPr>
        </w:r>
        <w:r>
          <w:rPr>
            <w:noProof/>
            <w:webHidden/>
          </w:rPr>
          <w:fldChar w:fldCharType="separate"/>
        </w:r>
        <w:r>
          <w:rPr>
            <w:noProof/>
            <w:webHidden/>
          </w:rPr>
          <w:t>11</w:t>
        </w:r>
        <w:r>
          <w:rPr>
            <w:noProof/>
            <w:webHidden/>
          </w:rPr>
          <w:fldChar w:fldCharType="end"/>
        </w:r>
      </w:hyperlink>
    </w:p>
    <w:p w14:paraId="62F3CF82" w14:textId="77777777" w:rsidR="00564E5C" w:rsidRDefault="00564E5C">
      <w:pPr>
        <w:pStyle w:val="TOC2"/>
        <w:rPr>
          <w:rFonts w:asciiTheme="minorHAnsi" w:eastAsiaTheme="minorEastAsia" w:hAnsiTheme="minorHAnsi" w:cstheme="minorBidi"/>
          <w:noProof/>
          <w:sz w:val="22"/>
          <w:szCs w:val="22"/>
        </w:rPr>
      </w:pPr>
      <w:hyperlink w:anchor="_Toc433964524" w:history="1">
        <w:r w:rsidRPr="00042B5F">
          <w:rPr>
            <w:rStyle w:val="Hyperlink"/>
            <w:noProof/>
          </w:rPr>
          <w:t>3.3</w:t>
        </w:r>
        <w:r>
          <w:rPr>
            <w:rFonts w:asciiTheme="minorHAnsi" w:eastAsiaTheme="minorEastAsia" w:hAnsiTheme="minorHAnsi" w:cstheme="minorBidi"/>
            <w:noProof/>
            <w:sz w:val="22"/>
            <w:szCs w:val="22"/>
          </w:rPr>
          <w:tab/>
        </w:r>
        <w:r w:rsidRPr="00042B5F">
          <w:rPr>
            <w:rStyle w:val="Hyperlink"/>
            <w:noProof/>
          </w:rPr>
          <w:t>The ‘Packwaste’ reports</w:t>
        </w:r>
        <w:r>
          <w:rPr>
            <w:noProof/>
            <w:webHidden/>
          </w:rPr>
          <w:tab/>
        </w:r>
        <w:r>
          <w:rPr>
            <w:noProof/>
            <w:webHidden/>
          </w:rPr>
          <w:fldChar w:fldCharType="begin"/>
        </w:r>
        <w:r>
          <w:rPr>
            <w:noProof/>
            <w:webHidden/>
          </w:rPr>
          <w:instrText xml:space="preserve"> PAGEREF _Toc433964524 \h </w:instrText>
        </w:r>
        <w:r>
          <w:rPr>
            <w:noProof/>
            <w:webHidden/>
          </w:rPr>
        </w:r>
        <w:r>
          <w:rPr>
            <w:noProof/>
            <w:webHidden/>
          </w:rPr>
          <w:fldChar w:fldCharType="separate"/>
        </w:r>
        <w:r>
          <w:rPr>
            <w:noProof/>
            <w:webHidden/>
          </w:rPr>
          <w:t>14</w:t>
        </w:r>
        <w:r>
          <w:rPr>
            <w:noProof/>
            <w:webHidden/>
          </w:rPr>
          <w:fldChar w:fldCharType="end"/>
        </w:r>
      </w:hyperlink>
    </w:p>
    <w:p w14:paraId="3E6CA4C3" w14:textId="77777777" w:rsidR="00564E5C" w:rsidRDefault="00564E5C">
      <w:pPr>
        <w:pStyle w:val="TOC2"/>
        <w:rPr>
          <w:rFonts w:asciiTheme="minorHAnsi" w:eastAsiaTheme="minorEastAsia" w:hAnsiTheme="minorHAnsi" w:cstheme="minorBidi"/>
          <w:noProof/>
          <w:sz w:val="22"/>
          <w:szCs w:val="22"/>
        </w:rPr>
      </w:pPr>
      <w:hyperlink w:anchor="_Toc433964525" w:history="1">
        <w:r w:rsidRPr="00042B5F">
          <w:rPr>
            <w:rStyle w:val="Hyperlink"/>
            <w:noProof/>
          </w:rPr>
          <w:t>3.4</w:t>
        </w:r>
        <w:r>
          <w:rPr>
            <w:rFonts w:asciiTheme="minorHAnsi" w:eastAsiaTheme="minorEastAsia" w:hAnsiTheme="minorHAnsi" w:cstheme="minorBidi"/>
            <w:noProof/>
            <w:sz w:val="22"/>
            <w:szCs w:val="22"/>
          </w:rPr>
          <w:tab/>
        </w:r>
        <w:r w:rsidRPr="00042B5F">
          <w:rPr>
            <w:rStyle w:val="Hyperlink"/>
            <w:noProof/>
          </w:rPr>
          <w:t>Other reports</w:t>
        </w:r>
        <w:r>
          <w:rPr>
            <w:noProof/>
            <w:webHidden/>
          </w:rPr>
          <w:tab/>
        </w:r>
        <w:r>
          <w:rPr>
            <w:noProof/>
            <w:webHidden/>
          </w:rPr>
          <w:fldChar w:fldCharType="begin"/>
        </w:r>
        <w:r>
          <w:rPr>
            <w:noProof/>
            <w:webHidden/>
          </w:rPr>
          <w:instrText xml:space="preserve"> PAGEREF _Toc433964525 \h </w:instrText>
        </w:r>
        <w:r>
          <w:rPr>
            <w:noProof/>
            <w:webHidden/>
          </w:rPr>
        </w:r>
        <w:r>
          <w:rPr>
            <w:noProof/>
            <w:webHidden/>
          </w:rPr>
          <w:fldChar w:fldCharType="separate"/>
        </w:r>
        <w:r>
          <w:rPr>
            <w:noProof/>
            <w:webHidden/>
          </w:rPr>
          <w:t>16</w:t>
        </w:r>
        <w:r>
          <w:rPr>
            <w:noProof/>
            <w:webHidden/>
          </w:rPr>
          <w:fldChar w:fldCharType="end"/>
        </w:r>
      </w:hyperlink>
    </w:p>
    <w:p w14:paraId="68F9B450" w14:textId="77777777" w:rsidR="00564E5C" w:rsidRDefault="00564E5C">
      <w:pPr>
        <w:pStyle w:val="TOC2"/>
        <w:rPr>
          <w:rFonts w:asciiTheme="minorHAnsi" w:eastAsiaTheme="minorEastAsia" w:hAnsiTheme="minorHAnsi" w:cstheme="minorBidi"/>
          <w:noProof/>
          <w:sz w:val="22"/>
          <w:szCs w:val="22"/>
        </w:rPr>
      </w:pPr>
      <w:hyperlink w:anchor="_Toc433964526" w:history="1">
        <w:r w:rsidRPr="00042B5F">
          <w:rPr>
            <w:rStyle w:val="Hyperlink"/>
            <w:noProof/>
          </w:rPr>
          <w:t>3.5</w:t>
        </w:r>
        <w:r>
          <w:rPr>
            <w:rFonts w:asciiTheme="minorHAnsi" w:eastAsiaTheme="minorEastAsia" w:hAnsiTheme="minorHAnsi" w:cstheme="minorBidi"/>
            <w:noProof/>
            <w:sz w:val="22"/>
            <w:szCs w:val="22"/>
          </w:rPr>
          <w:tab/>
        </w:r>
        <w:r w:rsidRPr="00042B5F">
          <w:rPr>
            <w:rStyle w:val="Hyperlink"/>
            <w:noProof/>
          </w:rPr>
          <w:t>Alternative waste treatments</w:t>
        </w:r>
        <w:r>
          <w:rPr>
            <w:noProof/>
            <w:webHidden/>
          </w:rPr>
          <w:tab/>
        </w:r>
        <w:r>
          <w:rPr>
            <w:noProof/>
            <w:webHidden/>
          </w:rPr>
          <w:fldChar w:fldCharType="begin"/>
        </w:r>
        <w:r>
          <w:rPr>
            <w:noProof/>
            <w:webHidden/>
          </w:rPr>
          <w:instrText xml:space="preserve"> PAGEREF _Toc433964526 \h </w:instrText>
        </w:r>
        <w:r>
          <w:rPr>
            <w:noProof/>
            <w:webHidden/>
          </w:rPr>
        </w:r>
        <w:r>
          <w:rPr>
            <w:noProof/>
            <w:webHidden/>
          </w:rPr>
          <w:fldChar w:fldCharType="separate"/>
        </w:r>
        <w:r>
          <w:rPr>
            <w:noProof/>
            <w:webHidden/>
          </w:rPr>
          <w:t>16</w:t>
        </w:r>
        <w:r>
          <w:rPr>
            <w:noProof/>
            <w:webHidden/>
          </w:rPr>
          <w:fldChar w:fldCharType="end"/>
        </w:r>
      </w:hyperlink>
    </w:p>
    <w:p w14:paraId="4E875B58" w14:textId="77777777" w:rsidR="00564E5C" w:rsidRDefault="00564E5C">
      <w:pPr>
        <w:pStyle w:val="TOC2"/>
        <w:rPr>
          <w:rFonts w:asciiTheme="minorHAnsi" w:eastAsiaTheme="minorEastAsia" w:hAnsiTheme="minorHAnsi" w:cstheme="minorBidi"/>
          <w:noProof/>
          <w:sz w:val="22"/>
          <w:szCs w:val="22"/>
        </w:rPr>
      </w:pPr>
      <w:hyperlink w:anchor="_Toc433964527" w:history="1">
        <w:r w:rsidRPr="00042B5F">
          <w:rPr>
            <w:rStyle w:val="Hyperlink"/>
            <w:noProof/>
          </w:rPr>
          <w:t>3.6</w:t>
        </w:r>
        <w:r>
          <w:rPr>
            <w:rFonts w:asciiTheme="minorHAnsi" w:eastAsiaTheme="minorEastAsia" w:hAnsiTheme="minorHAnsi" w:cstheme="minorBidi"/>
            <w:noProof/>
            <w:sz w:val="22"/>
            <w:szCs w:val="22"/>
          </w:rPr>
          <w:tab/>
        </w:r>
        <w:r w:rsidRPr="00042B5F">
          <w:rPr>
            <w:rStyle w:val="Hyperlink"/>
            <w:noProof/>
          </w:rPr>
          <w:t>Summary of key outcomes from the literature</w:t>
        </w:r>
        <w:r>
          <w:rPr>
            <w:noProof/>
            <w:webHidden/>
          </w:rPr>
          <w:tab/>
        </w:r>
        <w:r>
          <w:rPr>
            <w:noProof/>
            <w:webHidden/>
          </w:rPr>
          <w:fldChar w:fldCharType="begin"/>
        </w:r>
        <w:r>
          <w:rPr>
            <w:noProof/>
            <w:webHidden/>
          </w:rPr>
          <w:instrText xml:space="preserve"> PAGEREF _Toc433964527 \h </w:instrText>
        </w:r>
        <w:r>
          <w:rPr>
            <w:noProof/>
            <w:webHidden/>
          </w:rPr>
        </w:r>
        <w:r>
          <w:rPr>
            <w:noProof/>
            <w:webHidden/>
          </w:rPr>
          <w:fldChar w:fldCharType="separate"/>
        </w:r>
        <w:r>
          <w:rPr>
            <w:noProof/>
            <w:webHidden/>
          </w:rPr>
          <w:t>17</w:t>
        </w:r>
        <w:r>
          <w:rPr>
            <w:noProof/>
            <w:webHidden/>
          </w:rPr>
          <w:fldChar w:fldCharType="end"/>
        </w:r>
      </w:hyperlink>
    </w:p>
    <w:p w14:paraId="39C82998" w14:textId="77777777" w:rsidR="00564E5C" w:rsidRDefault="00564E5C">
      <w:pPr>
        <w:pStyle w:val="TOC1"/>
        <w:rPr>
          <w:rFonts w:asciiTheme="minorHAnsi" w:eastAsiaTheme="minorEastAsia" w:hAnsiTheme="minorHAnsi" w:cstheme="minorBidi"/>
          <w:noProof/>
          <w:sz w:val="22"/>
          <w:szCs w:val="22"/>
        </w:rPr>
      </w:pPr>
      <w:hyperlink w:anchor="_Toc433964528" w:history="1">
        <w:r w:rsidRPr="00042B5F">
          <w:rPr>
            <w:rStyle w:val="Hyperlink"/>
            <w:noProof/>
          </w:rPr>
          <w:t>4</w:t>
        </w:r>
        <w:r>
          <w:rPr>
            <w:rFonts w:asciiTheme="minorHAnsi" w:eastAsiaTheme="minorEastAsia" w:hAnsiTheme="minorHAnsi" w:cstheme="minorBidi"/>
            <w:noProof/>
            <w:sz w:val="22"/>
            <w:szCs w:val="22"/>
          </w:rPr>
          <w:tab/>
        </w:r>
        <w:r w:rsidRPr="00042B5F">
          <w:rPr>
            <w:rStyle w:val="Hyperlink"/>
            <w:noProof/>
          </w:rPr>
          <w:t>Goal of the study</w:t>
        </w:r>
        <w:r>
          <w:rPr>
            <w:noProof/>
            <w:webHidden/>
          </w:rPr>
          <w:tab/>
        </w:r>
        <w:r>
          <w:rPr>
            <w:noProof/>
            <w:webHidden/>
          </w:rPr>
          <w:fldChar w:fldCharType="begin"/>
        </w:r>
        <w:r>
          <w:rPr>
            <w:noProof/>
            <w:webHidden/>
          </w:rPr>
          <w:instrText xml:space="preserve"> PAGEREF _Toc433964528 \h </w:instrText>
        </w:r>
        <w:r>
          <w:rPr>
            <w:noProof/>
            <w:webHidden/>
          </w:rPr>
        </w:r>
        <w:r>
          <w:rPr>
            <w:noProof/>
            <w:webHidden/>
          </w:rPr>
          <w:fldChar w:fldCharType="separate"/>
        </w:r>
        <w:r>
          <w:rPr>
            <w:noProof/>
            <w:webHidden/>
          </w:rPr>
          <w:t>18</w:t>
        </w:r>
        <w:r>
          <w:rPr>
            <w:noProof/>
            <w:webHidden/>
          </w:rPr>
          <w:fldChar w:fldCharType="end"/>
        </w:r>
      </w:hyperlink>
    </w:p>
    <w:p w14:paraId="4EF071E7" w14:textId="77777777" w:rsidR="00564E5C" w:rsidRDefault="00564E5C">
      <w:pPr>
        <w:pStyle w:val="TOC2"/>
        <w:rPr>
          <w:rFonts w:asciiTheme="minorHAnsi" w:eastAsiaTheme="minorEastAsia" w:hAnsiTheme="minorHAnsi" w:cstheme="minorBidi"/>
          <w:noProof/>
          <w:sz w:val="22"/>
          <w:szCs w:val="22"/>
        </w:rPr>
      </w:pPr>
      <w:hyperlink w:anchor="_Toc433964529" w:history="1">
        <w:r w:rsidRPr="00042B5F">
          <w:rPr>
            <w:rStyle w:val="Hyperlink"/>
            <w:noProof/>
          </w:rPr>
          <w:t>4.1</w:t>
        </w:r>
        <w:r>
          <w:rPr>
            <w:rFonts w:asciiTheme="minorHAnsi" w:eastAsiaTheme="minorEastAsia" w:hAnsiTheme="minorHAnsi" w:cstheme="minorBidi"/>
            <w:noProof/>
            <w:sz w:val="22"/>
            <w:szCs w:val="22"/>
          </w:rPr>
          <w:tab/>
        </w:r>
        <w:r w:rsidRPr="00042B5F">
          <w:rPr>
            <w:rStyle w:val="Hyperlink"/>
            <w:noProof/>
          </w:rPr>
          <w:t>Goal</w:t>
        </w:r>
        <w:r>
          <w:rPr>
            <w:noProof/>
            <w:webHidden/>
          </w:rPr>
          <w:tab/>
        </w:r>
        <w:r>
          <w:rPr>
            <w:noProof/>
            <w:webHidden/>
          </w:rPr>
          <w:fldChar w:fldCharType="begin"/>
        </w:r>
        <w:r>
          <w:rPr>
            <w:noProof/>
            <w:webHidden/>
          </w:rPr>
          <w:instrText xml:space="preserve"> PAGEREF _Toc433964529 \h </w:instrText>
        </w:r>
        <w:r>
          <w:rPr>
            <w:noProof/>
            <w:webHidden/>
          </w:rPr>
        </w:r>
        <w:r>
          <w:rPr>
            <w:noProof/>
            <w:webHidden/>
          </w:rPr>
          <w:fldChar w:fldCharType="separate"/>
        </w:r>
        <w:r>
          <w:rPr>
            <w:noProof/>
            <w:webHidden/>
          </w:rPr>
          <w:t>18</w:t>
        </w:r>
        <w:r>
          <w:rPr>
            <w:noProof/>
            <w:webHidden/>
          </w:rPr>
          <w:fldChar w:fldCharType="end"/>
        </w:r>
      </w:hyperlink>
    </w:p>
    <w:p w14:paraId="794E81E8" w14:textId="77777777" w:rsidR="00564E5C" w:rsidRDefault="00564E5C">
      <w:pPr>
        <w:pStyle w:val="TOC2"/>
        <w:rPr>
          <w:rFonts w:asciiTheme="minorHAnsi" w:eastAsiaTheme="minorEastAsia" w:hAnsiTheme="minorHAnsi" w:cstheme="minorBidi"/>
          <w:noProof/>
          <w:sz w:val="22"/>
          <w:szCs w:val="22"/>
        </w:rPr>
      </w:pPr>
      <w:hyperlink w:anchor="_Toc433964530" w:history="1">
        <w:r w:rsidRPr="00042B5F">
          <w:rPr>
            <w:rStyle w:val="Hyperlink"/>
            <w:noProof/>
          </w:rPr>
          <w:t>4.2</w:t>
        </w:r>
        <w:r>
          <w:rPr>
            <w:rFonts w:asciiTheme="minorHAnsi" w:eastAsiaTheme="minorEastAsia" w:hAnsiTheme="minorHAnsi" w:cstheme="minorBidi"/>
            <w:noProof/>
            <w:sz w:val="22"/>
            <w:szCs w:val="22"/>
          </w:rPr>
          <w:tab/>
        </w:r>
        <w:r w:rsidRPr="00042B5F">
          <w:rPr>
            <w:rStyle w:val="Hyperlink"/>
            <w:noProof/>
          </w:rPr>
          <w:t>Intended audience</w:t>
        </w:r>
        <w:r>
          <w:rPr>
            <w:noProof/>
            <w:webHidden/>
          </w:rPr>
          <w:tab/>
        </w:r>
        <w:r>
          <w:rPr>
            <w:noProof/>
            <w:webHidden/>
          </w:rPr>
          <w:fldChar w:fldCharType="begin"/>
        </w:r>
        <w:r>
          <w:rPr>
            <w:noProof/>
            <w:webHidden/>
          </w:rPr>
          <w:instrText xml:space="preserve"> PAGEREF _Toc433964530 \h </w:instrText>
        </w:r>
        <w:r>
          <w:rPr>
            <w:noProof/>
            <w:webHidden/>
          </w:rPr>
        </w:r>
        <w:r>
          <w:rPr>
            <w:noProof/>
            <w:webHidden/>
          </w:rPr>
          <w:fldChar w:fldCharType="separate"/>
        </w:r>
        <w:r>
          <w:rPr>
            <w:noProof/>
            <w:webHidden/>
          </w:rPr>
          <w:t>18</w:t>
        </w:r>
        <w:r>
          <w:rPr>
            <w:noProof/>
            <w:webHidden/>
          </w:rPr>
          <w:fldChar w:fldCharType="end"/>
        </w:r>
      </w:hyperlink>
    </w:p>
    <w:p w14:paraId="53DA9D10" w14:textId="77777777" w:rsidR="00564E5C" w:rsidRDefault="00564E5C">
      <w:pPr>
        <w:pStyle w:val="TOC2"/>
        <w:rPr>
          <w:rFonts w:asciiTheme="minorHAnsi" w:eastAsiaTheme="minorEastAsia" w:hAnsiTheme="minorHAnsi" w:cstheme="minorBidi"/>
          <w:noProof/>
          <w:sz w:val="22"/>
          <w:szCs w:val="22"/>
        </w:rPr>
      </w:pPr>
      <w:hyperlink w:anchor="_Toc433964531" w:history="1">
        <w:r w:rsidRPr="00042B5F">
          <w:rPr>
            <w:rStyle w:val="Hyperlink"/>
            <w:noProof/>
          </w:rPr>
          <w:t>4.3</w:t>
        </w:r>
        <w:r>
          <w:rPr>
            <w:rFonts w:asciiTheme="minorHAnsi" w:eastAsiaTheme="minorEastAsia" w:hAnsiTheme="minorHAnsi" w:cstheme="minorBidi"/>
            <w:noProof/>
            <w:sz w:val="22"/>
            <w:szCs w:val="22"/>
          </w:rPr>
          <w:tab/>
        </w:r>
        <w:r w:rsidRPr="00042B5F">
          <w:rPr>
            <w:rStyle w:val="Hyperlink"/>
            <w:noProof/>
          </w:rPr>
          <w:t>Critical review</w:t>
        </w:r>
        <w:r>
          <w:rPr>
            <w:noProof/>
            <w:webHidden/>
          </w:rPr>
          <w:tab/>
        </w:r>
        <w:r>
          <w:rPr>
            <w:noProof/>
            <w:webHidden/>
          </w:rPr>
          <w:fldChar w:fldCharType="begin"/>
        </w:r>
        <w:r>
          <w:rPr>
            <w:noProof/>
            <w:webHidden/>
          </w:rPr>
          <w:instrText xml:space="preserve"> PAGEREF _Toc433964531 \h </w:instrText>
        </w:r>
        <w:r>
          <w:rPr>
            <w:noProof/>
            <w:webHidden/>
          </w:rPr>
        </w:r>
        <w:r>
          <w:rPr>
            <w:noProof/>
            <w:webHidden/>
          </w:rPr>
          <w:fldChar w:fldCharType="separate"/>
        </w:r>
        <w:r>
          <w:rPr>
            <w:noProof/>
            <w:webHidden/>
          </w:rPr>
          <w:t>18</w:t>
        </w:r>
        <w:r>
          <w:rPr>
            <w:noProof/>
            <w:webHidden/>
          </w:rPr>
          <w:fldChar w:fldCharType="end"/>
        </w:r>
      </w:hyperlink>
    </w:p>
    <w:p w14:paraId="04C84B5A" w14:textId="77777777" w:rsidR="00564E5C" w:rsidRDefault="00564E5C">
      <w:pPr>
        <w:pStyle w:val="TOC3"/>
        <w:rPr>
          <w:rFonts w:asciiTheme="minorHAnsi" w:eastAsiaTheme="minorEastAsia" w:hAnsiTheme="minorHAnsi" w:cstheme="minorBidi"/>
          <w:noProof/>
          <w:sz w:val="22"/>
          <w:szCs w:val="22"/>
        </w:rPr>
      </w:pPr>
      <w:hyperlink w:anchor="_Toc433964532" w:history="1">
        <w:r w:rsidRPr="00042B5F">
          <w:rPr>
            <w:rStyle w:val="Hyperlink"/>
            <w:noProof/>
          </w:rPr>
          <w:t>4.3.1</w:t>
        </w:r>
        <w:r>
          <w:rPr>
            <w:rFonts w:asciiTheme="minorHAnsi" w:eastAsiaTheme="minorEastAsia" w:hAnsiTheme="minorHAnsi" w:cstheme="minorBidi"/>
            <w:noProof/>
            <w:sz w:val="22"/>
            <w:szCs w:val="22"/>
          </w:rPr>
          <w:tab/>
        </w:r>
        <w:r w:rsidRPr="00042B5F">
          <w:rPr>
            <w:rStyle w:val="Hyperlink"/>
            <w:noProof/>
          </w:rPr>
          <w:t>Review process completed</w:t>
        </w:r>
        <w:r>
          <w:rPr>
            <w:noProof/>
            <w:webHidden/>
          </w:rPr>
          <w:tab/>
        </w:r>
        <w:r>
          <w:rPr>
            <w:noProof/>
            <w:webHidden/>
          </w:rPr>
          <w:fldChar w:fldCharType="begin"/>
        </w:r>
        <w:r>
          <w:rPr>
            <w:noProof/>
            <w:webHidden/>
          </w:rPr>
          <w:instrText xml:space="preserve"> PAGEREF _Toc433964532 \h </w:instrText>
        </w:r>
        <w:r>
          <w:rPr>
            <w:noProof/>
            <w:webHidden/>
          </w:rPr>
        </w:r>
        <w:r>
          <w:rPr>
            <w:noProof/>
            <w:webHidden/>
          </w:rPr>
          <w:fldChar w:fldCharType="separate"/>
        </w:r>
        <w:r>
          <w:rPr>
            <w:noProof/>
            <w:webHidden/>
          </w:rPr>
          <w:t>19</w:t>
        </w:r>
        <w:r>
          <w:rPr>
            <w:noProof/>
            <w:webHidden/>
          </w:rPr>
          <w:fldChar w:fldCharType="end"/>
        </w:r>
      </w:hyperlink>
    </w:p>
    <w:p w14:paraId="12FF7BB0" w14:textId="77777777" w:rsidR="00564E5C" w:rsidRDefault="00564E5C">
      <w:pPr>
        <w:pStyle w:val="TOC1"/>
        <w:rPr>
          <w:rFonts w:asciiTheme="minorHAnsi" w:eastAsiaTheme="minorEastAsia" w:hAnsiTheme="minorHAnsi" w:cstheme="minorBidi"/>
          <w:noProof/>
          <w:sz w:val="22"/>
          <w:szCs w:val="22"/>
        </w:rPr>
      </w:pPr>
      <w:hyperlink w:anchor="_Toc433964533" w:history="1">
        <w:r w:rsidRPr="00042B5F">
          <w:rPr>
            <w:rStyle w:val="Hyperlink"/>
            <w:noProof/>
          </w:rPr>
          <w:t>5</w:t>
        </w:r>
        <w:r>
          <w:rPr>
            <w:rFonts w:asciiTheme="minorHAnsi" w:eastAsiaTheme="minorEastAsia" w:hAnsiTheme="minorHAnsi" w:cstheme="minorBidi"/>
            <w:noProof/>
            <w:sz w:val="22"/>
            <w:szCs w:val="22"/>
          </w:rPr>
          <w:tab/>
        </w:r>
        <w:r w:rsidRPr="00042B5F">
          <w:rPr>
            <w:rStyle w:val="Hyperlink"/>
            <w:noProof/>
          </w:rPr>
          <w:t>Scope</w:t>
        </w:r>
        <w:r>
          <w:rPr>
            <w:noProof/>
            <w:webHidden/>
          </w:rPr>
          <w:tab/>
        </w:r>
        <w:r>
          <w:rPr>
            <w:noProof/>
            <w:webHidden/>
          </w:rPr>
          <w:fldChar w:fldCharType="begin"/>
        </w:r>
        <w:r>
          <w:rPr>
            <w:noProof/>
            <w:webHidden/>
          </w:rPr>
          <w:instrText xml:space="preserve"> PAGEREF _Toc433964533 \h </w:instrText>
        </w:r>
        <w:r>
          <w:rPr>
            <w:noProof/>
            <w:webHidden/>
          </w:rPr>
        </w:r>
        <w:r>
          <w:rPr>
            <w:noProof/>
            <w:webHidden/>
          </w:rPr>
          <w:fldChar w:fldCharType="separate"/>
        </w:r>
        <w:r>
          <w:rPr>
            <w:noProof/>
            <w:webHidden/>
          </w:rPr>
          <w:t>19</w:t>
        </w:r>
        <w:r>
          <w:rPr>
            <w:noProof/>
            <w:webHidden/>
          </w:rPr>
          <w:fldChar w:fldCharType="end"/>
        </w:r>
      </w:hyperlink>
    </w:p>
    <w:p w14:paraId="6E38C70E" w14:textId="77777777" w:rsidR="00564E5C" w:rsidRDefault="00564E5C">
      <w:pPr>
        <w:pStyle w:val="TOC2"/>
        <w:rPr>
          <w:rFonts w:asciiTheme="minorHAnsi" w:eastAsiaTheme="minorEastAsia" w:hAnsiTheme="minorHAnsi" w:cstheme="minorBidi"/>
          <w:noProof/>
          <w:sz w:val="22"/>
          <w:szCs w:val="22"/>
        </w:rPr>
      </w:pPr>
      <w:hyperlink w:anchor="_Toc433964534" w:history="1">
        <w:r w:rsidRPr="00042B5F">
          <w:rPr>
            <w:rStyle w:val="Hyperlink"/>
            <w:noProof/>
          </w:rPr>
          <w:t>5.1</w:t>
        </w:r>
        <w:r>
          <w:rPr>
            <w:rFonts w:asciiTheme="minorHAnsi" w:eastAsiaTheme="minorEastAsia" w:hAnsiTheme="minorHAnsi" w:cstheme="minorBidi"/>
            <w:noProof/>
            <w:sz w:val="22"/>
            <w:szCs w:val="22"/>
          </w:rPr>
          <w:tab/>
        </w:r>
        <w:r w:rsidRPr="00042B5F">
          <w:rPr>
            <w:rStyle w:val="Hyperlink"/>
            <w:noProof/>
          </w:rPr>
          <w:t>Description of systems under investigation</w:t>
        </w:r>
        <w:r>
          <w:rPr>
            <w:noProof/>
            <w:webHidden/>
          </w:rPr>
          <w:tab/>
        </w:r>
        <w:r>
          <w:rPr>
            <w:noProof/>
            <w:webHidden/>
          </w:rPr>
          <w:fldChar w:fldCharType="begin"/>
        </w:r>
        <w:r>
          <w:rPr>
            <w:noProof/>
            <w:webHidden/>
          </w:rPr>
          <w:instrText xml:space="preserve"> PAGEREF _Toc433964534 \h </w:instrText>
        </w:r>
        <w:r>
          <w:rPr>
            <w:noProof/>
            <w:webHidden/>
          </w:rPr>
        </w:r>
        <w:r>
          <w:rPr>
            <w:noProof/>
            <w:webHidden/>
          </w:rPr>
          <w:fldChar w:fldCharType="separate"/>
        </w:r>
        <w:r>
          <w:rPr>
            <w:noProof/>
            <w:webHidden/>
          </w:rPr>
          <w:t>19</w:t>
        </w:r>
        <w:r>
          <w:rPr>
            <w:noProof/>
            <w:webHidden/>
          </w:rPr>
          <w:fldChar w:fldCharType="end"/>
        </w:r>
      </w:hyperlink>
    </w:p>
    <w:p w14:paraId="1339662A" w14:textId="77777777" w:rsidR="00564E5C" w:rsidRDefault="00564E5C">
      <w:pPr>
        <w:pStyle w:val="TOC2"/>
        <w:rPr>
          <w:rFonts w:asciiTheme="minorHAnsi" w:eastAsiaTheme="minorEastAsia" w:hAnsiTheme="minorHAnsi" w:cstheme="minorBidi"/>
          <w:noProof/>
          <w:sz w:val="22"/>
          <w:szCs w:val="22"/>
        </w:rPr>
      </w:pPr>
      <w:hyperlink w:anchor="_Toc433964535" w:history="1">
        <w:r w:rsidRPr="00042B5F">
          <w:rPr>
            <w:rStyle w:val="Hyperlink"/>
            <w:noProof/>
          </w:rPr>
          <w:t>5.2</w:t>
        </w:r>
        <w:r>
          <w:rPr>
            <w:rFonts w:asciiTheme="minorHAnsi" w:eastAsiaTheme="minorEastAsia" w:hAnsiTheme="minorHAnsi" w:cstheme="minorBidi"/>
            <w:noProof/>
            <w:sz w:val="22"/>
            <w:szCs w:val="22"/>
          </w:rPr>
          <w:tab/>
        </w:r>
        <w:r w:rsidRPr="00042B5F">
          <w:rPr>
            <w:rStyle w:val="Hyperlink"/>
            <w:noProof/>
          </w:rPr>
          <w:t>Functional unit</w:t>
        </w:r>
        <w:r>
          <w:rPr>
            <w:noProof/>
            <w:webHidden/>
          </w:rPr>
          <w:tab/>
        </w:r>
        <w:r>
          <w:rPr>
            <w:noProof/>
            <w:webHidden/>
          </w:rPr>
          <w:fldChar w:fldCharType="begin"/>
        </w:r>
        <w:r>
          <w:rPr>
            <w:noProof/>
            <w:webHidden/>
          </w:rPr>
          <w:instrText xml:space="preserve"> PAGEREF _Toc433964535 \h </w:instrText>
        </w:r>
        <w:r>
          <w:rPr>
            <w:noProof/>
            <w:webHidden/>
          </w:rPr>
        </w:r>
        <w:r>
          <w:rPr>
            <w:noProof/>
            <w:webHidden/>
          </w:rPr>
          <w:fldChar w:fldCharType="separate"/>
        </w:r>
        <w:r>
          <w:rPr>
            <w:noProof/>
            <w:webHidden/>
          </w:rPr>
          <w:t>20</w:t>
        </w:r>
        <w:r>
          <w:rPr>
            <w:noProof/>
            <w:webHidden/>
          </w:rPr>
          <w:fldChar w:fldCharType="end"/>
        </w:r>
      </w:hyperlink>
    </w:p>
    <w:p w14:paraId="1C111953" w14:textId="77777777" w:rsidR="00564E5C" w:rsidRDefault="00564E5C">
      <w:pPr>
        <w:pStyle w:val="TOC3"/>
        <w:rPr>
          <w:rFonts w:asciiTheme="minorHAnsi" w:eastAsiaTheme="minorEastAsia" w:hAnsiTheme="minorHAnsi" w:cstheme="minorBidi"/>
          <w:noProof/>
          <w:sz w:val="22"/>
          <w:szCs w:val="22"/>
        </w:rPr>
      </w:pPr>
      <w:hyperlink w:anchor="_Toc433964536" w:history="1">
        <w:r w:rsidRPr="00042B5F">
          <w:rPr>
            <w:rStyle w:val="Hyperlink"/>
            <w:noProof/>
          </w:rPr>
          <w:t>5.2.1</w:t>
        </w:r>
        <w:r>
          <w:rPr>
            <w:rFonts w:asciiTheme="minorHAnsi" w:eastAsiaTheme="minorEastAsia" w:hAnsiTheme="minorHAnsi" w:cstheme="minorBidi"/>
            <w:noProof/>
            <w:sz w:val="22"/>
            <w:szCs w:val="22"/>
          </w:rPr>
          <w:tab/>
        </w:r>
        <w:r w:rsidRPr="00042B5F">
          <w:rPr>
            <w:rStyle w:val="Hyperlink"/>
            <w:noProof/>
          </w:rPr>
          <w:t>Reference flow</w:t>
        </w:r>
        <w:r>
          <w:rPr>
            <w:noProof/>
            <w:webHidden/>
          </w:rPr>
          <w:tab/>
        </w:r>
        <w:r>
          <w:rPr>
            <w:noProof/>
            <w:webHidden/>
          </w:rPr>
          <w:fldChar w:fldCharType="begin"/>
        </w:r>
        <w:r>
          <w:rPr>
            <w:noProof/>
            <w:webHidden/>
          </w:rPr>
          <w:instrText xml:space="preserve"> PAGEREF _Toc433964536 \h </w:instrText>
        </w:r>
        <w:r>
          <w:rPr>
            <w:noProof/>
            <w:webHidden/>
          </w:rPr>
        </w:r>
        <w:r>
          <w:rPr>
            <w:noProof/>
            <w:webHidden/>
          </w:rPr>
          <w:fldChar w:fldCharType="separate"/>
        </w:r>
        <w:r>
          <w:rPr>
            <w:noProof/>
            <w:webHidden/>
          </w:rPr>
          <w:t>20</w:t>
        </w:r>
        <w:r>
          <w:rPr>
            <w:noProof/>
            <w:webHidden/>
          </w:rPr>
          <w:fldChar w:fldCharType="end"/>
        </w:r>
      </w:hyperlink>
    </w:p>
    <w:p w14:paraId="5705443E" w14:textId="77777777" w:rsidR="00564E5C" w:rsidRDefault="00564E5C">
      <w:pPr>
        <w:pStyle w:val="TOC3"/>
        <w:rPr>
          <w:rFonts w:asciiTheme="minorHAnsi" w:eastAsiaTheme="minorEastAsia" w:hAnsiTheme="minorHAnsi" w:cstheme="minorBidi"/>
          <w:noProof/>
          <w:sz w:val="22"/>
          <w:szCs w:val="22"/>
        </w:rPr>
      </w:pPr>
      <w:hyperlink w:anchor="_Toc433964537" w:history="1">
        <w:r w:rsidRPr="00042B5F">
          <w:rPr>
            <w:rStyle w:val="Hyperlink"/>
            <w:noProof/>
          </w:rPr>
          <w:t>5.2.2</w:t>
        </w:r>
        <w:r>
          <w:rPr>
            <w:rFonts w:asciiTheme="minorHAnsi" w:eastAsiaTheme="minorEastAsia" w:hAnsiTheme="minorHAnsi" w:cstheme="minorBidi"/>
            <w:noProof/>
            <w:sz w:val="22"/>
            <w:szCs w:val="22"/>
          </w:rPr>
          <w:tab/>
        </w:r>
        <w:r w:rsidRPr="00042B5F">
          <w:rPr>
            <w:rStyle w:val="Hyperlink"/>
            <w:noProof/>
          </w:rPr>
          <w:t>Materials excluded from the study</w:t>
        </w:r>
        <w:r>
          <w:rPr>
            <w:noProof/>
            <w:webHidden/>
          </w:rPr>
          <w:tab/>
        </w:r>
        <w:r>
          <w:rPr>
            <w:noProof/>
            <w:webHidden/>
          </w:rPr>
          <w:fldChar w:fldCharType="begin"/>
        </w:r>
        <w:r>
          <w:rPr>
            <w:noProof/>
            <w:webHidden/>
          </w:rPr>
          <w:instrText xml:space="preserve"> PAGEREF _Toc433964537 \h </w:instrText>
        </w:r>
        <w:r>
          <w:rPr>
            <w:noProof/>
            <w:webHidden/>
          </w:rPr>
        </w:r>
        <w:r>
          <w:rPr>
            <w:noProof/>
            <w:webHidden/>
          </w:rPr>
          <w:fldChar w:fldCharType="separate"/>
        </w:r>
        <w:r>
          <w:rPr>
            <w:noProof/>
            <w:webHidden/>
          </w:rPr>
          <w:t>21</w:t>
        </w:r>
        <w:r>
          <w:rPr>
            <w:noProof/>
            <w:webHidden/>
          </w:rPr>
          <w:fldChar w:fldCharType="end"/>
        </w:r>
      </w:hyperlink>
    </w:p>
    <w:p w14:paraId="0017D61E" w14:textId="77777777" w:rsidR="00564E5C" w:rsidRDefault="00564E5C">
      <w:pPr>
        <w:pStyle w:val="TOC3"/>
        <w:rPr>
          <w:rFonts w:asciiTheme="minorHAnsi" w:eastAsiaTheme="minorEastAsia" w:hAnsiTheme="minorHAnsi" w:cstheme="minorBidi"/>
          <w:noProof/>
          <w:sz w:val="22"/>
          <w:szCs w:val="22"/>
        </w:rPr>
      </w:pPr>
      <w:hyperlink w:anchor="_Toc433964538" w:history="1">
        <w:r w:rsidRPr="00042B5F">
          <w:rPr>
            <w:rStyle w:val="Hyperlink"/>
            <w:noProof/>
          </w:rPr>
          <w:t>5.2.3</w:t>
        </w:r>
        <w:r>
          <w:rPr>
            <w:rFonts w:asciiTheme="minorHAnsi" w:eastAsiaTheme="minorEastAsia" w:hAnsiTheme="minorHAnsi" w:cstheme="minorBidi"/>
            <w:noProof/>
            <w:sz w:val="22"/>
            <w:szCs w:val="22"/>
          </w:rPr>
          <w:tab/>
        </w:r>
        <w:r w:rsidRPr="00042B5F">
          <w:rPr>
            <w:rStyle w:val="Hyperlink"/>
            <w:noProof/>
          </w:rPr>
          <w:t>The Recycling System</w:t>
        </w:r>
        <w:r>
          <w:rPr>
            <w:noProof/>
            <w:webHidden/>
          </w:rPr>
          <w:tab/>
        </w:r>
        <w:r>
          <w:rPr>
            <w:noProof/>
            <w:webHidden/>
          </w:rPr>
          <w:fldChar w:fldCharType="begin"/>
        </w:r>
        <w:r>
          <w:rPr>
            <w:noProof/>
            <w:webHidden/>
          </w:rPr>
          <w:instrText xml:space="preserve"> PAGEREF _Toc433964538 \h </w:instrText>
        </w:r>
        <w:r>
          <w:rPr>
            <w:noProof/>
            <w:webHidden/>
          </w:rPr>
        </w:r>
        <w:r>
          <w:rPr>
            <w:noProof/>
            <w:webHidden/>
          </w:rPr>
          <w:fldChar w:fldCharType="separate"/>
        </w:r>
        <w:r>
          <w:rPr>
            <w:noProof/>
            <w:webHidden/>
          </w:rPr>
          <w:t>22</w:t>
        </w:r>
        <w:r>
          <w:rPr>
            <w:noProof/>
            <w:webHidden/>
          </w:rPr>
          <w:fldChar w:fldCharType="end"/>
        </w:r>
      </w:hyperlink>
    </w:p>
    <w:p w14:paraId="2D7DFD57" w14:textId="77777777" w:rsidR="00564E5C" w:rsidRDefault="00564E5C">
      <w:pPr>
        <w:pStyle w:val="TOC3"/>
        <w:rPr>
          <w:rFonts w:asciiTheme="minorHAnsi" w:eastAsiaTheme="minorEastAsia" w:hAnsiTheme="minorHAnsi" w:cstheme="minorBidi"/>
          <w:noProof/>
          <w:sz w:val="22"/>
          <w:szCs w:val="22"/>
        </w:rPr>
      </w:pPr>
      <w:hyperlink w:anchor="_Toc433964539" w:history="1">
        <w:r w:rsidRPr="00042B5F">
          <w:rPr>
            <w:rStyle w:val="Hyperlink"/>
            <w:noProof/>
          </w:rPr>
          <w:t>5.2.4</w:t>
        </w:r>
        <w:r>
          <w:rPr>
            <w:rFonts w:asciiTheme="minorHAnsi" w:eastAsiaTheme="minorEastAsia" w:hAnsiTheme="minorHAnsi" w:cstheme="minorBidi"/>
            <w:noProof/>
            <w:sz w:val="22"/>
            <w:szCs w:val="22"/>
          </w:rPr>
          <w:tab/>
        </w:r>
        <w:r w:rsidRPr="00042B5F">
          <w:rPr>
            <w:rStyle w:val="Hyperlink"/>
            <w:noProof/>
          </w:rPr>
          <w:t>The Alternative System</w:t>
        </w:r>
        <w:r>
          <w:rPr>
            <w:noProof/>
            <w:webHidden/>
          </w:rPr>
          <w:tab/>
        </w:r>
        <w:r>
          <w:rPr>
            <w:noProof/>
            <w:webHidden/>
          </w:rPr>
          <w:fldChar w:fldCharType="begin"/>
        </w:r>
        <w:r>
          <w:rPr>
            <w:noProof/>
            <w:webHidden/>
          </w:rPr>
          <w:instrText xml:space="preserve"> PAGEREF _Toc433964539 \h </w:instrText>
        </w:r>
        <w:r>
          <w:rPr>
            <w:noProof/>
            <w:webHidden/>
          </w:rPr>
        </w:r>
        <w:r>
          <w:rPr>
            <w:noProof/>
            <w:webHidden/>
          </w:rPr>
          <w:fldChar w:fldCharType="separate"/>
        </w:r>
        <w:r>
          <w:rPr>
            <w:noProof/>
            <w:webHidden/>
          </w:rPr>
          <w:t>22</w:t>
        </w:r>
        <w:r>
          <w:rPr>
            <w:noProof/>
            <w:webHidden/>
          </w:rPr>
          <w:fldChar w:fldCharType="end"/>
        </w:r>
      </w:hyperlink>
    </w:p>
    <w:p w14:paraId="556CAE2D" w14:textId="77777777" w:rsidR="00564E5C" w:rsidRDefault="00564E5C">
      <w:pPr>
        <w:pStyle w:val="TOC2"/>
        <w:rPr>
          <w:rFonts w:asciiTheme="minorHAnsi" w:eastAsiaTheme="minorEastAsia" w:hAnsiTheme="minorHAnsi" w:cstheme="minorBidi"/>
          <w:noProof/>
          <w:sz w:val="22"/>
          <w:szCs w:val="22"/>
        </w:rPr>
      </w:pPr>
      <w:hyperlink w:anchor="_Toc433964540" w:history="1">
        <w:r w:rsidRPr="00042B5F">
          <w:rPr>
            <w:rStyle w:val="Hyperlink"/>
            <w:noProof/>
          </w:rPr>
          <w:t>5.3</w:t>
        </w:r>
        <w:r>
          <w:rPr>
            <w:rFonts w:asciiTheme="minorHAnsi" w:eastAsiaTheme="minorEastAsia" w:hAnsiTheme="minorHAnsi" w:cstheme="minorBidi"/>
            <w:noProof/>
            <w:sz w:val="22"/>
            <w:szCs w:val="22"/>
          </w:rPr>
          <w:tab/>
        </w:r>
        <w:r w:rsidRPr="00042B5F">
          <w:rPr>
            <w:rStyle w:val="Hyperlink"/>
            <w:noProof/>
          </w:rPr>
          <w:t>System boundary</w:t>
        </w:r>
        <w:r>
          <w:rPr>
            <w:noProof/>
            <w:webHidden/>
          </w:rPr>
          <w:tab/>
        </w:r>
        <w:r>
          <w:rPr>
            <w:noProof/>
            <w:webHidden/>
          </w:rPr>
          <w:fldChar w:fldCharType="begin"/>
        </w:r>
        <w:r>
          <w:rPr>
            <w:noProof/>
            <w:webHidden/>
          </w:rPr>
          <w:instrText xml:space="preserve"> PAGEREF _Toc433964540 \h </w:instrText>
        </w:r>
        <w:r>
          <w:rPr>
            <w:noProof/>
            <w:webHidden/>
          </w:rPr>
        </w:r>
        <w:r>
          <w:rPr>
            <w:noProof/>
            <w:webHidden/>
          </w:rPr>
          <w:fldChar w:fldCharType="separate"/>
        </w:r>
        <w:r>
          <w:rPr>
            <w:noProof/>
            <w:webHidden/>
          </w:rPr>
          <w:t>22</w:t>
        </w:r>
        <w:r>
          <w:rPr>
            <w:noProof/>
            <w:webHidden/>
          </w:rPr>
          <w:fldChar w:fldCharType="end"/>
        </w:r>
      </w:hyperlink>
    </w:p>
    <w:p w14:paraId="4562C4F8" w14:textId="77777777" w:rsidR="00564E5C" w:rsidRDefault="00564E5C">
      <w:pPr>
        <w:pStyle w:val="TOC2"/>
        <w:rPr>
          <w:rFonts w:asciiTheme="minorHAnsi" w:eastAsiaTheme="minorEastAsia" w:hAnsiTheme="minorHAnsi" w:cstheme="minorBidi"/>
          <w:noProof/>
          <w:sz w:val="22"/>
          <w:szCs w:val="22"/>
        </w:rPr>
      </w:pPr>
      <w:hyperlink w:anchor="_Toc433964541" w:history="1">
        <w:r w:rsidRPr="00042B5F">
          <w:rPr>
            <w:rStyle w:val="Hyperlink"/>
            <w:noProof/>
          </w:rPr>
          <w:t>5.4</w:t>
        </w:r>
        <w:r>
          <w:rPr>
            <w:rFonts w:asciiTheme="minorHAnsi" w:eastAsiaTheme="minorEastAsia" w:hAnsiTheme="minorHAnsi" w:cstheme="minorBidi"/>
            <w:noProof/>
            <w:sz w:val="22"/>
            <w:szCs w:val="22"/>
          </w:rPr>
          <w:tab/>
        </w:r>
        <w:r w:rsidRPr="00042B5F">
          <w:rPr>
            <w:rStyle w:val="Hyperlink"/>
            <w:noProof/>
          </w:rPr>
          <w:t>Data quality requirements</w:t>
        </w:r>
        <w:r>
          <w:rPr>
            <w:noProof/>
            <w:webHidden/>
          </w:rPr>
          <w:tab/>
        </w:r>
        <w:r>
          <w:rPr>
            <w:noProof/>
            <w:webHidden/>
          </w:rPr>
          <w:fldChar w:fldCharType="begin"/>
        </w:r>
        <w:r>
          <w:rPr>
            <w:noProof/>
            <w:webHidden/>
          </w:rPr>
          <w:instrText xml:space="preserve"> PAGEREF _Toc433964541 \h </w:instrText>
        </w:r>
        <w:r>
          <w:rPr>
            <w:noProof/>
            <w:webHidden/>
          </w:rPr>
        </w:r>
        <w:r>
          <w:rPr>
            <w:noProof/>
            <w:webHidden/>
          </w:rPr>
          <w:fldChar w:fldCharType="separate"/>
        </w:r>
        <w:r>
          <w:rPr>
            <w:noProof/>
            <w:webHidden/>
          </w:rPr>
          <w:t>24</w:t>
        </w:r>
        <w:r>
          <w:rPr>
            <w:noProof/>
            <w:webHidden/>
          </w:rPr>
          <w:fldChar w:fldCharType="end"/>
        </w:r>
      </w:hyperlink>
    </w:p>
    <w:p w14:paraId="792B4903" w14:textId="77777777" w:rsidR="00564E5C" w:rsidRDefault="00564E5C">
      <w:pPr>
        <w:pStyle w:val="TOC3"/>
        <w:rPr>
          <w:rFonts w:asciiTheme="minorHAnsi" w:eastAsiaTheme="minorEastAsia" w:hAnsiTheme="minorHAnsi" w:cstheme="minorBidi"/>
          <w:noProof/>
          <w:sz w:val="22"/>
          <w:szCs w:val="22"/>
        </w:rPr>
      </w:pPr>
      <w:hyperlink w:anchor="_Toc433964542" w:history="1">
        <w:r w:rsidRPr="00042B5F">
          <w:rPr>
            <w:rStyle w:val="Hyperlink"/>
            <w:noProof/>
          </w:rPr>
          <w:t>5.4.1</w:t>
        </w:r>
        <w:r>
          <w:rPr>
            <w:rFonts w:asciiTheme="minorHAnsi" w:eastAsiaTheme="minorEastAsia" w:hAnsiTheme="minorHAnsi" w:cstheme="minorBidi"/>
            <w:noProof/>
            <w:sz w:val="22"/>
            <w:szCs w:val="22"/>
          </w:rPr>
          <w:tab/>
        </w:r>
        <w:r w:rsidRPr="00042B5F">
          <w:rPr>
            <w:rStyle w:val="Hyperlink"/>
            <w:noProof/>
          </w:rPr>
          <w:t>Strategies employed to address data quality requirements</w:t>
        </w:r>
        <w:r>
          <w:rPr>
            <w:noProof/>
            <w:webHidden/>
          </w:rPr>
          <w:tab/>
        </w:r>
        <w:r>
          <w:rPr>
            <w:noProof/>
            <w:webHidden/>
          </w:rPr>
          <w:fldChar w:fldCharType="begin"/>
        </w:r>
        <w:r>
          <w:rPr>
            <w:noProof/>
            <w:webHidden/>
          </w:rPr>
          <w:instrText xml:space="preserve"> PAGEREF _Toc433964542 \h </w:instrText>
        </w:r>
        <w:r>
          <w:rPr>
            <w:noProof/>
            <w:webHidden/>
          </w:rPr>
        </w:r>
        <w:r>
          <w:rPr>
            <w:noProof/>
            <w:webHidden/>
          </w:rPr>
          <w:fldChar w:fldCharType="separate"/>
        </w:r>
        <w:r>
          <w:rPr>
            <w:noProof/>
            <w:webHidden/>
          </w:rPr>
          <w:t>24</w:t>
        </w:r>
        <w:r>
          <w:rPr>
            <w:noProof/>
            <w:webHidden/>
          </w:rPr>
          <w:fldChar w:fldCharType="end"/>
        </w:r>
      </w:hyperlink>
    </w:p>
    <w:p w14:paraId="0C9D0003" w14:textId="77777777" w:rsidR="00564E5C" w:rsidRDefault="00564E5C">
      <w:pPr>
        <w:pStyle w:val="TOC2"/>
        <w:rPr>
          <w:rFonts w:asciiTheme="minorHAnsi" w:eastAsiaTheme="minorEastAsia" w:hAnsiTheme="minorHAnsi" w:cstheme="minorBidi"/>
          <w:noProof/>
          <w:sz w:val="22"/>
          <w:szCs w:val="22"/>
        </w:rPr>
      </w:pPr>
      <w:hyperlink w:anchor="_Toc433964543" w:history="1">
        <w:r w:rsidRPr="00042B5F">
          <w:rPr>
            <w:rStyle w:val="Hyperlink"/>
            <w:noProof/>
          </w:rPr>
          <w:t>5.5</w:t>
        </w:r>
        <w:r>
          <w:rPr>
            <w:rFonts w:asciiTheme="minorHAnsi" w:eastAsiaTheme="minorEastAsia" w:hAnsiTheme="minorHAnsi" w:cstheme="minorBidi"/>
            <w:noProof/>
            <w:sz w:val="22"/>
            <w:szCs w:val="22"/>
          </w:rPr>
          <w:tab/>
        </w:r>
        <w:r w:rsidRPr="00042B5F">
          <w:rPr>
            <w:rStyle w:val="Hyperlink"/>
            <w:noProof/>
          </w:rPr>
          <w:t>Data collection</w:t>
        </w:r>
        <w:r>
          <w:rPr>
            <w:noProof/>
            <w:webHidden/>
          </w:rPr>
          <w:tab/>
        </w:r>
        <w:r>
          <w:rPr>
            <w:noProof/>
            <w:webHidden/>
          </w:rPr>
          <w:fldChar w:fldCharType="begin"/>
        </w:r>
        <w:r>
          <w:rPr>
            <w:noProof/>
            <w:webHidden/>
          </w:rPr>
          <w:instrText xml:space="preserve"> PAGEREF _Toc433964543 \h </w:instrText>
        </w:r>
        <w:r>
          <w:rPr>
            <w:noProof/>
            <w:webHidden/>
          </w:rPr>
        </w:r>
        <w:r>
          <w:rPr>
            <w:noProof/>
            <w:webHidden/>
          </w:rPr>
          <w:fldChar w:fldCharType="separate"/>
        </w:r>
        <w:r>
          <w:rPr>
            <w:noProof/>
            <w:webHidden/>
          </w:rPr>
          <w:t>25</w:t>
        </w:r>
        <w:r>
          <w:rPr>
            <w:noProof/>
            <w:webHidden/>
          </w:rPr>
          <w:fldChar w:fldCharType="end"/>
        </w:r>
      </w:hyperlink>
    </w:p>
    <w:p w14:paraId="7E163998" w14:textId="77777777" w:rsidR="00564E5C" w:rsidRDefault="00564E5C">
      <w:pPr>
        <w:pStyle w:val="TOC2"/>
        <w:rPr>
          <w:rFonts w:asciiTheme="minorHAnsi" w:eastAsiaTheme="minorEastAsia" w:hAnsiTheme="minorHAnsi" w:cstheme="minorBidi"/>
          <w:noProof/>
          <w:sz w:val="22"/>
          <w:szCs w:val="22"/>
        </w:rPr>
      </w:pPr>
      <w:hyperlink w:anchor="_Toc433964544" w:history="1">
        <w:r w:rsidRPr="00042B5F">
          <w:rPr>
            <w:rStyle w:val="Hyperlink"/>
            <w:noProof/>
          </w:rPr>
          <w:t>5.6</w:t>
        </w:r>
        <w:r>
          <w:rPr>
            <w:rFonts w:asciiTheme="minorHAnsi" w:eastAsiaTheme="minorEastAsia" w:hAnsiTheme="minorHAnsi" w:cstheme="minorBidi"/>
            <w:noProof/>
            <w:sz w:val="22"/>
            <w:szCs w:val="22"/>
          </w:rPr>
          <w:tab/>
        </w:r>
        <w:r w:rsidRPr="00042B5F">
          <w:rPr>
            <w:rStyle w:val="Hyperlink"/>
            <w:noProof/>
          </w:rPr>
          <w:t>Use of the Pedigree Matrix</w:t>
        </w:r>
        <w:r>
          <w:rPr>
            <w:noProof/>
            <w:webHidden/>
          </w:rPr>
          <w:tab/>
        </w:r>
        <w:r>
          <w:rPr>
            <w:noProof/>
            <w:webHidden/>
          </w:rPr>
          <w:fldChar w:fldCharType="begin"/>
        </w:r>
        <w:r>
          <w:rPr>
            <w:noProof/>
            <w:webHidden/>
          </w:rPr>
          <w:instrText xml:space="preserve"> PAGEREF _Toc433964544 \h </w:instrText>
        </w:r>
        <w:r>
          <w:rPr>
            <w:noProof/>
            <w:webHidden/>
          </w:rPr>
        </w:r>
        <w:r>
          <w:rPr>
            <w:noProof/>
            <w:webHidden/>
          </w:rPr>
          <w:fldChar w:fldCharType="separate"/>
        </w:r>
        <w:r>
          <w:rPr>
            <w:noProof/>
            <w:webHidden/>
          </w:rPr>
          <w:t>25</w:t>
        </w:r>
        <w:r>
          <w:rPr>
            <w:noProof/>
            <w:webHidden/>
          </w:rPr>
          <w:fldChar w:fldCharType="end"/>
        </w:r>
      </w:hyperlink>
    </w:p>
    <w:p w14:paraId="35AC7980" w14:textId="77777777" w:rsidR="00564E5C" w:rsidRDefault="00564E5C">
      <w:pPr>
        <w:pStyle w:val="TOC2"/>
        <w:rPr>
          <w:rFonts w:asciiTheme="minorHAnsi" w:eastAsiaTheme="minorEastAsia" w:hAnsiTheme="minorHAnsi" w:cstheme="minorBidi"/>
          <w:noProof/>
          <w:sz w:val="22"/>
          <w:szCs w:val="22"/>
        </w:rPr>
      </w:pPr>
      <w:hyperlink w:anchor="_Toc433964545" w:history="1">
        <w:r w:rsidRPr="00042B5F">
          <w:rPr>
            <w:rStyle w:val="Hyperlink"/>
            <w:noProof/>
          </w:rPr>
          <w:t>5.7</w:t>
        </w:r>
        <w:r>
          <w:rPr>
            <w:rFonts w:asciiTheme="minorHAnsi" w:eastAsiaTheme="minorEastAsia" w:hAnsiTheme="minorHAnsi" w:cstheme="minorBidi"/>
            <w:noProof/>
            <w:sz w:val="22"/>
            <w:szCs w:val="22"/>
          </w:rPr>
          <w:tab/>
        </w:r>
        <w:r w:rsidRPr="00042B5F">
          <w:rPr>
            <w:rStyle w:val="Hyperlink"/>
            <w:noProof/>
          </w:rPr>
          <w:t>Allocation procedures</w:t>
        </w:r>
        <w:r>
          <w:rPr>
            <w:noProof/>
            <w:webHidden/>
          </w:rPr>
          <w:tab/>
        </w:r>
        <w:r>
          <w:rPr>
            <w:noProof/>
            <w:webHidden/>
          </w:rPr>
          <w:fldChar w:fldCharType="begin"/>
        </w:r>
        <w:r>
          <w:rPr>
            <w:noProof/>
            <w:webHidden/>
          </w:rPr>
          <w:instrText xml:space="preserve"> PAGEREF _Toc433964545 \h </w:instrText>
        </w:r>
        <w:r>
          <w:rPr>
            <w:noProof/>
            <w:webHidden/>
          </w:rPr>
        </w:r>
        <w:r>
          <w:rPr>
            <w:noProof/>
            <w:webHidden/>
          </w:rPr>
          <w:fldChar w:fldCharType="separate"/>
        </w:r>
        <w:r>
          <w:rPr>
            <w:noProof/>
            <w:webHidden/>
          </w:rPr>
          <w:t>26</w:t>
        </w:r>
        <w:r>
          <w:rPr>
            <w:noProof/>
            <w:webHidden/>
          </w:rPr>
          <w:fldChar w:fldCharType="end"/>
        </w:r>
      </w:hyperlink>
    </w:p>
    <w:p w14:paraId="34BDF1F3" w14:textId="77777777" w:rsidR="00564E5C" w:rsidRDefault="00564E5C">
      <w:pPr>
        <w:pStyle w:val="TOC2"/>
        <w:rPr>
          <w:rFonts w:asciiTheme="minorHAnsi" w:eastAsiaTheme="minorEastAsia" w:hAnsiTheme="minorHAnsi" w:cstheme="minorBidi"/>
          <w:noProof/>
          <w:sz w:val="22"/>
          <w:szCs w:val="22"/>
        </w:rPr>
      </w:pPr>
      <w:hyperlink w:anchor="_Toc433964546" w:history="1">
        <w:r w:rsidRPr="00042B5F">
          <w:rPr>
            <w:rStyle w:val="Hyperlink"/>
            <w:noProof/>
          </w:rPr>
          <w:t>5.8</w:t>
        </w:r>
        <w:r>
          <w:rPr>
            <w:rFonts w:asciiTheme="minorHAnsi" w:eastAsiaTheme="minorEastAsia" w:hAnsiTheme="minorHAnsi" w:cstheme="minorBidi"/>
            <w:noProof/>
            <w:sz w:val="22"/>
            <w:szCs w:val="22"/>
          </w:rPr>
          <w:tab/>
        </w:r>
        <w:r w:rsidRPr="00042B5F">
          <w:rPr>
            <w:rStyle w:val="Hyperlink"/>
            <w:noProof/>
          </w:rPr>
          <w:t>Impact Assessment Method</w:t>
        </w:r>
        <w:r>
          <w:rPr>
            <w:noProof/>
            <w:webHidden/>
          </w:rPr>
          <w:tab/>
        </w:r>
        <w:r>
          <w:rPr>
            <w:noProof/>
            <w:webHidden/>
          </w:rPr>
          <w:fldChar w:fldCharType="begin"/>
        </w:r>
        <w:r>
          <w:rPr>
            <w:noProof/>
            <w:webHidden/>
          </w:rPr>
          <w:instrText xml:space="preserve"> PAGEREF _Toc433964546 \h </w:instrText>
        </w:r>
        <w:r>
          <w:rPr>
            <w:noProof/>
            <w:webHidden/>
          </w:rPr>
        </w:r>
        <w:r>
          <w:rPr>
            <w:noProof/>
            <w:webHidden/>
          </w:rPr>
          <w:fldChar w:fldCharType="separate"/>
        </w:r>
        <w:r>
          <w:rPr>
            <w:noProof/>
            <w:webHidden/>
          </w:rPr>
          <w:t>27</w:t>
        </w:r>
        <w:r>
          <w:rPr>
            <w:noProof/>
            <w:webHidden/>
          </w:rPr>
          <w:fldChar w:fldCharType="end"/>
        </w:r>
      </w:hyperlink>
    </w:p>
    <w:p w14:paraId="75F7D7EF" w14:textId="77777777" w:rsidR="00564E5C" w:rsidRDefault="00564E5C">
      <w:pPr>
        <w:pStyle w:val="TOC1"/>
        <w:rPr>
          <w:rFonts w:asciiTheme="minorHAnsi" w:eastAsiaTheme="minorEastAsia" w:hAnsiTheme="minorHAnsi" w:cstheme="minorBidi"/>
          <w:noProof/>
          <w:sz w:val="22"/>
          <w:szCs w:val="22"/>
        </w:rPr>
      </w:pPr>
      <w:hyperlink w:anchor="_Toc433964547" w:history="1">
        <w:r w:rsidRPr="00042B5F">
          <w:rPr>
            <w:rStyle w:val="Hyperlink"/>
            <w:noProof/>
          </w:rPr>
          <w:t>6</w:t>
        </w:r>
        <w:r>
          <w:rPr>
            <w:rFonts w:asciiTheme="minorHAnsi" w:eastAsiaTheme="minorEastAsia" w:hAnsiTheme="minorHAnsi" w:cstheme="minorBidi"/>
            <w:noProof/>
            <w:sz w:val="22"/>
            <w:szCs w:val="22"/>
          </w:rPr>
          <w:tab/>
        </w:r>
        <w:r w:rsidRPr="00042B5F">
          <w:rPr>
            <w:rStyle w:val="Hyperlink"/>
            <w:noProof/>
          </w:rPr>
          <w:t>Methodology</w:t>
        </w:r>
        <w:r>
          <w:rPr>
            <w:noProof/>
            <w:webHidden/>
          </w:rPr>
          <w:tab/>
        </w:r>
        <w:r>
          <w:rPr>
            <w:noProof/>
            <w:webHidden/>
          </w:rPr>
          <w:fldChar w:fldCharType="begin"/>
        </w:r>
        <w:r>
          <w:rPr>
            <w:noProof/>
            <w:webHidden/>
          </w:rPr>
          <w:instrText xml:space="preserve"> PAGEREF _Toc433964547 \h </w:instrText>
        </w:r>
        <w:r>
          <w:rPr>
            <w:noProof/>
            <w:webHidden/>
          </w:rPr>
        </w:r>
        <w:r>
          <w:rPr>
            <w:noProof/>
            <w:webHidden/>
          </w:rPr>
          <w:fldChar w:fldCharType="separate"/>
        </w:r>
        <w:r>
          <w:rPr>
            <w:noProof/>
            <w:webHidden/>
          </w:rPr>
          <w:t>28</w:t>
        </w:r>
        <w:r>
          <w:rPr>
            <w:noProof/>
            <w:webHidden/>
          </w:rPr>
          <w:fldChar w:fldCharType="end"/>
        </w:r>
      </w:hyperlink>
    </w:p>
    <w:p w14:paraId="4023D1CD" w14:textId="77777777" w:rsidR="00564E5C" w:rsidRDefault="00564E5C">
      <w:pPr>
        <w:pStyle w:val="TOC1"/>
        <w:rPr>
          <w:rFonts w:asciiTheme="minorHAnsi" w:eastAsiaTheme="minorEastAsia" w:hAnsiTheme="minorHAnsi" w:cstheme="minorBidi"/>
          <w:noProof/>
          <w:sz w:val="22"/>
          <w:szCs w:val="22"/>
        </w:rPr>
      </w:pPr>
      <w:hyperlink w:anchor="_Toc433964548" w:history="1">
        <w:r w:rsidRPr="00042B5F">
          <w:rPr>
            <w:rStyle w:val="Hyperlink"/>
            <w:noProof/>
          </w:rPr>
          <w:t>7</w:t>
        </w:r>
        <w:r>
          <w:rPr>
            <w:rFonts w:asciiTheme="minorHAnsi" w:eastAsiaTheme="minorEastAsia" w:hAnsiTheme="minorHAnsi" w:cstheme="minorBidi"/>
            <w:noProof/>
            <w:sz w:val="22"/>
            <w:szCs w:val="22"/>
          </w:rPr>
          <w:tab/>
        </w:r>
        <w:r w:rsidRPr="00042B5F">
          <w:rPr>
            <w:rStyle w:val="Hyperlink"/>
            <w:noProof/>
          </w:rPr>
          <w:t>Study Limitations</w:t>
        </w:r>
        <w:r>
          <w:rPr>
            <w:noProof/>
            <w:webHidden/>
          </w:rPr>
          <w:tab/>
        </w:r>
        <w:r>
          <w:rPr>
            <w:noProof/>
            <w:webHidden/>
          </w:rPr>
          <w:fldChar w:fldCharType="begin"/>
        </w:r>
        <w:r>
          <w:rPr>
            <w:noProof/>
            <w:webHidden/>
          </w:rPr>
          <w:instrText xml:space="preserve"> PAGEREF _Toc433964548 \h </w:instrText>
        </w:r>
        <w:r>
          <w:rPr>
            <w:noProof/>
            <w:webHidden/>
          </w:rPr>
        </w:r>
        <w:r>
          <w:rPr>
            <w:noProof/>
            <w:webHidden/>
          </w:rPr>
          <w:fldChar w:fldCharType="separate"/>
        </w:r>
        <w:r>
          <w:rPr>
            <w:noProof/>
            <w:webHidden/>
          </w:rPr>
          <w:t>29</w:t>
        </w:r>
        <w:r>
          <w:rPr>
            <w:noProof/>
            <w:webHidden/>
          </w:rPr>
          <w:fldChar w:fldCharType="end"/>
        </w:r>
      </w:hyperlink>
    </w:p>
    <w:p w14:paraId="3934878E" w14:textId="77777777" w:rsidR="00564E5C" w:rsidRDefault="00564E5C">
      <w:pPr>
        <w:pStyle w:val="TOC1"/>
        <w:rPr>
          <w:rFonts w:asciiTheme="minorHAnsi" w:eastAsiaTheme="minorEastAsia" w:hAnsiTheme="minorHAnsi" w:cstheme="minorBidi"/>
          <w:noProof/>
          <w:sz w:val="22"/>
          <w:szCs w:val="22"/>
        </w:rPr>
      </w:pPr>
      <w:hyperlink w:anchor="_Toc433964549" w:history="1">
        <w:r w:rsidRPr="00042B5F">
          <w:rPr>
            <w:rStyle w:val="Hyperlink"/>
            <w:noProof/>
          </w:rPr>
          <w:t>8</w:t>
        </w:r>
        <w:r>
          <w:rPr>
            <w:rFonts w:asciiTheme="minorHAnsi" w:eastAsiaTheme="minorEastAsia" w:hAnsiTheme="minorHAnsi" w:cstheme="minorBidi"/>
            <w:noProof/>
            <w:sz w:val="22"/>
            <w:szCs w:val="22"/>
          </w:rPr>
          <w:tab/>
        </w:r>
        <w:r w:rsidRPr="00042B5F">
          <w:rPr>
            <w:rStyle w:val="Hyperlink"/>
            <w:noProof/>
          </w:rPr>
          <w:t>Inventory</w:t>
        </w:r>
        <w:r>
          <w:rPr>
            <w:noProof/>
            <w:webHidden/>
          </w:rPr>
          <w:tab/>
        </w:r>
        <w:r>
          <w:rPr>
            <w:noProof/>
            <w:webHidden/>
          </w:rPr>
          <w:fldChar w:fldCharType="begin"/>
        </w:r>
        <w:r>
          <w:rPr>
            <w:noProof/>
            <w:webHidden/>
          </w:rPr>
          <w:instrText xml:space="preserve"> PAGEREF _Toc433964549 \h </w:instrText>
        </w:r>
        <w:r>
          <w:rPr>
            <w:noProof/>
            <w:webHidden/>
          </w:rPr>
        </w:r>
        <w:r>
          <w:rPr>
            <w:noProof/>
            <w:webHidden/>
          </w:rPr>
          <w:fldChar w:fldCharType="separate"/>
        </w:r>
        <w:r>
          <w:rPr>
            <w:noProof/>
            <w:webHidden/>
          </w:rPr>
          <w:t>30</w:t>
        </w:r>
        <w:r>
          <w:rPr>
            <w:noProof/>
            <w:webHidden/>
          </w:rPr>
          <w:fldChar w:fldCharType="end"/>
        </w:r>
      </w:hyperlink>
    </w:p>
    <w:p w14:paraId="2F412383" w14:textId="77777777" w:rsidR="00564E5C" w:rsidRDefault="00564E5C">
      <w:pPr>
        <w:pStyle w:val="TOC2"/>
        <w:rPr>
          <w:rFonts w:asciiTheme="minorHAnsi" w:eastAsiaTheme="minorEastAsia" w:hAnsiTheme="minorHAnsi" w:cstheme="minorBidi"/>
          <w:noProof/>
          <w:sz w:val="22"/>
          <w:szCs w:val="22"/>
        </w:rPr>
      </w:pPr>
      <w:hyperlink w:anchor="_Toc433964550" w:history="1">
        <w:r w:rsidRPr="00042B5F">
          <w:rPr>
            <w:rStyle w:val="Hyperlink"/>
            <w:noProof/>
          </w:rPr>
          <w:t>8.1</w:t>
        </w:r>
        <w:r>
          <w:rPr>
            <w:rFonts w:asciiTheme="minorHAnsi" w:eastAsiaTheme="minorEastAsia" w:hAnsiTheme="minorHAnsi" w:cstheme="minorBidi"/>
            <w:noProof/>
            <w:sz w:val="22"/>
            <w:szCs w:val="22"/>
          </w:rPr>
          <w:tab/>
        </w:r>
        <w:r w:rsidRPr="00042B5F">
          <w:rPr>
            <w:rStyle w:val="Hyperlink"/>
            <w:noProof/>
          </w:rPr>
          <w:t>Inventory sub-systems</w:t>
        </w:r>
        <w:r>
          <w:rPr>
            <w:noProof/>
            <w:webHidden/>
          </w:rPr>
          <w:tab/>
        </w:r>
        <w:r>
          <w:rPr>
            <w:noProof/>
            <w:webHidden/>
          </w:rPr>
          <w:fldChar w:fldCharType="begin"/>
        </w:r>
        <w:r>
          <w:rPr>
            <w:noProof/>
            <w:webHidden/>
          </w:rPr>
          <w:instrText xml:space="preserve"> PAGEREF _Toc433964550 \h </w:instrText>
        </w:r>
        <w:r>
          <w:rPr>
            <w:noProof/>
            <w:webHidden/>
          </w:rPr>
        </w:r>
        <w:r>
          <w:rPr>
            <w:noProof/>
            <w:webHidden/>
          </w:rPr>
          <w:fldChar w:fldCharType="separate"/>
        </w:r>
        <w:r>
          <w:rPr>
            <w:noProof/>
            <w:webHidden/>
          </w:rPr>
          <w:t>34</w:t>
        </w:r>
        <w:r>
          <w:rPr>
            <w:noProof/>
            <w:webHidden/>
          </w:rPr>
          <w:fldChar w:fldCharType="end"/>
        </w:r>
      </w:hyperlink>
    </w:p>
    <w:p w14:paraId="70FC12A8" w14:textId="77777777" w:rsidR="00564E5C" w:rsidRDefault="00564E5C">
      <w:pPr>
        <w:pStyle w:val="TOC3"/>
        <w:rPr>
          <w:rFonts w:asciiTheme="minorHAnsi" w:eastAsiaTheme="minorEastAsia" w:hAnsiTheme="minorHAnsi" w:cstheme="minorBidi"/>
          <w:noProof/>
          <w:sz w:val="22"/>
          <w:szCs w:val="22"/>
        </w:rPr>
      </w:pPr>
      <w:hyperlink w:anchor="_Toc433964551" w:history="1">
        <w:r w:rsidRPr="00042B5F">
          <w:rPr>
            <w:rStyle w:val="Hyperlink"/>
            <w:noProof/>
          </w:rPr>
          <w:t>8.1.1</w:t>
        </w:r>
        <w:r>
          <w:rPr>
            <w:rFonts w:asciiTheme="minorHAnsi" w:eastAsiaTheme="minorEastAsia" w:hAnsiTheme="minorHAnsi" w:cstheme="minorBidi"/>
            <w:noProof/>
            <w:sz w:val="22"/>
            <w:szCs w:val="22"/>
          </w:rPr>
          <w:tab/>
        </w:r>
        <w:r w:rsidRPr="00042B5F">
          <w:rPr>
            <w:rStyle w:val="Hyperlink"/>
            <w:noProof/>
          </w:rPr>
          <w:t>Collection</w:t>
        </w:r>
        <w:r>
          <w:rPr>
            <w:noProof/>
            <w:webHidden/>
          </w:rPr>
          <w:tab/>
        </w:r>
        <w:r>
          <w:rPr>
            <w:noProof/>
            <w:webHidden/>
          </w:rPr>
          <w:fldChar w:fldCharType="begin"/>
        </w:r>
        <w:r>
          <w:rPr>
            <w:noProof/>
            <w:webHidden/>
          </w:rPr>
          <w:instrText xml:space="preserve"> PAGEREF _Toc433964551 \h </w:instrText>
        </w:r>
        <w:r>
          <w:rPr>
            <w:noProof/>
            <w:webHidden/>
          </w:rPr>
        </w:r>
        <w:r>
          <w:rPr>
            <w:noProof/>
            <w:webHidden/>
          </w:rPr>
          <w:fldChar w:fldCharType="separate"/>
        </w:r>
        <w:r>
          <w:rPr>
            <w:noProof/>
            <w:webHidden/>
          </w:rPr>
          <w:t>35</w:t>
        </w:r>
        <w:r>
          <w:rPr>
            <w:noProof/>
            <w:webHidden/>
          </w:rPr>
          <w:fldChar w:fldCharType="end"/>
        </w:r>
      </w:hyperlink>
    </w:p>
    <w:p w14:paraId="1164AE78" w14:textId="77777777" w:rsidR="00564E5C" w:rsidRDefault="00564E5C">
      <w:pPr>
        <w:pStyle w:val="TOC3"/>
        <w:rPr>
          <w:rFonts w:asciiTheme="minorHAnsi" w:eastAsiaTheme="minorEastAsia" w:hAnsiTheme="minorHAnsi" w:cstheme="minorBidi"/>
          <w:noProof/>
          <w:sz w:val="22"/>
          <w:szCs w:val="22"/>
        </w:rPr>
      </w:pPr>
      <w:hyperlink w:anchor="_Toc433964552" w:history="1">
        <w:r w:rsidRPr="00042B5F">
          <w:rPr>
            <w:rStyle w:val="Hyperlink"/>
            <w:noProof/>
          </w:rPr>
          <w:t>8.1.2</w:t>
        </w:r>
        <w:r>
          <w:rPr>
            <w:rFonts w:asciiTheme="minorHAnsi" w:eastAsiaTheme="minorEastAsia" w:hAnsiTheme="minorHAnsi" w:cstheme="minorBidi"/>
            <w:noProof/>
            <w:sz w:val="22"/>
            <w:szCs w:val="22"/>
          </w:rPr>
          <w:tab/>
        </w:r>
        <w:r w:rsidRPr="00042B5F">
          <w:rPr>
            <w:rStyle w:val="Hyperlink"/>
            <w:noProof/>
          </w:rPr>
          <w:t>Landfill</w:t>
        </w:r>
        <w:r>
          <w:rPr>
            <w:noProof/>
            <w:webHidden/>
          </w:rPr>
          <w:tab/>
        </w:r>
        <w:r>
          <w:rPr>
            <w:noProof/>
            <w:webHidden/>
          </w:rPr>
          <w:fldChar w:fldCharType="begin"/>
        </w:r>
        <w:r>
          <w:rPr>
            <w:noProof/>
            <w:webHidden/>
          </w:rPr>
          <w:instrText xml:space="preserve"> PAGEREF _Toc433964552 \h </w:instrText>
        </w:r>
        <w:r>
          <w:rPr>
            <w:noProof/>
            <w:webHidden/>
          </w:rPr>
        </w:r>
        <w:r>
          <w:rPr>
            <w:noProof/>
            <w:webHidden/>
          </w:rPr>
          <w:fldChar w:fldCharType="separate"/>
        </w:r>
        <w:r>
          <w:rPr>
            <w:noProof/>
            <w:webHidden/>
          </w:rPr>
          <w:t>36</w:t>
        </w:r>
        <w:r>
          <w:rPr>
            <w:noProof/>
            <w:webHidden/>
          </w:rPr>
          <w:fldChar w:fldCharType="end"/>
        </w:r>
      </w:hyperlink>
    </w:p>
    <w:p w14:paraId="5E85F999" w14:textId="77777777" w:rsidR="00564E5C" w:rsidRDefault="00564E5C">
      <w:pPr>
        <w:pStyle w:val="TOC3"/>
        <w:rPr>
          <w:rFonts w:asciiTheme="minorHAnsi" w:eastAsiaTheme="minorEastAsia" w:hAnsiTheme="minorHAnsi" w:cstheme="minorBidi"/>
          <w:noProof/>
          <w:sz w:val="22"/>
          <w:szCs w:val="22"/>
        </w:rPr>
      </w:pPr>
      <w:hyperlink w:anchor="_Toc433964553" w:history="1">
        <w:r w:rsidRPr="00042B5F">
          <w:rPr>
            <w:rStyle w:val="Hyperlink"/>
            <w:noProof/>
          </w:rPr>
          <w:t>8.1.3</w:t>
        </w:r>
        <w:r>
          <w:rPr>
            <w:rFonts w:asciiTheme="minorHAnsi" w:eastAsiaTheme="minorEastAsia" w:hAnsiTheme="minorHAnsi" w:cstheme="minorBidi"/>
            <w:noProof/>
            <w:sz w:val="22"/>
            <w:szCs w:val="22"/>
          </w:rPr>
          <w:tab/>
        </w:r>
        <w:r w:rsidRPr="00042B5F">
          <w:rPr>
            <w:rStyle w:val="Hyperlink"/>
            <w:noProof/>
          </w:rPr>
          <w:t>Sorting – Materials Recovery Facility</w:t>
        </w:r>
        <w:r>
          <w:rPr>
            <w:noProof/>
            <w:webHidden/>
          </w:rPr>
          <w:tab/>
        </w:r>
        <w:r>
          <w:rPr>
            <w:noProof/>
            <w:webHidden/>
          </w:rPr>
          <w:fldChar w:fldCharType="begin"/>
        </w:r>
        <w:r>
          <w:rPr>
            <w:noProof/>
            <w:webHidden/>
          </w:rPr>
          <w:instrText xml:space="preserve"> PAGEREF _Toc433964553 \h </w:instrText>
        </w:r>
        <w:r>
          <w:rPr>
            <w:noProof/>
            <w:webHidden/>
          </w:rPr>
        </w:r>
        <w:r>
          <w:rPr>
            <w:noProof/>
            <w:webHidden/>
          </w:rPr>
          <w:fldChar w:fldCharType="separate"/>
        </w:r>
        <w:r>
          <w:rPr>
            <w:noProof/>
            <w:webHidden/>
          </w:rPr>
          <w:t>41</w:t>
        </w:r>
        <w:r>
          <w:rPr>
            <w:noProof/>
            <w:webHidden/>
          </w:rPr>
          <w:fldChar w:fldCharType="end"/>
        </w:r>
      </w:hyperlink>
    </w:p>
    <w:p w14:paraId="54C551C6" w14:textId="77777777" w:rsidR="00564E5C" w:rsidRDefault="00564E5C">
      <w:pPr>
        <w:pStyle w:val="TOC3"/>
        <w:rPr>
          <w:rFonts w:asciiTheme="minorHAnsi" w:eastAsiaTheme="minorEastAsia" w:hAnsiTheme="minorHAnsi" w:cstheme="minorBidi"/>
          <w:noProof/>
          <w:sz w:val="22"/>
          <w:szCs w:val="22"/>
        </w:rPr>
      </w:pPr>
      <w:hyperlink w:anchor="_Toc433964554" w:history="1">
        <w:r w:rsidRPr="00042B5F">
          <w:rPr>
            <w:rStyle w:val="Hyperlink"/>
            <w:noProof/>
          </w:rPr>
          <w:t>8.1.4</w:t>
        </w:r>
        <w:r>
          <w:rPr>
            <w:rFonts w:asciiTheme="minorHAnsi" w:eastAsiaTheme="minorEastAsia" w:hAnsiTheme="minorHAnsi" w:cstheme="minorBidi"/>
            <w:noProof/>
            <w:sz w:val="22"/>
            <w:szCs w:val="22"/>
          </w:rPr>
          <w:tab/>
        </w:r>
        <w:r w:rsidRPr="00042B5F">
          <w:rPr>
            <w:rStyle w:val="Hyperlink"/>
            <w:noProof/>
          </w:rPr>
          <w:t>Treatment of garden and green waste</w:t>
        </w:r>
        <w:r>
          <w:rPr>
            <w:noProof/>
            <w:webHidden/>
          </w:rPr>
          <w:tab/>
        </w:r>
        <w:r>
          <w:rPr>
            <w:noProof/>
            <w:webHidden/>
          </w:rPr>
          <w:fldChar w:fldCharType="begin"/>
        </w:r>
        <w:r>
          <w:rPr>
            <w:noProof/>
            <w:webHidden/>
          </w:rPr>
          <w:instrText xml:space="preserve"> PAGEREF _Toc433964554 \h </w:instrText>
        </w:r>
        <w:r>
          <w:rPr>
            <w:noProof/>
            <w:webHidden/>
          </w:rPr>
        </w:r>
        <w:r>
          <w:rPr>
            <w:noProof/>
            <w:webHidden/>
          </w:rPr>
          <w:fldChar w:fldCharType="separate"/>
        </w:r>
        <w:r>
          <w:rPr>
            <w:noProof/>
            <w:webHidden/>
          </w:rPr>
          <w:t>42</w:t>
        </w:r>
        <w:r>
          <w:rPr>
            <w:noProof/>
            <w:webHidden/>
          </w:rPr>
          <w:fldChar w:fldCharType="end"/>
        </w:r>
      </w:hyperlink>
    </w:p>
    <w:p w14:paraId="30DF080D" w14:textId="77777777" w:rsidR="00564E5C" w:rsidRDefault="00564E5C">
      <w:pPr>
        <w:pStyle w:val="TOC3"/>
        <w:rPr>
          <w:rFonts w:asciiTheme="minorHAnsi" w:eastAsiaTheme="minorEastAsia" w:hAnsiTheme="minorHAnsi" w:cstheme="minorBidi"/>
          <w:noProof/>
          <w:sz w:val="22"/>
          <w:szCs w:val="22"/>
        </w:rPr>
      </w:pPr>
      <w:hyperlink w:anchor="_Toc433964555" w:history="1">
        <w:r w:rsidRPr="00042B5F">
          <w:rPr>
            <w:rStyle w:val="Hyperlink"/>
            <w:noProof/>
          </w:rPr>
          <w:t>8.1.5</w:t>
        </w:r>
        <w:r>
          <w:rPr>
            <w:rFonts w:asciiTheme="minorHAnsi" w:eastAsiaTheme="minorEastAsia" w:hAnsiTheme="minorHAnsi" w:cstheme="minorBidi"/>
            <w:noProof/>
            <w:sz w:val="22"/>
            <w:szCs w:val="22"/>
          </w:rPr>
          <w:tab/>
        </w:r>
        <w:r w:rsidRPr="00042B5F">
          <w:rPr>
            <w:rStyle w:val="Hyperlink"/>
            <w:noProof/>
          </w:rPr>
          <w:t>Treatment of waste paper</w:t>
        </w:r>
        <w:r>
          <w:rPr>
            <w:noProof/>
            <w:webHidden/>
          </w:rPr>
          <w:tab/>
        </w:r>
        <w:r>
          <w:rPr>
            <w:noProof/>
            <w:webHidden/>
          </w:rPr>
          <w:fldChar w:fldCharType="begin"/>
        </w:r>
        <w:r>
          <w:rPr>
            <w:noProof/>
            <w:webHidden/>
          </w:rPr>
          <w:instrText xml:space="preserve"> PAGEREF _Toc433964555 \h </w:instrText>
        </w:r>
        <w:r>
          <w:rPr>
            <w:noProof/>
            <w:webHidden/>
          </w:rPr>
        </w:r>
        <w:r>
          <w:rPr>
            <w:noProof/>
            <w:webHidden/>
          </w:rPr>
          <w:fldChar w:fldCharType="separate"/>
        </w:r>
        <w:r>
          <w:rPr>
            <w:noProof/>
            <w:webHidden/>
          </w:rPr>
          <w:t>43</w:t>
        </w:r>
        <w:r>
          <w:rPr>
            <w:noProof/>
            <w:webHidden/>
          </w:rPr>
          <w:fldChar w:fldCharType="end"/>
        </w:r>
      </w:hyperlink>
    </w:p>
    <w:p w14:paraId="77449C82" w14:textId="77777777" w:rsidR="00564E5C" w:rsidRDefault="00564E5C">
      <w:pPr>
        <w:pStyle w:val="TOC3"/>
        <w:rPr>
          <w:rFonts w:asciiTheme="minorHAnsi" w:eastAsiaTheme="minorEastAsia" w:hAnsiTheme="minorHAnsi" w:cstheme="minorBidi"/>
          <w:noProof/>
          <w:sz w:val="22"/>
          <w:szCs w:val="22"/>
        </w:rPr>
      </w:pPr>
      <w:hyperlink w:anchor="_Toc433964556" w:history="1">
        <w:r w:rsidRPr="00042B5F">
          <w:rPr>
            <w:rStyle w:val="Hyperlink"/>
            <w:noProof/>
          </w:rPr>
          <w:t>8.1.6</w:t>
        </w:r>
        <w:r>
          <w:rPr>
            <w:rFonts w:asciiTheme="minorHAnsi" w:eastAsiaTheme="minorEastAsia" w:hAnsiTheme="minorHAnsi" w:cstheme="minorBidi"/>
            <w:noProof/>
            <w:sz w:val="22"/>
            <w:szCs w:val="22"/>
          </w:rPr>
          <w:tab/>
        </w:r>
        <w:r w:rsidRPr="00042B5F">
          <w:rPr>
            <w:rStyle w:val="Hyperlink"/>
            <w:noProof/>
          </w:rPr>
          <w:t>Treatment of waste glass</w:t>
        </w:r>
        <w:r>
          <w:rPr>
            <w:noProof/>
            <w:webHidden/>
          </w:rPr>
          <w:tab/>
        </w:r>
        <w:r>
          <w:rPr>
            <w:noProof/>
            <w:webHidden/>
          </w:rPr>
          <w:fldChar w:fldCharType="begin"/>
        </w:r>
        <w:r>
          <w:rPr>
            <w:noProof/>
            <w:webHidden/>
          </w:rPr>
          <w:instrText xml:space="preserve"> PAGEREF _Toc433964556 \h </w:instrText>
        </w:r>
        <w:r>
          <w:rPr>
            <w:noProof/>
            <w:webHidden/>
          </w:rPr>
        </w:r>
        <w:r>
          <w:rPr>
            <w:noProof/>
            <w:webHidden/>
          </w:rPr>
          <w:fldChar w:fldCharType="separate"/>
        </w:r>
        <w:r>
          <w:rPr>
            <w:noProof/>
            <w:webHidden/>
          </w:rPr>
          <w:t>44</w:t>
        </w:r>
        <w:r>
          <w:rPr>
            <w:noProof/>
            <w:webHidden/>
          </w:rPr>
          <w:fldChar w:fldCharType="end"/>
        </w:r>
      </w:hyperlink>
    </w:p>
    <w:p w14:paraId="1E351380" w14:textId="77777777" w:rsidR="00564E5C" w:rsidRDefault="00564E5C">
      <w:pPr>
        <w:pStyle w:val="TOC3"/>
        <w:rPr>
          <w:rFonts w:asciiTheme="minorHAnsi" w:eastAsiaTheme="minorEastAsia" w:hAnsiTheme="minorHAnsi" w:cstheme="minorBidi"/>
          <w:noProof/>
          <w:sz w:val="22"/>
          <w:szCs w:val="22"/>
        </w:rPr>
      </w:pPr>
      <w:hyperlink w:anchor="_Toc433964557" w:history="1">
        <w:r w:rsidRPr="00042B5F">
          <w:rPr>
            <w:rStyle w:val="Hyperlink"/>
            <w:noProof/>
          </w:rPr>
          <w:t>8.1.7</w:t>
        </w:r>
        <w:r>
          <w:rPr>
            <w:rFonts w:asciiTheme="minorHAnsi" w:eastAsiaTheme="minorEastAsia" w:hAnsiTheme="minorHAnsi" w:cstheme="minorBidi"/>
            <w:noProof/>
            <w:sz w:val="22"/>
            <w:szCs w:val="22"/>
          </w:rPr>
          <w:tab/>
        </w:r>
        <w:r w:rsidRPr="00042B5F">
          <w:rPr>
            <w:rStyle w:val="Hyperlink"/>
            <w:noProof/>
          </w:rPr>
          <w:t>Treatment of waste aluminium cans</w:t>
        </w:r>
        <w:r>
          <w:rPr>
            <w:noProof/>
            <w:webHidden/>
          </w:rPr>
          <w:tab/>
        </w:r>
        <w:r>
          <w:rPr>
            <w:noProof/>
            <w:webHidden/>
          </w:rPr>
          <w:fldChar w:fldCharType="begin"/>
        </w:r>
        <w:r>
          <w:rPr>
            <w:noProof/>
            <w:webHidden/>
          </w:rPr>
          <w:instrText xml:space="preserve"> PAGEREF _Toc433964557 \h </w:instrText>
        </w:r>
        <w:r>
          <w:rPr>
            <w:noProof/>
            <w:webHidden/>
          </w:rPr>
        </w:r>
        <w:r>
          <w:rPr>
            <w:noProof/>
            <w:webHidden/>
          </w:rPr>
          <w:fldChar w:fldCharType="separate"/>
        </w:r>
        <w:r>
          <w:rPr>
            <w:noProof/>
            <w:webHidden/>
          </w:rPr>
          <w:t>46</w:t>
        </w:r>
        <w:r>
          <w:rPr>
            <w:noProof/>
            <w:webHidden/>
          </w:rPr>
          <w:fldChar w:fldCharType="end"/>
        </w:r>
      </w:hyperlink>
    </w:p>
    <w:p w14:paraId="7539DB1B" w14:textId="77777777" w:rsidR="00564E5C" w:rsidRDefault="00564E5C">
      <w:pPr>
        <w:pStyle w:val="TOC3"/>
        <w:rPr>
          <w:rFonts w:asciiTheme="minorHAnsi" w:eastAsiaTheme="minorEastAsia" w:hAnsiTheme="minorHAnsi" w:cstheme="minorBidi"/>
          <w:noProof/>
          <w:sz w:val="22"/>
          <w:szCs w:val="22"/>
        </w:rPr>
      </w:pPr>
      <w:hyperlink w:anchor="_Toc433964558" w:history="1">
        <w:r w:rsidRPr="00042B5F">
          <w:rPr>
            <w:rStyle w:val="Hyperlink"/>
            <w:noProof/>
          </w:rPr>
          <w:t>8.1.8</w:t>
        </w:r>
        <w:r>
          <w:rPr>
            <w:rFonts w:asciiTheme="minorHAnsi" w:eastAsiaTheme="minorEastAsia" w:hAnsiTheme="minorHAnsi" w:cstheme="minorBidi"/>
            <w:noProof/>
            <w:sz w:val="22"/>
            <w:szCs w:val="22"/>
          </w:rPr>
          <w:tab/>
        </w:r>
        <w:r w:rsidRPr="00042B5F">
          <w:rPr>
            <w:rStyle w:val="Hyperlink"/>
            <w:noProof/>
          </w:rPr>
          <w:t>Treatment of waste steel cans</w:t>
        </w:r>
        <w:r>
          <w:rPr>
            <w:noProof/>
            <w:webHidden/>
          </w:rPr>
          <w:tab/>
        </w:r>
        <w:r>
          <w:rPr>
            <w:noProof/>
            <w:webHidden/>
          </w:rPr>
          <w:fldChar w:fldCharType="begin"/>
        </w:r>
        <w:r>
          <w:rPr>
            <w:noProof/>
            <w:webHidden/>
          </w:rPr>
          <w:instrText xml:space="preserve"> PAGEREF _Toc433964558 \h </w:instrText>
        </w:r>
        <w:r>
          <w:rPr>
            <w:noProof/>
            <w:webHidden/>
          </w:rPr>
        </w:r>
        <w:r>
          <w:rPr>
            <w:noProof/>
            <w:webHidden/>
          </w:rPr>
          <w:fldChar w:fldCharType="separate"/>
        </w:r>
        <w:r>
          <w:rPr>
            <w:noProof/>
            <w:webHidden/>
          </w:rPr>
          <w:t>48</w:t>
        </w:r>
        <w:r>
          <w:rPr>
            <w:noProof/>
            <w:webHidden/>
          </w:rPr>
          <w:fldChar w:fldCharType="end"/>
        </w:r>
      </w:hyperlink>
    </w:p>
    <w:p w14:paraId="47979132" w14:textId="77777777" w:rsidR="00564E5C" w:rsidRDefault="00564E5C">
      <w:pPr>
        <w:pStyle w:val="TOC3"/>
        <w:rPr>
          <w:rFonts w:asciiTheme="minorHAnsi" w:eastAsiaTheme="minorEastAsia" w:hAnsiTheme="minorHAnsi" w:cstheme="minorBidi"/>
          <w:noProof/>
          <w:sz w:val="22"/>
          <w:szCs w:val="22"/>
        </w:rPr>
      </w:pPr>
      <w:hyperlink w:anchor="_Toc433964559" w:history="1">
        <w:r w:rsidRPr="00042B5F">
          <w:rPr>
            <w:rStyle w:val="Hyperlink"/>
            <w:noProof/>
          </w:rPr>
          <w:t>8.1.9</w:t>
        </w:r>
        <w:r>
          <w:rPr>
            <w:rFonts w:asciiTheme="minorHAnsi" w:eastAsiaTheme="minorEastAsia" w:hAnsiTheme="minorHAnsi" w:cstheme="minorBidi"/>
            <w:noProof/>
            <w:sz w:val="22"/>
            <w:szCs w:val="22"/>
          </w:rPr>
          <w:tab/>
        </w:r>
        <w:r w:rsidRPr="00042B5F">
          <w:rPr>
            <w:rStyle w:val="Hyperlink"/>
            <w:noProof/>
          </w:rPr>
          <w:t>Treatment of waste PET, HDPE and mixed plastics</w:t>
        </w:r>
        <w:r>
          <w:rPr>
            <w:noProof/>
            <w:webHidden/>
          </w:rPr>
          <w:tab/>
        </w:r>
        <w:r>
          <w:rPr>
            <w:noProof/>
            <w:webHidden/>
          </w:rPr>
          <w:fldChar w:fldCharType="begin"/>
        </w:r>
        <w:r>
          <w:rPr>
            <w:noProof/>
            <w:webHidden/>
          </w:rPr>
          <w:instrText xml:space="preserve"> PAGEREF _Toc433964559 \h </w:instrText>
        </w:r>
        <w:r>
          <w:rPr>
            <w:noProof/>
            <w:webHidden/>
          </w:rPr>
        </w:r>
        <w:r>
          <w:rPr>
            <w:noProof/>
            <w:webHidden/>
          </w:rPr>
          <w:fldChar w:fldCharType="separate"/>
        </w:r>
        <w:r>
          <w:rPr>
            <w:noProof/>
            <w:webHidden/>
          </w:rPr>
          <w:t>50</w:t>
        </w:r>
        <w:r>
          <w:rPr>
            <w:noProof/>
            <w:webHidden/>
          </w:rPr>
          <w:fldChar w:fldCharType="end"/>
        </w:r>
      </w:hyperlink>
    </w:p>
    <w:p w14:paraId="1CAA04B5" w14:textId="77777777" w:rsidR="00564E5C" w:rsidRDefault="00564E5C">
      <w:pPr>
        <w:pStyle w:val="TOC2"/>
        <w:rPr>
          <w:rFonts w:asciiTheme="minorHAnsi" w:eastAsiaTheme="minorEastAsia" w:hAnsiTheme="minorHAnsi" w:cstheme="minorBidi"/>
          <w:noProof/>
          <w:sz w:val="22"/>
          <w:szCs w:val="22"/>
        </w:rPr>
      </w:pPr>
      <w:hyperlink w:anchor="_Toc433964560" w:history="1">
        <w:r w:rsidRPr="00042B5F">
          <w:rPr>
            <w:rStyle w:val="Hyperlink"/>
            <w:noProof/>
          </w:rPr>
          <w:t>8.2</w:t>
        </w:r>
        <w:r>
          <w:rPr>
            <w:rFonts w:asciiTheme="minorHAnsi" w:eastAsiaTheme="minorEastAsia" w:hAnsiTheme="minorHAnsi" w:cstheme="minorBidi"/>
            <w:noProof/>
            <w:sz w:val="22"/>
            <w:szCs w:val="22"/>
          </w:rPr>
          <w:tab/>
        </w:r>
        <w:r w:rsidRPr="00042B5F">
          <w:rPr>
            <w:rStyle w:val="Hyperlink"/>
            <w:noProof/>
          </w:rPr>
          <w:t>Key assumptions for each material</w:t>
        </w:r>
        <w:r>
          <w:rPr>
            <w:noProof/>
            <w:webHidden/>
          </w:rPr>
          <w:tab/>
        </w:r>
        <w:r>
          <w:rPr>
            <w:noProof/>
            <w:webHidden/>
          </w:rPr>
          <w:fldChar w:fldCharType="begin"/>
        </w:r>
        <w:r>
          <w:rPr>
            <w:noProof/>
            <w:webHidden/>
          </w:rPr>
          <w:instrText xml:space="preserve"> PAGEREF _Toc433964560 \h </w:instrText>
        </w:r>
        <w:r>
          <w:rPr>
            <w:noProof/>
            <w:webHidden/>
          </w:rPr>
        </w:r>
        <w:r>
          <w:rPr>
            <w:noProof/>
            <w:webHidden/>
          </w:rPr>
          <w:fldChar w:fldCharType="separate"/>
        </w:r>
        <w:r>
          <w:rPr>
            <w:noProof/>
            <w:webHidden/>
          </w:rPr>
          <w:t>56</w:t>
        </w:r>
        <w:r>
          <w:rPr>
            <w:noProof/>
            <w:webHidden/>
          </w:rPr>
          <w:fldChar w:fldCharType="end"/>
        </w:r>
      </w:hyperlink>
    </w:p>
    <w:p w14:paraId="4183498D" w14:textId="77777777" w:rsidR="00564E5C" w:rsidRDefault="00564E5C">
      <w:pPr>
        <w:pStyle w:val="TOC2"/>
        <w:rPr>
          <w:rFonts w:asciiTheme="minorHAnsi" w:eastAsiaTheme="minorEastAsia" w:hAnsiTheme="minorHAnsi" w:cstheme="minorBidi"/>
          <w:noProof/>
          <w:sz w:val="22"/>
          <w:szCs w:val="22"/>
        </w:rPr>
      </w:pPr>
      <w:hyperlink w:anchor="_Toc433964561" w:history="1">
        <w:r w:rsidRPr="00042B5F">
          <w:rPr>
            <w:rStyle w:val="Hyperlink"/>
            <w:noProof/>
          </w:rPr>
          <w:t>8.3</w:t>
        </w:r>
        <w:r>
          <w:rPr>
            <w:rFonts w:asciiTheme="minorHAnsi" w:eastAsiaTheme="minorEastAsia" w:hAnsiTheme="minorHAnsi" w:cstheme="minorBidi"/>
            <w:noProof/>
            <w:sz w:val="22"/>
            <w:szCs w:val="22"/>
          </w:rPr>
          <w:tab/>
        </w:r>
        <w:r w:rsidRPr="00042B5F">
          <w:rPr>
            <w:rStyle w:val="Hyperlink"/>
            <w:noProof/>
          </w:rPr>
          <w:t>Resulting Elementary flows</w:t>
        </w:r>
        <w:r>
          <w:rPr>
            <w:noProof/>
            <w:webHidden/>
          </w:rPr>
          <w:tab/>
        </w:r>
        <w:r>
          <w:rPr>
            <w:noProof/>
            <w:webHidden/>
          </w:rPr>
          <w:fldChar w:fldCharType="begin"/>
        </w:r>
        <w:r>
          <w:rPr>
            <w:noProof/>
            <w:webHidden/>
          </w:rPr>
          <w:instrText xml:space="preserve"> PAGEREF _Toc433964561 \h </w:instrText>
        </w:r>
        <w:r>
          <w:rPr>
            <w:noProof/>
            <w:webHidden/>
          </w:rPr>
        </w:r>
        <w:r>
          <w:rPr>
            <w:noProof/>
            <w:webHidden/>
          </w:rPr>
          <w:fldChar w:fldCharType="separate"/>
        </w:r>
        <w:r>
          <w:rPr>
            <w:noProof/>
            <w:webHidden/>
          </w:rPr>
          <w:t>60</w:t>
        </w:r>
        <w:r>
          <w:rPr>
            <w:noProof/>
            <w:webHidden/>
          </w:rPr>
          <w:fldChar w:fldCharType="end"/>
        </w:r>
      </w:hyperlink>
    </w:p>
    <w:p w14:paraId="64A99018" w14:textId="77777777" w:rsidR="00564E5C" w:rsidRDefault="00564E5C">
      <w:pPr>
        <w:pStyle w:val="TOC1"/>
        <w:rPr>
          <w:rFonts w:asciiTheme="minorHAnsi" w:eastAsiaTheme="minorEastAsia" w:hAnsiTheme="minorHAnsi" w:cstheme="minorBidi"/>
          <w:noProof/>
          <w:sz w:val="22"/>
          <w:szCs w:val="22"/>
        </w:rPr>
      </w:pPr>
      <w:hyperlink w:anchor="_Toc433964562" w:history="1">
        <w:r w:rsidRPr="00042B5F">
          <w:rPr>
            <w:rStyle w:val="Hyperlink"/>
            <w:noProof/>
          </w:rPr>
          <w:t>9</w:t>
        </w:r>
        <w:r>
          <w:rPr>
            <w:rFonts w:asciiTheme="minorHAnsi" w:eastAsiaTheme="minorEastAsia" w:hAnsiTheme="minorHAnsi" w:cstheme="minorBidi"/>
            <w:noProof/>
            <w:sz w:val="22"/>
            <w:szCs w:val="22"/>
          </w:rPr>
          <w:tab/>
        </w:r>
        <w:r w:rsidRPr="00042B5F">
          <w:rPr>
            <w:rStyle w:val="Hyperlink"/>
            <w:noProof/>
          </w:rPr>
          <w:t>Results</w:t>
        </w:r>
        <w:r>
          <w:rPr>
            <w:noProof/>
            <w:webHidden/>
          </w:rPr>
          <w:tab/>
        </w:r>
        <w:r>
          <w:rPr>
            <w:noProof/>
            <w:webHidden/>
          </w:rPr>
          <w:fldChar w:fldCharType="begin"/>
        </w:r>
        <w:r>
          <w:rPr>
            <w:noProof/>
            <w:webHidden/>
          </w:rPr>
          <w:instrText xml:space="preserve"> PAGEREF _Toc433964562 \h </w:instrText>
        </w:r>
        <w:r>
          <w:rPr>
            <w:noProof/>
            <w:webHidden/>
          </w:rPr>
        </w:r>
        <w:r>
          <w:rPr>
            <w:noProof/>
            <w:webHidden/>
          </w:rPr>
          <w:fldChar w:fldCharType="separate"/>
        </w:r>
        <w:r>
          <w:rPr>
            <w:noProof/>
            <w:webHidden/>
          </w:rPr>
          <w:t>61</w:t>
        </w:r>
        <w:r>
          <w:rPr>
            <w:noProof/>
            <w:webHidden/>
          </w:rPr>
          <w:fldChar w:fldCharType="end"/>
        </w:r>
      </w:hyperlink>
    </w:p>
    <w:p w14:paraId="5809DBCF" w14:textId="77777777" w:rsidR="00564E5C" w:rsidRDefault="00564E5C">
      <w:pPr>
        <w:pStyle w:val="TOC1"/>
        <w:rPr>
          <w:rFonts w:asciiTheme="minorHAnsi" w:eastAsiaTheme="minorEastAsia" w:hAnsiTheme="minorHAnsi" w:cstheme="minorBidi"/>
          <w:noProof/>
          <w:sz w:val="22"/>
          <w:szCs w:val="22"/>
        </w:rPr>
      </w:pPr>
      <w:hyperlink w:anchor="_Toc433964563" w:history="1">
        <w:r w:rsidRPr="00042B5F">
          <w:rPr>
            <w:rStyle w:val="Hyperlink"/>
            <w:noProof/>
          </w:rPr>
          <w:t>10</w:t>
        </w:r>
        <w:r>
          <w:rPr>
            <w:rFonts w:asciiTheme="minorHAnsi" w:eastAsiaTheme="minorEastAsia" w:hAnsiTheme="minorHAnsi" w:cstheme="minorBidi"/>
            <w:noProof/>
            <w:sz w:val="22"/>
            <w:szCs w:val="22"/>
          </w:rPr>
          <w:tab/>
        </w:r>
        <w:r w:rsidRPr="00042B5F">
          <w:rPr>
            <w:rStyle w:val="Hyperlink"/>
            <w:noProof/>
          </w:rPr>
          <w:t>Discussion</w:t>
        </w:r>
        <w:r>
          <w:rPr>
            <w:noProof/>
            <w:webHidden/>
          </w:rPr>
          <w:tab/>
        </w:r>
        <w:r>
          <w:rPr>
            <w:noProof/>
            <w:webHidden/>
          </w:rPr>
          <w:fldChar w:fldCharType="begin"/>
        </w:r>
        <w:r>
          <w:rPr>
            <w:noProof/>
            <w:webHidden/>
          </w:rPr>
          <w:instrText xml:space="preserve"> PAGEREF _Toc433964563 \h </w:instrText>
        </w:r>
        <w:r>
          <w:rPr>
            <w:noProof/>
            <w:webHidden/>
          </w:rPr>
        </w:r>
        <w:r>
          <w:rPr>
            <w:noProof/>
            <w:webHidden/>
          </w:rPr>
          <w:fldChar w:fldCharType="separate"/>
        </w:r>
        <w:r>
          <w:rPr>
            <w:noProof/>
            <w:webHidden/>
          </w:rPr>
          <w:t>63</w:t>
        </w:r>
        <w:r>
          <w:rPr>
            <w:noProof/>
            <w:webHidden/>
          </w:rPr>
          <w:fldChar w:fldCharType="end"/>
        </w:r>
      </w:hyperlink>
    </w:p>
    <w:p w14:paraId="0D426E0B" w14:textId="77777777" w:rsidR="00564E5C" w:rsidRDefault="00564E5C">
      <w:pPr>
        <w:pStyle w:val="TOC2"/>
        <w:rPr>
          <w:rFonts w:asciiTheme="minorHAnsi" w:eastAsiaTheme="minorEastAsia" w:hAnsiTheme="minorHAnsi" w:cstheme="minorBidi"/>
          <w:noProof/>
          <w:sz w:val="22"/>
          <w:szCs w:val="22"/>
        </w:rPr>
      </w:pPr>
      <w:hyperlink w:anchor="_Toc433964564" w:history="1">
        <w:r w:rsidRPr="00042B5F">
          <w:rPr>
            <w:rStyle w:val="Hyperlink"/>
            <w:noProof/>
          </w:rPr>
          <w:t>10.1</w:t>
        </w:r>
        <w:r>
          <w:rPr>
            <w:rFonts w:asciiTheme="minorHAnsi" w:eastAsiaTheme="minorEastAsia" w:hAnsiTheme="minorHAnsi" w:cstheme="minorBidi"/>
            <w:noProof/>
            <w:sz w:val="22"/>
            <w:szCs w:val="22"/>
          </w:rPr>
          <w:tab/>
        </w:r>
        <w:r w:rsidRPr="00042B5F">
          <w:rPr>
            <w:rStyle w:val="Hyperlink"/>
            <w:noProof/>
          </w:rPr>
          <w:t>Directional conclusions</w:t>
        </w:r>
        <w:r>
          <w:rPr>
            <w:noProof/>
            <w:webHidden/>
          </w:rPr>
          <w:tab/>
        </w:r>
        <w:r>
          <w:rPr>
            <w:noProof/>
            <w:webHidden/>
          </w:rPr>
          <w:fldChar w:fldCharType="begin"/>
        </w:r>
        <w:r>
          <w:rPr>
            <w:noProof/>
            <w:webHidden/>
          </w:rPr>
          <w:instrText xml:space="preserve"> PAGEREF _Toc433964564 \h </w:instrText>
        </w:r>
        <w:r>
          <w:rPr>
            <w:noProof/>
            <w:webHidden/>
          </w:rPr>
        </w:r>
        <w:r>
          <w:rPr>
            <w:noProof/>
            <w:webHidden/>
          </w:rPr>
          <w:fldChar w:fldCharType="separate"/>
        </w:r>
        <w:r>
          <w:rPr>
            <w:noProof/>
            <w:webHidden/>
          </w:rPr>
          <w:t>63</w:t>
        </w:r>
        <w:r>
          <w:rPr>
            <w:noProof/>
            <w:webHidden/>
          </w:rPr>
          <w:fldChar w:fldCharType="end"/>
        </w:r>
      </w:hyperlink>
    </w:p>
    <w:p w14:paraId="4884474E" w14:textId="77777777" w:rsidR="00564E5C" w:rsidRDefault="00564E5C">
      <w:pPr>
        <w:pStyle w:val="TOC2"/>
        <w:rPr>
          <w:rFonts w:asciiTheme="minorHAnsi" w:eastAsiaTheme="minorEastAsia" w:hAnsiTheme="minorHAnsi" w:cstheme="minorBidi"/>
          <w:noProof/>
          <w:sz w:val="22"/>
          <w:szCs w:val="22"/>
        </w:rPr>
      </w:pPr>
      <w:hyperlink w:anchor="_Toc433964565" w:history="1">
        <w:r w:rsidRPr="00042B5F">
          <w:rPr>
            <w:rStyle w:val="Hyperlink"/>
            <w:noProof/>
          </w:rPr>
          <w:t>10.2</w:t>
        </w:r>
        <w:r>
          <w:rPr>
            <w:rFonts w:asciiTheme="minorHAnsi" w:eastAsiaTheme="minorEastAsia" w:hAnsiTheme="minorHAnsi" w:cstheme="minorBidi"/>
            <w:noProof/>
            <w:sz w:val="22"/>
            <w:szCs w:val="22"/>
          </w:rPr>
          <w:tab/>
        </w:r>
        <w:r w:rsidRPr="00042B5F">
          <w:rPr>
            <w:rStyle w:val="Hyperlink"/>
            <w:noProof/>
          </w:rPr>
          <w:t>Global warming</w:t>
        </w:r>
        <w:r>
          <w:rPr>
            <w:noProof/>
            <w:webHidden/>
          </w:rPr>
          <w:tab/>
        </w:r>
        <w:r>
          <w:rPr>
            <w:noProof/>
            <w:webHidden/>
          </w:rPr>
          <w:fldChar w:fldCharType="begin"/>
        </w:r>
        <w:r>
          <w:rPr>
            <w:noProof/>
            <w:webHidden/>
          </w:rPr>
          <w:instrText xml:space="preserve"> PAGEREF _Toc433964565 \h </w:instrText>
        </w:r>
        <w:r>
          <w:rPr>
            <w:noProof/>
            <w:webHidden/>
          </w:rPr>
        </w:r>
        <w:r>
          <w:rPr>
            <w:noProof/>
            <w:webHidden/>
          </w:rPr>
          <w:fldChar w:fldCharType="separate"/>
        </w:r>
        <w:r>
          <w:rPr>
            <w:noProof/>
            <w:webHidden/>
          </w:rPr>
          <w:t>64</w:t>
        </w:r>
        <w:r>
          <w:rPr>
            <w:noProof/>
            <w:webHidden/>
          </w:rPr>
          <w:fldChar w:fldCharType="end"/>
        </w:r>
      </w:hyperlink>
    </w:p>
    <w:p w14:paraId="15B054BA" w14:textId="77777777" w:rsidR="00564E5C" w:rsidRDefault="00564E5C">
      <w:pPr>
        <w:pStyle w:val="TOC2"/>
        <w:rPr>
          <w:rFonts w:asciiTheme="minorHAnsi" w:eastAsiaTheme="minorEastAsia" w:hAnsiTheme="minorHAnsi" w:cstheme="minorBidi"/>
          <w:noProof/>
          <w:sz w:val="22"/>
          <w:szCs w:val="22"/>
        </w:rPr>
      </w:pPr>
      <w:hyperlink w:anchor="_Toc433964566" w:history="1">
        <w:r w:rsidRPr="00042B5F">
          <w:rPr>
            <w:rStyle w:val="Hyperlink"/>
            <w:noProof/>
          </w:rPr>
          <w:t>10.3</w:t>
        </w:r>
        <w:r>
          <w:rPr>
            <w:rFonts w:asciiTheme="minorHAnsi" w:eastAsiaTheme="minorEastAsia" w:hAnsiTheme="minorHAnsi" w:cstheme="minorBidi"/>
            <w:noProof/>
            <w:sz w:val="22"/>
            <w:szCs w:val="22"/>
          </w:rPr>
          <w:tab/>
        </w:r>
        <w:r w:rsidRPr="00042B5F">
          <w:rPr>
            <w:rStyle w:val="Hyperlink"/>
            <w:noProof/>
          </w:rPr>
          <w:t>Eutrophication</w:t>
        </w:r>
        <w:r>
          <w:rPr>
            <w:noProof/>
            <w:webHidden/>
          </w:rPr>
          <w:tab/>
        </w:r>
        <w:r>
          <w:rPr>
            <w:noProof/>
            <w:webHidden/>
          </w:rPr>
          <w:fldChar w:fldCharType="begin"/>
        </w:r>
        <w:r>
          <w:rPr>
            <w:noProof/>
            <w:webHidden/>
          </w:rPr>
          <w:instrText xml:space="preserve"> PAGEREF _Toc433964566 \h </w:instrText>
        </w:r>
        <w:r>
          <w:rPr>
            <w:noProof/>
            <w:webHidden/>
          </w:rPr>
        </w:r>
        <w:r>
          <w:rPr>
            <w:noProof/>
            <w:webHidden/>
          </w:rPr>
          <w:fldChar w:fldCharType="separate"/>
        </w:r>
        <w:r>
          <w:rPr>
            <w:noProof/>
            <w:webHidden/>
          </w:rPr>
          <w:t>65</w:t>
        </w:r>
        <w:r>
          <w:rPr>
            <w:noProof/>
            <w:webHidden/>
          </w:rPr>
          <w:fldChar w:fldCharType="end"/>
        </w:r>
      </w:hyperlink>
    </w:p>
    <w:p w14:paraId="28AF31CC" w14:textId="77777777" w:rsidR="00564E5C" w:rsidRDefault="00564E5C">
      <w:pPr>
        <w:pStyle w:val="TOC2"/>
        <w:rPr>
          <w:rFonts w:asciiTheme="minorHAnsi" w:eastAsiaTheme="minorEastAsia" w:hAnsiTheme="minorHAnsi" w:cstheme="minorBidi"/>
          <w:noProof/>
          <w:sz w:val="22"/>
          <w:szCs w:val="22"/>
        </w:rPr>
      </w:pPr>
      <w:hyperlink w:anchor="_Toc433964567" w:history="1">
        <w:r w:rsidRPr="00042B5F">
          <w:rPr>
            <w:rStyle w:val="Hyperlink"/>
            <w:noProof/>
          </w:rPr>
          <w:t>10.4</w:t>
        </w:r>
        <w:r>
          <w:rPr>
            <w:rFonts w:asciiTheme="minorHAnsi" w:eastAsiaTheme="minorEastAsia" w:hAnsiTheme="minorHAnsi" w:cstheme="minorBidi"/>
            <w:noProof/>
            <w:sz w:val="22"/>
            <w:szCs w:val="22"/>
          </w:rPr>
          <w:tab/>
        </w:r>
        <w:r w:rsidRPr="00042B5F">
          <w:rPr>
            <w:rStyle w:val="Hyperlink"/>
            <w:noProof/>
          </w:rPr>
          <w:t>Photochemical Oxidation</w:t>
        </w:r>
        <w:r>
          <w:rPr>
            <w:noProof/>
            <w:webHidden/>
          </w:rPr>
          <w:tab/>
        </w:r>
        <w:r>
          <w:rPr>
            <w:noProof/>
            <w:webHidden/>
          </w:rPr>
          <w:fldChar w:fldCharType="begin"/>
        </w:r>
        <w:r>
          <w:rPr>
            <w:noProof/>
            <w:webHidden/>
          </w:rPr>
          <w:instrText xml:space="preserve"> PAGEREF _Toc433964567 \h </w:instrText>
        </w:r>
        <w:r>
          <w:rPr>
            <w:noProof/>
            <w:webHidden/>
          </w:rPr>
        </w:r>
        <w:r>
          <w:rPr>
            <w:noProof/>
            <w:webHidden/>
          </w:rPr>
          <w:fldChar w:fldCharType="separate"/>
        </w:r>
        <w:r>
          <w:rPr>
            <w:noProof/>
            <w:webHidden/>
          </w:rPr>
          <w:t>66</w:t>
        </w:r>
        <w:r>
          <w:rPr>
            <w:noProof/>
            <w:webHidden/>
          </w:rPr>
          <w:fldChar w:fldCharType="end"/>
        </w:r>
      </w:hyperlink>
    </w:p>
    <w:p w14:paraId="64162ADC" w14:textId="77777777" w:rsidR="00564E5C" w:rsidRDefault="00564E5C">
      <w:pPr>
        <w:pStyle w:val="TOC2"/>
        <w:rPr>
          <w:rFonts w:asciiTheme="minorHAnsi" w:eastAsiaTheme="minorEastAsia" w:hAnsiTheme="minorHAnsi" w:cstheme="minorBidi"/>
          <w:noProof/>
          <w:sz w:val="22"/>
          <w:szCs w:val="22"/>
        </w:rPr>
      </w:pPr>
      <w:hyperlink w:anchor="_Toc433964568" w:history="1">
        <w:r w:rsidRPr="00042B5F">
          <w:rPr>
            <w:rStyle w:val="Hyperlink"/>
            <w:noProof/>
          </w:rPr>
          <w:t>10.5</w:t>
        </w:r>
        <w:r>
          <w:rPr>
            <w:rFonts w:asciiTheme="minorHAnsi" w:eastAsiaTheme="minorEastAsia" w:hAnsiTheme="minorHAnsi" w:cstheme="minorBidi"/>
            <w:noProof/>
            <w:sz w:val="22"/>
            <w:szCs w:val="22"/>
          </w:rPr>
          <w:tab/>
        </w:r>
        <w:r w:rsidRPr="00042B5F">
          <w:rPr>
            <w:rStyle w:val="Hyperlink"/>
            <w:noProof/>
          </w:rPr>
          <w:t>Minerals Depletion</w:t>
        </w:r>
        <w:r>
          <w:rPr>
            <w:noProof/>
            <w:webHidden/>
          </w:rPr>
          <w:tab/>
        </w:r>
        <w:r>
          <w:rPr>
            <w:noProof/>
            <w:webHidden/>
          </w:rPr>
          <w:fldChar w:fldCharType="begin"/>
        </w:r>
        <w:r>
          <w:rPr>
            <w:noProof/>
            <w:webHidden/>
          </w:rPr>
          <w:instrText xml:space="preserve"> PAGEREF _Toc433964568 \h </w:instrText>
        </w:r>
        <w:r>
          <w:rPr>
            <w:noProof/>
            <w:webHidden/>
          </w:rPr>
        </w:r>
        <w:r>
          <w:rPr>
            <w:noProof/>
            <w:webHidden/>
          </w:rPr>
          <w:fldChar w:fldCharType="separate"/>
        </w:r>
        <w:r>
          <w:rPr>
            <w:noProof/>
            <w:webHidden/>
          </w:rPr>
          <w:t>67</w:t>
        </w:r>
        <w:r>
          <w:rPr>
            <w:noProof/>
            <w:webHidden/>
          </w:rPr>
          <w:fldChar w:fldCharType="end"/>
        </w:r>
      </w:hyperlink>
    </w:p>
    <w:p w14:paraId="41772C43" w14:textId="77777777" w:rsidR="00564E5C" w:rsidRDefault="00564E5C">
      <w:pPr>
        <w:pStyle w:val="TOC2"/>
        <w:rPr>
          <w:rFonts w:asciiTheme="minorHAnsi" w:eastAsiaTheme="minorEastAsia" w:hAnsiTheme="minorHAnsi" w:cstheme="minorBidi"/>
          <w:noProof/>
          <w:sz w:val="22"/>
          <w:szCs w:val="22"/>
        </w:rPr>
      </w:pPr>
      <w:hyperlink w:anchor="_Toc433964569" w:history="1">
        <w:r w:rsidRPr="00042B5F">
          <w:rPr>
            <w:rStyle w:val="Hyperlink"/>
            <w:noProof/>
          </w:rPr>
          <w:t>10.6</w:t>
        </w:r>
        <w:r>
          <w:rPr>
            <w:rFonts w:asciiTheme="minorHAnsi" w:eastAsiaTheme="minorEastAsia" w:hAnsiTheme="minorHAnsi" w:cstheme="minorBidi"/>
            <w:noProof/>
            <w:sz w:val="22"/>
            <w:szCs w:val="22"/>
          </w:rPr>
          <w:tab/>
        </w:r>
        <w:r w:rsidRPr="00042B5F">
          <w:rPr>
            <w:rStyle w:val="Hyperlink"/>
            <w:noProof/>
          </w:rPr>
          <w:t>Fossil Fuels Depletion</w:t>
        </w:r>
        <w:r>
          <w:rPr>
            <w:noProof/>
            <w:webHidden/>
          </w:rPr>
          <w:tab/>
        </w:r>
        <w:r>
          <w:rPr>
            <w:noProof/>
            <w:webHidden/>
          </w:rPr>
          <w:fldChar w:fldCharType="begin"/>
        </w:r>
        <w:r>
          <w:rPr>
            <w:noProof/>
            <w:webHidden/>
          </w:rPr>
          <w:instrText xml:space="preserve"> PAGEREF _Toc433964569 \h </w:instrText>
        </w:r>
        <w:r>
          <w:rPr>
            <w:noProof/>
            <w:webHidden/>
          </w:rPr>
        </w:r>
        <w:r>
          <w:rPr>
            <w:noProof/>
            <w:webHidden/>
          </w:rPr>
          <w:fldChar w:fldCharType="separate"/>
        </w:r>
        <w:r>
          <w:rPr>
            <w:noProof/>
            <w:webHidden/>
          </w:rPr>
          <w:t>68</w:t>
        </w:r>
        <w:r>
          <w:rPr>
            <w:noProof/>
            <w:webHidden/>
          </w:rPr>
          <w:fldChar w:fldCharType="end"/>
        </w:r>
      </w:hyperlink>
    </w:p>
    <w:p w14:paraId="13E9E73A" w14:textId="77777777" w:rsidR="00564E5C" w:rsidRDefault="00564E5C">
      <w:pPr>
        <w:pStyle w:val="TOC2"/>
        <w:rPr>
          <w:rFonts w:asciiTheme="minorHAnsi" w:eastAsiaTheme="minorEastAsia" w:hAnsiTheme="minorHAnsi" w:cstheme="minorBidi"/>
          <w:noProof/>
          <w:sz w:val="22"/>
          <w:szCs w:val="22"/>
        </w:rPr>
      </w:pPr>
      <w:hyperlink w:anchor="_Toc433964570" w:history="1">
        <w:r w:rsidRPr="00042B5F">
          <w:rPr>
            <w:rStyle w:val="Hyperlink"/>
            <w:noProof/>
          </w:rPr>
          <w:t>10.7</w:t>
        </w:r>
        <w:r>
          <w:rPr>
            <w:rFonts w:asciiTheme="minorHAnsi" w:eastAsiaTheme="minorEastAsia" w:hAnsiTheme="minorHAnsi" w:cstheme="minorBidi"/>
            <w:noProof/>
            <w:sz w:val="22"/>
            <w:szCs w:val="22"/>
          </w:rPr>
          <w:tab/>
        </w:r>
        <w:r w:rsidRPr="00042B5F">
          <w:rPr>
            <w:rStyle w:val="Hyperlink"/>
            <w:noProof/>
          </w:rPr>
          <w:t>Land Use</w:t>
        </w:r>
        <w:r>
          <w:rPr>
            <w:noProof/>
            <w:webHidden/>
          </w:rPr>
          <w:tab/>
        </w:r>
        <w:r>
          <w:rPr>
            <w:noProof/>
            <w:webHidden/>
          </w:rPr>
          <w:fldChar w:fldCharType="begin"/>
        </w:r>
        <w:r>
          <w:rPr>
            <w:noProof/>
            <w:webHidden/>
          </w:rPr>
          <w:instrText xml:space="preserve"> PAGEREF _Toc433964570 \h </w:instrText>
        </w:r>
        <w:r>
          <w:rPr>
            <w:noProof/>
            <w:webHidden/>
          </w:rPr>
        </w:r>
        <w:r>
          <w:rPr>
            <w:noProof/>
            <w:webHidden/>
          </w:rPr>
          <w:fldChar w:fldCharType="separate"/>
        </w:r>
        <w:r>
          <w:rPr>
            <w:noProof/>
            <w:webHidden/>
          </w:rPr>
          <w:t>69</w:t>
        </w:r>
        <w:r>
          <w:rPr>
            <w:noProof/>
            <w:webHidden/>
          </w:rPr>
          <w:fldChar w:fldCharType="end"/>
        </w:r>
      </w:hyperlink>
    </w:p>
    <w:p w14:paraId="0F584A3B" w14:textId="77777777" w:rsidR="00564E5C" w:rsidRDefault="00564E5C">
      <w:pPr>
        <w:pStyle w:val="TOC2"/>
        <w:rPr>
          <w:rFonts w:asciiTheme="minorHAnsi" w:eastAsiaTheme="minorEastAsia" w:hAnsiTheme="minorHAnsi" w:cstheme="minorBidi"/>
          <w:noProof/>
          <w:sz w:val="22"/>
          <w:szCs w:val="22"/>
        </w:rPr>
      </w:pPr>
      <w:hyperlink w:anchor="_Toc433964571" w:history="1">
        <w:r w:rsidRPr="00042B5F">
          <w:rPr>
            <w:rStyle w:val="Hyperlink"/>
            <w:noProof/>
          </w:rPr>
          <w:t>10.8</w:t>
        </w:r>
        <w:r>
          <w:rPr>
            <w:rFonts w:asciiTheme="minorHAnsi" w:eastAsiaTheme="minorEastAsia" w:hAnsiTheme="minorHAnsi" w:cstheme="minorBidi"/>
            <w:noProof/>
            <w:sz w:val="22"/>
            <w:szCs w:val="22"/>
          </w:rPr>
          <w:tab/>
        </w:r>
        <w:r w:rsidRPr="00042B5F">
          <w:rPr>
            <w:rStyle w:val="Hyperlink"/>
            <w:noProof/>
          </w:rPr>
          <w:t>Water Use</w:t>
        </w:r>
        <w:r>
          <w:rPr>
            <w:noProof/>
            <w:webHidden/>
          </w:rPr>
          <w:tab/>
        </w:r>
        <w:r>
          <w:rPr>
            <w:noProof/>
            <w:webHidden/>
          </w:rPr>
          <w:fldChar w:fldCharType="begin"/>
        </w:r>
        <w:r>
          <w:rPr>
            <w:noProof/>
            <w:webHidden/>
          </w:rPr>
          <w:instrText xml:space="preserve"> PAGEREF _Toc433964571 \h </w:instrText>
        </w:r>
        <w:r>
          <w:rPr>
            <w:noProof/>
            <w:webHidden/>
          </w:rPr>
        </w:r>
        <w:r>
          <w:rPr>
            <w:noProof/>
            <w:webHidden/>
          </w:rPr>
          <w:fldChar w:fldCharType="separate"/>
        </w:r>
        <w:r>
          <w:rPr>
            <w:noProof/>
            <w:webHidden/>
          </w:rPr>
          <w:t>70</w:t>
        </w:r>
        <w:r>
          <w:rPr>
            <w:noProof/>
            <w:webHidden/>
          </w:rPr>
          <w:fldChar w:fldCharType="end"/>
        </w:r>
      </w:hyperlink>
    </w:p>
    <w:p w14:paraId="492468B7" w14:textId="77777777" w:rsidR="00564E5C" w:rsidRDefault="00564E5C">
      <w:pPr>
        <w:pStyle w:val="TOC2"/>
        <w:rPr>
          <w:rFonts w:asciiTheme="minorHAnsi" w:eastAsiaTheme="minorEastAsia" w:hAnsiTheme="minorHAnsi" w:cstheme="minorBidi"/>
          <w:noProof/>
          <w:sz w:val="22"/>
          <w:szCs w:val="22"/>
        </w:rPr>
      </w:pPr>
      <w:hyperlink w:anchor="_Toc433964572" w:history="1">
        <w:r w:rsidRPr="00042B5F">
          <w:rPr>
            <w:rStyle w:val="Hyperlink"/>
            <w:noProof/>
          </w:rPr>
          <w:t>10.9</w:t>
        </w:r>
        <w:r>
          <w:rPr>
            <w:rFonts w:asciiTheme="minorHAnsi" w:eastAsiaTheme="minorEastAsia" w:hAnsiTheme="minorHAnsi" w:cstheme="minorBidi"/>
            <w:noProof/>
            <w:sz w:val="22"/>
            <w:szCs w:val="22"/>
          </w:rPr>
          <w:tab/>
        </w:r>
        <w:r w:rsidRPr="00042B5F">
          <w:rPr>
            <w:rStyle w:val="Hyperlink"/>
            <w:noProof/>
          </w:rPr>
          <w:t>Solid Waste</w:t>
        </w:r>
        <w:r>
          <w:rPr>
            <w:noProof/>
            <w:webHidden/>
          </w:rPr>
          <w:tab/>
        </w:r>
        <w:r>
          <w:rPr>
            <w:noProof/>
            <w:webHidden/>
          </w:rPr>
          <w:fldChar w:fldCharType="begin"/>
        </w:r>
        <w:r>
          <w:rPr>
            <w:noProof/>
            <w:webHidden/>
          </w:rPr>
          <w:instrText xml:space="preserve"> PAGEREF _Toc433964572 \h </w:instrText>
        </w:r>
        <w:r>
          <w:rPr>
            <w:noProof/>
            <w:webHidden/>
          </w:rPr>
        </w:r>
        <w:r>
          <w:rPr>
            <w:noProof/>
            <w:webHidden/>
          </w:rPr>
          <w:fldChar w:fldCharType="separate"/>
        </w:r>
        <w:r>
          <w:rPr>
            <w:noProof/>
            <w:webHidden/>
          </w:rPr>
          <w:t>71</w:t>
        </w:r>
        <w:r>
          <w:rPr>
            <w:noProof/>
            <w:webHidden/>
          </w:rPr>
          <w:fldChar w:fldCharType="end"/>
        </w:r>
      </w:hyperlink>
    </w:p>
    <w:p w14:paraId="14D1FF90" w14:textId="77777777" w:rsidR="00564E5C" w:rsidRDefault="00564E5C">
      <w:pPr>
        <w:pStyle w:val="TOC2"/>
        <w:rPr>
          <w:rFonts w:asciiTheme="minorHAnsi" w:eastAsiaTheme="minorEastAsia" w:hAnsiTheme="minorHAnsi" w:cstheme="minorBidi"/>
          <w:noProof/>
          <w:sz w:val="22"/>
          <w:szCs w:val="22"/>
        </w:rPr>
      </w:pPr>
      <w:hyperlink w:anchor="_Toc433964573" w:history="1">
        <w:r w:rsidRPr="00042B5F">
          <w:rPr>
            <w:rStyle w:val="Hyperlink"/>
            <w:noProof/>
          </w:rPr>
          <w:t>10.10</w:t>
        </w:r>
        <w:r>
          <w:rPr>
            <w:rFonts w:asciiTheme="minorHAnsi" w:eastAsiaTheme="minorEastAsia" w:hAnsiTheme="minorHAnsi" w:cstheme="minorBidi"/>
            <w:noProof/>
            <w:sz w:val="22"/>
            <w:szCs w:val="22"/>
          </w:rPr>
          <w:tab/>
        </w:r>
        <w:r w:rsidRPr="00042B5F">
          <w:rPr>
            <w:rStyle w:val="Hyperlink"/>
            <w:noProof/>
          </w:rPr>
          <w:t>Cumulative Energy Demand</w:t>
        </w:r>
        <w:r>
          <w:rPr>
            <w:noProof/>
            <w:webHidden/>
          </w:rPr>
          <w:tab/>
        </w:r>
        <w:r>
          <w:rPr>
            <w:noProof/>
            <w:webHidden/>
          </w:rPr>
          <w:fldChar w:fldCharType="begin"/>
        </w:r>
        <w:r>
          <w:rPr>
            <w:noProof/>
            <w:webHidden/>
          </w:rPr>
          <w:instrText xml:space="preserve"> PAGEREF _Toc433964573 \h </w:instrText>
        </w:r>
        <w:r>
          <w:rPr>
            <w:noProof/>
            <w:webHidden/>
          </w:rPr>
        </w:r>
        <w:r>
          <w:rPr>
            <w:noProof/>
            <w:webHidden/>
          </w:rPr>
          <w:fldChar w:fldCharType="separate"/>
        </w:r>
        <w:r>
          <w:rPr>
            <w:noProof/>
            <w:webHidden/>
          </w:rPr>
          <w:t>72</w:t>
        </w:r>
        <w:r>
          <w:rPr>
            <w:noProof/>
            <w:webHidden/>
          </w:rPr>
          <w:fldChar w:fldCharType="end"/>
        </w:r>
      </w:hyperlink>
    </w:p>
    <w:p w14:paraId="5745EAF0" w14:textId="77777777" w:rsidR="00564E5C" w:rsidRDefault="00564E5C">
      <w:pPr>
        <w:pStyle w:val="TOC1"/>
        <w:rPr>
          <w:rFonts w:asciiTheme="minorHAnsi" w:eastAsiaTheme="minorEastAsia" w:hAnsiTheme="minorHAnsi" w:cstheme="minorBidi"/>
          <w:noProof/>
          <w:sz w:val="22"/>
          <w:szCs w:val="22"/>
        </w:rPr>
      </w:pPr>
      <w:hyperlink w:anchor="_Toc433964574" w:history="1">
        <w:r w:rsidRPr="00042B5F">
          <w:rPr>
            <w:rStyle w:val="Hyperlink"/>
            <w:noProof/>
          </w:rPr>
          <w:t>11</w:t>
        </w:r>
        <w:r>
          <w:rPr>
            <w:rFonts w:asciiTheme="minorHAnsi" w:eastAsiaTheme="minorEastAsia" w:hAnsiTheme="minorHAnsi" w:cstheme="minorBidi"/>
            <w:noProof/>
            <w:sz w:val="22"/>
            <w:szCs w:val="22"/>
          </w:rPr>
          <w:tab/>
        </w:r>
        <w:r w:rsidRPr="00042B5F">
          <w:rPr>
            <w:rStyle w:val="Hyperlink"/>
            <w:noProof/>
          </w:rPr>
          <w:t>Validation</w:t>
        </w:r>
        <w:r>
          <w:rPr>
            <w:noProof/>
            <w:webHidden/>
          </w:rPr>
          <w:tab/>
        </w:r>
        <w:r>
          <w:rPr>
            <w:noProof/>
            <w:webHidden/>
          </w:rPr>
          <w:fldChar w:fldCharType="begin"/>
        </w:r>
        <w:r>
          <w:rPr>
            <w:noProof/>
            <w:webHidden/>
          </w:rPr>
          <w:instrText xml:space="preserve"> PAGEREF _Toc433964574 \h </w:instrText>
        </w:r>
        <w:r>
          <w:rPr>
            <w:noProof/>
            <w:webHidden/>
          </w:rPr>
        </w:r>
        <w:r>
          <w:rPr>
            <w:noProof/>
            <w:webHidden/>
          </w:rPr>
          <w:fldChar w:fldCharType="separate"/>
        </w:r>
        <w:r>
          <w:rPr>
            <w:noProof/>
            <w:webHidden/>
          </w:rPr>
          <w:t>74</w:t>
        </w:r>
        <w:r>
          <w:rPr>
            <w:noProof/>
            <w:webHidden/>
          </w:rPr>
          <w:fldChar w:fldCharType="end"/>
        </w:r>
      </w:hyperlink>
    </w:p>
    <w:p w14:paraId="3052D8CC" w14:textId="77777777" w:rsidR="00564E5C" w:rsidRDefault="00564E5C">
      <w:pPr>
        <w:pStyle w:val="TOC2"/>
        <w:rPr>
          <w:rFonts w:asciiTheme="minorHAnsi" w:eastAsiaTheme="minorEastAsia" w:hAnsiTheme="minorHAnsi" w:cstheme="minorBidi"/>
          <w:noProof/>
          <w:sz w:val="22"/>
          <w:szCs w:val="22"/>
        </w:rPr>
      </w:pPr>
      <w:hyperlink w:anchor="_Toc433964575" w:history="1">
        <w:r w:rsidRPr="00042B5F">
          <w:rPr>
            <w:rStyle w:val="Hyperlink"/>
            <w:noProof/>
          </w:rPr>
          <w:t>11.1</w:t>
        </w:r>
        <w:r>
          <w:rPr>
            <w:rFonts w:asciiTheme="minorHAnsi" w:eastAsiaTheme="minorEastAsia" w:hAnsiTheme="minorHAnsi" w:cstheme="minorBidi"/>
            <w:noProof/>
            <w:sz w:val="22"/>
            <w:szCs w:val="22"/>
          </w:rPr>
          <w:tab/>
        </w:r>
        <w:r w:rsidRPr="00042B5F">
          <w:rPr>
            <w:rStyle w:val="Hyperlink"/>
            <w:noProof/>
          </w:rPr>
          <w:t>Comparison to the prior study</w:t>
        </w:r>
        <w:r>
          <w:rPr>
            <w:noProof/>
            <w:webHidden/>
          </w:rPr>
          <w:tab/>
        </w:r>
        <w:r>
          <w:rPr>
            <w:noProof/>
            <w:webHidden/>
          </w:rPr>
          <w:fldChar w:fldCharType="begin"/>
        </w:r>
        <w:r>
          <w:rPr>
            <w:noProof/>
            <w:webHidden/>
          </w:rPr>
          <w:instrText xml:space="preserve"> PAGEREF _Toc433964575 \h </w:instrText>
        </w:r>
        <w:r>
          <w:rPr>
            <w:noProof/>
            <w:webHidden/>
          </w:rPr>
        </w:r>
        <w:r>
          <w:rPr>
            <w:noProof/>
            <w:webHidden/>
          </w:rPr>
          <w:fldChar w:fldCharType="separate"/>
        </w:r>
        <w:r>
          <w:rPr>
            <w:noProof/>
            <w:webHidden/>
          </w:rPr>
          <w:t>74</w:t>
        </w:r>
        <w:r>
          <w:rPr>
            <w:noProof/>
            <w:webHidden/>
          </w:rPr>
          <w:fldChar w:fldCharType="end"/>
        </w:r>
      </w:hyperlink>
    </w:p>
    <w:p w14:paraId="7553DB41" w14:textId="77777777" w:rsidR="00564E5C" w:rsidRDefault="00564E5C">
      <w:pPr>
        <w:pStyle w:val="TOC2"/>
        <w:rPr>
          <w:rFonts w:asciiTheme="minorHAnsi" w:eastAsiaTheme="minorEastAsia" w:hAnsiTheme="minorHAnsi" w:cstheme="minorBidi"/>
          <w:noProof/>
          <w:sz w:val="22"/>
          <w:szCs w:val="22"/>
        </w:rPr>
      </w:pPr>
      <w:hyperlink w:anchor="_Toc433964576" w:history="1">
        <w:r w:rsidRPr="00042B5F">
          <w:rPr>
            <w:rStyle w:val="Hyperlink"/>
            <w:noProof/>
          </w:rPr>
          <w:t>11.2</w:t>
        </w:r>
        <w:r>
          <w:rPr>
            <w:rFonts w:asciiTheme="minorHAnsi" w:eastAsiaTheme="minorEastAsia" w:hAnsiTheme="minorHAnsi" w:cstheme="minorBidi"/>
            <w:noProof/>
            <w:sz w:val="22"/>
            <w:szCs w:val="22"/>
          </w:rPr>
          <w:tab/>
        </w:r>
        <w:r w:rsidRPr="00042B5F">
          <w:rPr>
            <w:rStyle w:val="Hyperlink"/>
            <w:noProof/>
          </w:rPr>
          <w:t>Sensitivity analysis</w:t>
        </w:r>
        <w:r>
          <w:rPr>
            <w:noProof/>
            <w:webHidden/>
          </w:rPr>
          <w:tab/>
        </w:r>
        <w:r>
          <w:rPr>
            <w:noProof/>
            <w:webHidden/>
          </w:rPr>
          <w:fldChar w:fldCharType="begin"/>
        </w:r>
        <w:r>
          <w:rPr>
            <w:noProof/>
            <w:webHidden/>
          </w:rPr>
          <w:instrText xml:space="preserve"> PAGEREF _Toc433964576 \h </w:instrText>
        </w:r>
        <w:r>
          <w:rPr>
            <w:noProof/>
            <w:webHidden/>
          </w:rPr>
        </w:r>
        <w:r>
          <w:rPr>
            <w:noProof/>
            <w:webHidden/>
          </w:rPr>
          <w:fldChar w:fldCharType="separate"/>
        </w:r>
        <w:r>
          <w:rPr>
            <w:noProof/>
            <w:webHidden/>
          </w:rPr>
          <w:t>76</w:t>
        </w:r>
        <w:r>
          <w:rPr>
            <w:noProof/>
            <w:webHidden/>
          </w:rPr>
          <w:fldChar w:fldCharType="end"/>
        </w:r>
      </w:hyperlink>
    </w:p>
    <w:p w14:paraId="2D0F41F4" w14:textId="77777777" w:rsidR="00564E5C" w:rsidRDefault="00564E5C">
      <w:pPr>
        <w:pStyle w:val="TOC3"/>
        <w:rPr>
          <w:rFonts w:asciiTheme="minorHAnsi" w:eastAsiaTheme="minorEastAsia" w:hAnsiTheme="minorHAnsi" w:cstheme="minorBidi"/>
          <w:noProof/>
          <w:sz w:val="22"/>
          <w:szCs w:val="22"/>
        </w:rPr>
      </w:pPr>
      <w:hyperlink w:anchor="_Toc433964577" w:history="1">
        <w:r w:rsidRPr="00042B5F">
          <w:rPr>
            <w:rStyle w:val="Hyperlink"/>
            <w:noProof/>
          </w:rPr>
          <w:t>11.2.1</w:t>
        </w:r>
        <w:r>
          <w:rPr>
            <w:rFonts w:asciiTheme="minorHAnsi" w:eastAsiaTheme="minorEastAsia" w:hAnsiTheme="minorHAnsi" w:cstheme="minorBidi"/>
            <w:noProof/>
            <w:sz w:val="22"/>
            <w:szCs w:val="22"/>
          </w:rPr>
          <w:tab/>
        </w:r>
        <w:r w:rsidRPr="00042B5F">
          <w:rPr>
            <w:rStyle w:val="Hyperlink"/>
            <w:noProof/>
          </w:rPr>
          <w:t>Collection system fuel consumption</w:t>
        </w:r>
        <w:r>
          <w:rPr>
            <w:noProof/>
            <w:webHidden/>
          </w:rPr>
          <w:tab/>
        </w:r>
        <w:r>
          <w:rPr>
            <w:noProof/>
            <w:webHidden/>
          </w:rPr>
          <w:fldChar w:fldCharType="begin"/>
        </w:r>
        <w:r>
          <w:rPr>
            <w:noProof/>
            <w:webHidden/>
          </w:rPr>
          <w:instrText xml:space="preserve"> PAGEREF _Toc433964577 \h </w:instrText>
        </w:r>
        <w:r>
          <w:rPr>
            <w:noProof/>
            <w:webHidden/>
          </w:rPr>
        </w:r>
        <w:r>
          <w:rPr>
            <w:noProof/>
            <w:webHidden/>
          </w:rPr>
          <w:fldChar w:fldCharType="separate"/>
        </w:r>
        <w:r>
          <w:rPr>
            <w:noProof/>
            <w:webHidden/>
          </w:rPr>
          <w:t>76</w:t>
        </w:r>
        <w:r>
          <w:rPr>
            <w:noProof/>
            <w:webHidden/>
          </w:rPr>
          <w:fldChar w:fldCharType="end"/>
        </w:r>
      </w:hyperlink>
    </w:p>
    <w:p w14:paraId="3D61F25A" w14:textId="77777777" w:rsidR="00564E5C" w:rsidRDefault="00564E5C">
      <w:pPr>
        <w:pStyle w:val="TOC3"/>
        <w:rPr>
          <w:rFonts w:asciiTheme="minorHAnsi" w:eastAsiaTheme="minorEastAsia" w:hAnsiTheme="minorHAnsi" w:cstheme="minorBidi"/>
          <w:noProof/>
          <w:sz w:val="22"/>
          <w:szCs w:val="22"/>
        </w:rPr>
      </w:pPr>
      <w:hyperlink w:anchor="_Toc433964578" w:history="1">
        <w:r w:rsidRPr="00042B5F">
          <w:rPr>
            <w:rStyle w:val="Hyperlink"/>
            <w:noProof/>
          </w:rPr>
          <w:t>11.2.2</w:t>
        </w:r>
        <w:r>
          <w:rPr>
            <w:rFonts w:asciiTheme="minorHAnsi" w:eastAsiaTheme="minorEastAsia" w:hAnsiTheme="minorHAnsi" w:cstheme="minorBidi"/>
            <w:noProof/>
            <w:sz w:val="22"/>
            <w:szCs w:val="22"/>
          </w:rPr>
          <w:tab/>
        </w:r>
        <w:r w:rsidRPr="00042B5F">
          <w:rPr>
            <w:rStyle w:val="Hyperlink"/>
            <w:noProof/>
          </w:rPr>
          <w:t>International reprocessing</w:t>
        </w:r>
        <w:r>
          <w:rPr>
            <w:noProof/>
            <w:webHidden/>
          </w:rPr>
          <w:tab/>
        </w:r>
        <w:r>
          <w:rPr>
            <w:noProof/>
            <w:webHidden/>
          </w:rPr>
          <w:fldChar w:fldCharType="begin"/>
        </w:r>
        <w:r>
          <w:rPr>
            <w:noProof/>
            <w:webHidden/>
          </w:rPr>
          <w:instrText xml:space="preserve"> PAGEREF _Toc433964578 \h </w:instrText>
        </w:r>
        <w:r>
          <w:rPr>
            <w:noProof/>
            <w:webHidden/>
          </w:rPr>
        </w:r>
        <w:r>
          <w:rPr>
            <w:noProof/>
            <w:webHidden/>
          </w:rPr>
          <w:fldChar w:fldCharType="separate"/>
        </w:r>
        <w:r>
          <w:rPr>
            <w:noProof/>
            <w:webHidden/>
          </w:rPr>
          <w:t>77</w:t>
        </w:r>
        <w:r>
          <w:rPr>
            <w:noProof/>
            <w:webHidden/>
          </w:rPr>
          <w:fldChar w:fldCharType="end"/>
        </w:r>
      </w:hyperlink>
    </w:p>
    <w:p w14:paraId="719B2FD3" w14:textId="77777777" w:rsidR="00564E5C" w:rsidRDefault="00564E5C">
      <w:pPr>
        <w:pStyle w:val="TOC3"/>
        <w:rPr>
          <w:rFonts w:asciiTheme="minorHAnsi" w:eastAsiaTheme="minorEastAsia" w:hAnsiTheme="minorHAnsi" w:cstheme="minorBidi"/>
          <w:noProof/>
          <w:sz w:val="22"/>
          <w:szCs w:val="22"/>
        </w:rPr>
      </w:pPr>
      <w:hyperlink w:anchor="_Toc433964579" w:history="1">
        <w:r w:rsidRPr="00042B5F">
          <w:rPr>
            <w:rStyle w:val="Hyperlink"/>
            <w:noProof/>
          </w:rPr>
          <w:t>11.2.3</w:t>
        </w:r>
        <w:r>
          <w:rPr>
            <w:rFonts w:asciiTheme="minorHAnsi" w:eastAsiaTheme="minorEastAsia" w:hAnsiTheme="minorHAnsi" w:cstheme="minorBidi"/>
            <w:noProof/>
            <w:sz w:val="22"/>
            <w:szCs w:val="22"/>
          </w:rPr>
          <w:tab/>
        </w:r>
        <w:r w:rsidRPr="00042B5F">
          <w:rPr>
            <w:rStyle w:val="Hyperlink"/>
            <w:noProof/>
          </w:rPr>
          <w:t>Garden and green waste assumptions</w:t>
        </w:r>
        <w:r>
          <w:rPr>
            <w:noProof/>
            <w:webHidden/>
          </w:rPr>
          <w:tab/>
        </w:r>
        <w:r>
          <w:rPr>
            <w:noProof/>
            <w:webHidden/>
          </w:rPr>
          <w:fldChar w:fldCharType="begin"/>
        </w:r>
        <w:r>
          <w:rPr>
            <w:noProof/>
            <w:webHidden/>
          </w:rPr>
          <w:instrText xml:space="preserve"> PAGEREF _Toc433964579 \h </w:instrText>
        </w:r>
        <w:r>
          <w:rPr>
            <w:noProof/>
            <w:webHidden/>
          </w:rPr>
        </w:r>
        <w:r>
          <w:rPr>
            <w:noProof/>
            <w:webHidden/>
          </w:rPr>
          <w:fldChar w:fldCharType="separate"/>
        </w:r>
        <w:r>
          <w:rPr>
            <w:noProof/>
            <w:webHidden/>
          </w:rPr>
          <w:t>78</w:t>
        </w:r>
        <w:r>
          <w:rPr>
            <w:noProof/>
            <w:webHidden/>
          </w:rPr>
          <w:fldChar w:fldCharType="end"/>
        </w:r>
      </w:hyperlink>
    </w:p>
    <w:p w14:paraId="69869647" w14:textId="77777777" w:rsidR="00564E5C" w:rsidRDefault="00564E5C">
      <w:pPr>
        <w:pStyle w:val="TOC3"/>
        <w:rPr>
          <w:rFonts w:asciiTheme="minorHAnsi" w:eastAsiaTheme="minorEastAsia" w:hAnsiTheme="minorHAnsi" w:cstheme="minorBidi"/>
          <w:noProof/>
          <w:sz w:val="22"/>
          <w:szCs w:val="22"/>
        </w:rPr>
      </w:pPr>
      <w:hyperlink w:anchor="_Toc433964580" w:history="1">
        <w:r w:rsidRPr="00042B5F">
          <w:rPr>
            <w:rStyle w:val="Hyperlink"/>
            <w:noProof/>
          </w:rPr>
          <w:t>11.2.4</w:t>
        </w:r>
        <w:r>
          <w:rPr>
            <w:rFonts w:asciiTheme="minorHAnsi" w:eastAsiaTheme="minorEastAsia" w:hAnsiTheme="minorHAnsi" w:cstheme="minorBidi"/>
            <w:noProof/>
            <w:sz w:val="22"/>
            <w:szCs w:val="22"/>
          </w:rPr>
          <w:tab/>
        </w:r>
        <w:r w:rsidRPr="00042B5F">
          <w:rPr>
            <w:rStyle w:val="Hyperlink"/>
            <w:noProof/>
          </w:rPr>
          <w:t>Glass cullet recovery rate</w:t>
        </w:r>
        <w:r>
          <w:rPr>
            <w:noProof/>
            <w:webHidden/>
          </w:rPr>
          <w:tab/>
        </w:r>
        <w:r>
          <w:rPr>
            <w:noProof/>
            <w:webHidden/>
          </w:rPr>
          <w:fldChar w:fldCharType="begin"/>
        </w:r>
        <w:r>
          <w:rPr>
            <w:noProof/>
            <w:webHidden/>
          </w:rPr>
          <w:instrText xml:space="preserve"> PAGEREF _Toc433964580 \h </w:instrText>
        </w:r>
        <w:r>
          <w:rPr>
            <w:noProof/>
            <w:webHidden/>
          </w:rPr>
        </w:r>
        <w:r>
          <w:rPr>
            <w:noProof/>
            <w:webHidden/>
          </w:rPr>
          <w:fldChar w:fldCharType="separate"/>
        </w:r>
        <w:r>
          <w:rPr>
            <w:noProof/>
            <w:webHidden/>
          </w:rPr>
          <w:t>78</w:t>
        </w:r>
        <w:r>
          <w:rPr>
            <w:noProof/>
            <w:webHidden/>
          </w:rPr>
          <w:fldChar w:fldCharType="end"/>
        </w:r>
      </w:hyperlink>
    </w:p>
    <w:p w14:paraId="6B401FE5" w14:textId="77777777" w:rsidR="00564E5C" w:rsidRDefault="00564E5C">
      <w:pPr>
        <w:pStyle w:val="TOC3"/>
        <w:rPr>
          <w:rFonts w:asciiTheme="minorHAnsi" w:eastAsiaTheme="minorEastAsia" w:hAnsiTheme="minorHAnsi" w:cstheme="minorBidi"/>
          <w:noProof/>
          <w:sz w:val="22"/>
          <w:szCs w:val="22"/>
        </w:rPr>
      </w:pPr>
      <w:hyperlink w:anchor="_Toc433964581" w:history="1">
        <w:r w:rsidRPr="00042B5F">
          <w:rPr>
            <w:rStyle w:val="Hyperlink"/>
            <w:noProof/>
          </w:rPr>
          <w:t>11.2.5</w:t>
        </w:r>
        <w:r>
          <w:rPr>
            <w:rFonts w:asciiTheme="minorHAnsi" w:eastAsiaTheme="minorEastAsia" w:hAnsiTheme="minorHAnsi" w:cstheme="minorBidi"/>
            <w:noProof/>
            <w:sz w:val="22"/>
            <w:szCs w:val="22"/>
          </w:rPr>
          <w:tab/>
        </w:r>
        <w:r w:rsidRPr="00042B5F">
          <w:rPr>
            <w:rStyle w:val="Hyperlink"/>
            <w:noProof/>
          </w:rPr>
          <w:t>Methane capture and carbon storage in landfill</w:t>
        </w:r>
        <w:r>
          <w:rPr>
            <w:noProof/>
            <w:webHidden/>
          </w:rPr>
          <w:tab/>
        </w:r>
        <w:r>
          <w:rPr>
            <w:noProof/>
            <w:webHidden/>
          </w:rPr>
          <w:fldChar w:fldCharType="begin"/>
        </w:r>
        <w:r>
          <w:rPr>
            <w:noProof/>
            <w:webHidden/>
          </w:rPr>
          <w:instrText xml:space="preserve"> PAGEREF _Toc433964581 \h </w:instrText>
        </w:r>
        <w:r>
          <w:rPr>
            <w:noProof/>
            <w:webHidden/>
          </w:rPr>
        </w:r>
        <w:r>
          <w:rPr>
            <w:noProof/>
            <w:webHidden/>
          </w:rPr>
          <w:fldChar w:fldCharType="separate"/>
        </w:r>
        <w:r>
          <w:rPr>
            <w:noProof/>
            <w:webHidden/>
          </w:rPr>
          <w:t>79</w:t>
        </w:r>
        <w:r>
          <w:rPr>
            <w:noProof/>
            <w:webHidden/>
          </w:rPr>
          <w:fldChar w:fldCharType="end"/>
        </w:r>
      </w:hyperlink>
    </w:p>
    <w:p w14:paraId="161488EF" w14:textId="77777777" w:rsidR="00564E5C" w:rsidRDefault="00564E5C">
      <w:pPr>
        <w:pStyle w:val="TOC2"/>
        <w:rPr>
          <w:rFonts w:asciiTheme="minorHAnsi" w:eastAsiaTheme="minorEastAsia" w:hAnsiTheme="minorHAnsi" w:cstheme="minorBidi"/>
          <w:noProof/>
          <w:sz w:val="22"/>
          <w:szCs w:val="22"/>
        </w:rPr>
      </w:pPr>
      <w:hyperlink w:anchor="_Toc433964582" w:history="1">
        <w:r w:rsidRPr="00042B5F">
          <w:rPr>
            <w:rStyle w:val="Hyperlink"/>
            <w:noProof/>
          </w:rPr>
          <w:t>11.3</w:t>
        </w:r>
        <w:r>
          <w:rPr>
            <w:rFonts w:asciiTheme="minorHAnsi" w:eastAsiaTheme="minorEastAsia" w:hAnsiTheme="minorHAnsi" w:cstheme="minorBidi"/>
            <w:noProof/>
            <w:sz w:val="22"/>
            <w:szCs w:val="22"/>
          </w:rPr>
          <w:tab/>
        </w:r>
        <w:r w:rsidRPr="00042B5F">
          <w:rPr>
            <w:rStyle w:val="Hyperlink"/>
            <w:noProof/>
          </w:rPr>
          <w:t>Consequential analysis</w:t>
        </w:r>
        <w:r>
          <w:rPr>
            <w:noProof/>
            <w:webHidden/>
          </w:rPr>
          <w:tab/>
        </w:r>
        <w:r>
          <w:rPr>
            <w:noProof/>
            <w:webHidden/>
          </w:rPr>
          <w:fldChar w:fldCharType="begin"/>
        </w:r>
        <w:r>
          <w:rPr>
            <w:noProof/>
            <w:webHidden/>
          </w:rPr>
          <w:instrText xml:space="preserve"> PAGEREF _Toc433964582 \h </w:instrText>
        </w:r>
        <w:r>
          <w:rPr>
            <w:noProof/>
            <w:webHidden/>
          </w:rPr>
        </w:r>
        <w:r>
          <w:rPr>
            <w:noProof/>
            <w:webHidden/>
          </w:rPr>
          <w:fldChar w:fldCharType="separate"/>
        </w:r>
        <w:r>
          <w:rPr>
            <w:noProof/>
            <w:webHidden/>
          </w:rPr>
          <w:t>80</w:t>
        </w:r>
        <w:r>
          <w:rPr>
            <w:noProof/>
            <w:webHidden/>
          </w:rPr>
          <w:fldChar w:fldCharType="end"/>
        </w:r>
      </w:hyperlink>
    </w:p>
    <w:p w14:paraId="2CD5EC27" w14:textId="77777777" w:rsidR="00564E5C" w:rsidRDefault="00564E5C">
      <w:pPr>
        <w:pStyle w:val="TOC3"/>
        <w:rPr>
          <w:rFonts w:asciiTheme="minorHAnsi" w:eastAsiaTheme="minorEastAsia" w:hAnsiTheme="minorHAnsi" w:cstheme="minorBidi"/>
          <w:noProof/>
          <w:sz w:val="22"/>
          <w:szCs w:val="22"/>
        </w:rPr>
      </w:pPr>
      <w:hyperlink w:anchor="_Toc433964583" w:history="1">
        <w:r w:rsidRPr="00042B5F">
          <w:rPr>
            <w:rStyle w:val="Hyperlink"/>
            <w:noProof/>
          </w:rPr>
          <w:t>11.3.1</w:t>
        </w:r>
        <w:r>
          <w:rPr>
            <w:rFonts w:asciiTheme="minorHAnsi" w:eastAsiaTheme="minorEastAsia" w:hAnsiTheme="minorHAnsi" w:cstheme="minorBidi"/>
            <w:noProof/>
            <w:sz w:val="22"/>
            <w:szCs w:val="22"/>
          </w:rPr>
          <w:tab/>
        </w:r>
        <w:r w:rsidRPr="00042B5F">
          <w:rPr>
            <w:rStyle w:val="Hyperlink"/>
            <w:noProof/>
          </w:rPr>
          <w:t>Introduction</w:t>
        </w:r>
        <w:r>
          <w:rPr>
            <w:noProof/>
            <w:webHidden/>
          </w:rPr>
          <w:tab/>
        </w:r>
        <w:r>
          <w:rPr>
            <w:noProof/>
            <w:webHidden/>
          </w:rPr>
          <w:fldChar w:fldCharType="begin"/>
        </w:r>
        <w:r>
          <w:rPr>
            <w:noProof/>
            <w:webHidden/>
          </w:rPr>
          <w:instrText xml:space="preserve"> PAGEREF _Toc433964583 \h </w:instrText>
        </w:r>
        <w:r>
          <w:rPr>
            <w:noProof/>
            <w:webHidden/>
          </w:rPr>
        </w:r>
        <w:r>
          <w:rPr>
            <w:noProof/>
            <w:webHidden/>
          </w:rPr>
          <w:fldChar w:fldCharType="separate"/>
        </w:r>
        <w:r>
          <w:rPr>
            <w:noProof/>
            <w:webHidden/>
          </w:rPr>
          <w:t>80</w:t>
        </w:r>
        <w:r>
          <w:rPr>
            <w:noProof/>
            <w:webHidden/>
          </w:rPr>
          <w:fldChar w:fldCharType="end"/>
        </w:r>
      </w:hyperlink>
    </w:p>
    <w:p w14:paraId="25D157E8" w14:textId="77777777" w:rsidR="00564E5C" w:rsidRDefault="00564E5C">
      <w:pPr>
        <w:pStyle w:val="TOC3"/>
        <w:rPr>
          <w:rFonts w:asciiTheme="minorHAnsi" w:eastAsiaTheme="minorEastAsia" w:hAnsiTheme="minorHAnsi" w:cstheme="minorBidi"/>
          <w:noProof/>
          <w:sz w:val="22"/>
          <w:szCs w:val="22"/>
        </w:rPr>
      </w:pPr>
      <w:hyperlink w:anchor="_Toc433964584" w:history="1">
        <w:r w:rsidRPr="00042B5F">
          <w:rPr>
            <w:rStyle w:val="Hyperlink"/>
            <w:noProof/>
          </w:rPr>
          <w:t>11.3.2</w:t>
        </w:r>
        <w:r>
          <w:rPr>
            <w:rFonts w:asciiTheme="minorHAnsi" w:eastAsiaTheme="minorEastAsia" w:hAnsiTheme="minorHAnsi" w:cstheme="minorBidi"/>
            <w:noProof/>
            <w:sz w:val="22"/>
            <w:szCs w:val="22"/>
          </w:rPr>
          <w:tab/>
        </w:r>
        <w:r w:rsidRPr="00042B5F">
          <w:rPr>
            <w:rStyle w:val="Hyperlink"/>
            <w:noProof/>
          </w:rPr>
          <w:t>Market assessment</w:t>
        </w:r>
        <w:r>
          <w:rPr>
            <w:noProof/>
            <w:webHidden/>
          </w:rPr>
          <w:tab/>
        </w:r>
        <w:r>
          <w:rPr>
            <w:noProof/>
            <w:webHidden/>
          </w:rPr>
          <w:fldChar w:fldCharType="begin"/>
        </w:r>
        <w:r>
          <w:rPr>
            <w:noProof/>
            <w:webHidden/>
          </w:rPr>
          <w:instrText xml:space="preserve"> PAGEREF _Toc433964584 \h </w:instrText>
        </w:r>
        <w:r>
          <w:rPr>
            <w:noProof/>
            <w:webHidden/>
          </w:rPr>
        </w:r>
        <w:r>
          <w:rPr>
            <w:noProof/>
            <w:webHidden/>
          </w:rPr>
          <w:fldChar w:fldCharType="separate"/>
        </w:r>
        <w:r>
          <w:rPr>
            <w:noProof/>
            <w:webHidden/>
          </w:rPr>
          <w:t>81</w:t>
        </w:r>
        <w:r>
          <w:rPr>
            <w:noProof/>
            <w:webHidden/>
          </w:rPr>
          <w:fldChar w:fldCharType="end"/>
        </w:r>
      </w:hyperlink>
    </w:p>
    <w:p w14:paraId="6B261A8C" w14:textId="77777777" w:rsidR="00564E5C" w:rsidRDefault="00564E5C">
      <w:pPr>
        <w:pStyle w:val="TOC3"/>
        <w:rPr>
          <w:rFonts w:asciiTheme="minorHAnsi" w:eastAsiaTheme="minorEastAsia" w:hAnsiTheme="minorHAnsi" w:cstheme="minorBidi"/>
          <w:noProof/>
          <w:sz w:val="22"/>
          <w:szCs w:val="22"/>
        </w:rPr>
      </w:pPr>
      <w:hyperlink w:anchor="_Toc433964585" w:history="1">
        <w:r w:rsidRPr="00042B5F">
          <w:rPr>
            <w:rStyle w:val="Hyperlink"/>
            <w:noProof/>
          </w:rPr>
          <w:t>11.3.3</w:t>
        </w:r>
        <w:r>
          <w:rPr>
            <w:rFonts w:asciiTheme="minorHAnsi" w:eastAsiaTheme="minorEastAsia" w:hAnsiTheme="minorHAnsi" w:cstheme="minorBidi"/>
            <w:noProof/>
            <w:sz w:val="22"/>
            <w:szCs w:val="22"/>
          </w:rPr>
          <w:tab/>
        </w:r>
        <w:r w:rsidRPr="00042B5F">
          <w:rPr>
            <w:rStyle w:val="Hyperlink"/>
            <w:noProof/>
          </w:rPr>
          <w:t>Discussion</w:t>
        </w:r>
        <w:r>
          <w:rPr>
            <w:noProof/>
            <w:webHidden/>
          </w:rPr>
          <w:tab/>
        </w:r>
        <w:r>
          <w:rPr>
            <w:noProof/>
            <w:webHidden/>
          </w:rPr>
          <w:fldChar w:fldCharType="begin"/>
        </w:r>
        <w:r>
          <w:rPr>
            <w:noProof/>
            <w:webHidden/>
          </w:rPr>
          <w:instrText xml:space="preserve"> PAGEREF _Toc433964585 \h </w:instrText>
        </w:r>
        <w:r>
          <w:rPr>
            <w:noProof/>
            <w:webHidden/>
          </w:rPr>
        </w:r>
        <w:r>
          <w:rPr>
            <w:noProof/>
            <w:webHidden/>
          </w:rPr>
          <w:fldChar w:fldCharType="separate"/>
        </w:r>
        <w:r>
          <w:rPr>
            <w:noProof/>
            <w:webHidden/>
          </w:rPr>
          <w:t>85</w:t>
        </w:r>
        <w:r>
          <w:rPr>
            <w:noProof/>
            <w:webHidden/>
          </w:rPr>
          <w:fldChar w:fldCharType="end"/>
        </w:r>
      </w:hyperlink>
    </w:p>
    <w:p w14:paraId="2FD560B3" w14:textId="77777777" w:rsidR="00564E5C" w:rsidRDefault="00564E5C">
      <w:pPr>
        <w:pStyle w:val="TOC3"/>
        <w:rPr>
          <w:rFonts w:asciiTheme="minorHAnsi" w:eastAsiaTheme="minorEastAsia" w:hAnsiTheme="minorHAnsi" w:cstheme="minorBidi"/>
          <w:noProof/>
          <w:sz w:val="22"/>
          <w:szCs w:val="22"/>
        </w:rPr>
      </w:pPr>
      <w:hyperlink w:anchor="_Toc433964586" w:history="1">
        <w:r w:rsidRPr="00042B5F">
          <w:rPr>
            <w:rStyle w:val="Hyperlink"/>
            <w:noProof/>
          </w:rPr>
          <w:t>11.3.4</w:t>
        </w:r>
        <w:r>
          <w:rPr>
            <w:rFonts w:asciiTheme="minorHAnsi" w:eastAsiaTheme="minorEastAsia" w:hAnsiTheme="minorHAnsi" w:cstheme="minorBidi"/>
            <w:noProof/>
            <w:sz w:val="22"/>
            <w:szCs w:val="22"/>
          </w:rPr>
          <w:tab/>
        </w:r>
        <w:r w:rsidRPr="00042B5F">
          <w:rPr>
            <w:rStyle w:val="Hyperlink"/>
            <w:noProof/>
          </w:rPr>
          <w:t>Conclusions to Consequential Analysis</w:t>
        </w:r>
        <w:r>
          <w:rPr>
            <w:noProof/>
            <w:webHidden/>
          </w:rPr>
          <w:tab/>
        </w:r>
        <w:r>
          <w:rPr>
            <w:noProof/>
            <w:webHidden/>
          </w:rPr>
          <w:fldChar w:fldCharType="begin"/>
        </w:r>
        <w:r>
          <w:rPr>
            <w:noProof/>
            <w:webHidden/>
          </w:rPr>
          <w:instrText xml:space="preserve"> PAGEREF _Toc433964586 \h </w:instrText>
        </w:r>
        <w:r>
          <w:rPr>
            <w:noProof/>
            <w:webHidden/>
          </w:rPr>
        </w:r>
        <w:r>
          <w:rPr>
            <w:noProof/>
            <w:webHidden/>
          </w:rPr>
          <w:fldChar w:fldCharType="separate"/>
        </w:r>
        <w:r>
          <w:rPr>
            <w:noProof/>
            <w:webHidden/>
          </w:rPr>
          <w:t>87</w:t>
        </w:r>
        <w:r>
          <w:rPr>
            <w:noProof/>
            <w:webHidden/>
          </w:rPr>
          <w:fldChar w:fldCharType="end"/>
        </w:r>
      </w:hyperlink>
    </w:p>
    <w:p w14:paraId="27EB85D3" w14:textId="77777777" w:rsidR="00564E5C" w:rsidRDefault="00564E5C">
      <w:pPr>
        <w:pStyle w:val="TOC1"/>
        <w:rPr>
          <w:rFonts w:asciiTheme="minorHAnsi" w:eastAsiaTheme="minorEastAsia" w:hAnsiTheme="minorHAnsi" w:cstheme="minorBidi"/>
          <w:noProof/>
          <w:sz w:val="22"/>
          <w:szCs w:val="22"/>
        </w:rPr>
      </w:pPr>
      <w:hyperlink w:anchor="_Toc433964587" w:history="1">
        <w:r w:rsidRPr="00042B5F">
          <w:rPr>
            <w:rStyle w:val="Hyperlink"/>
            <w:noProof/>
          </w:rPr>
          <w:t>12</w:t>
        </w:r>
        <w:r>
          <w:rPr>
            <w:rFonts w:asciiTheme="minorHAnsi" w:eastAsiaTheme="minorEastAsia" w:hAnsiTheme="minorHAnsi" w:cstheme="minorBidi"/>
            <w:noProof/>
            <w:sz w:val="22"/>
            <w:szCs w:val="22"/>
          </w:rPr>
          <w:tab/>
        </w:r>
        <w:r w:rsidRPr="00042B5F">
          <w:rPr>
            <w:rStyle w:val="Hyperlink"/>
            <w:noProof/>
          </w:rPr>
          <w:t>Conclusion</w:t>
        </w:r>
        <w:r>
          <w:rPr>
            <w:noProof/>
            <w:webHidden/>
          </w:rPr>
          <w:tab/>
        </w:r>
        <w:r>
          <w:rPr>
            <w:noProof/>
            <w:webHidden/>
          </w:rPr>
          <w:fldChar w:fldCharType="begin"/>
        </w:r>
        <w:r>
          <w:rPr>
            <w:noProof/>
            <w:webHidden/>
          </w:rPr>
          <w:instrText xml:space="preserve"> PAGEREF _Toc433964587 \h </w:instrText>
        </w:r>
        <w:r>
          <w:rPr>
            <w:noProof/>
            <w:webHidden/>
          </w:rPr>
        </w:r>
        <w:r>
          <w:rPr>
            <w:noProof/>
            <w:webHidden/>
          </w:rPr>
          <w:fldChar w:fldCharType="separate"/>
        </w:r>
        <w:r>
          <w:rPr>
            <w:noProof/>
            <w:webHidden/>
          </w:rPr>
          <w:t>89</w:t>
        </w:r>
        <w:r>
          <w:rPr>
            <w:noProof/>
            <w:webHidden/>
          </w:rPr>
          <w:fldChar w:fldCharType="end"/>
        </w:r>
      </w:hyperlink>
    </w:p>
    <w:p w14:paraId="1179BE7B" w14:textId="77777777" w:rsidR="00564E5C" w:rsidRDefault="00564E5C">
      <w:pPr>
        <w:pStyle w:val="TOC1"/>
        <w:rPr>
          <w:rFonts w:asciiTheme="minorHAnsi" w:eastAsiaTheme="minorEastAsia" w:hAnsiTheme="minorHAnsi" w:cstheme="minorBidi"/>
          <w:noProof/>
          <w:sz w:val="22"/>
          <w:szCs w:val="22"/>
        </w:rPr>
      </w:pPr>
      <w:hyperlink w:anchor="_Toc433964588" w:history="1">
        <w:r w:rsidRPr="00042B5F">
          <w:rPr>
            <w:rStyle w:val="Hyperlink"/>
            <w:noProof/>
          </w:rPr>
          <w:t>13</w:t>
        </w:r>
        <w:r>
          <w:rPr>
            <w:rFonts w:asciiTheme="minorHAnsi" w:eastAsiaTheme="minorEastAsia" w:hAnsiTheme="minorHAnsi" w:cstheme="minorBidi"/>
            <w:noProof/>
            <w:sz w:val="22"/>
            <w:szCs w:val="22"/>
          </w:rPr>
          <w:tab/>
        </w:r>
        <w:r w:rsidRPr="00042B5F">
          <w:rPr>
            <w:rStyle w:val="Hyperlink"/>
            <w:noProof/>
          </w:rPr>
          <w:t>Glossary</w:t>
        </w:r>
        <w:r>
          <w:rPr>
            <w:noProof/>
            <w:webHidden/>
          </w:rPr>
          <w:tab/>
        </w:r>
        <w:r>
          <w:rPr>
            <w:noProof/>
            <w:webHidden/>
          </w:rPr>
          <w:fldChar w:fldCharType="begin"/>
        </w:r>
        <w:r>
          <w:rPr>
            <w:noProof/>
            <w:webHidden/>
          </w:rPr>
          <w:instrText xml:space="preserve"> PAGEREF _Toc433964588 \h </w:instrText>
        </w:r>
        <w:r>
          <w:rPr>
            <w:noProof/>
            <w:webHidden/>
          </w:rPr>
        </w:r>
        <w:r>
          <w:rPr>
            <w:noProof/>
            <w:webHidden/>
          </w:rPr>
          <w:fldChar w:fldCharType="separate"/>
        </w:r>
        <w:r>
          <w:rPr>
            <w:noProof/>
            <w:webHidden/>
          </w:rPr>
          <w:t>91</w:t>
        </w:r>
        <w:r>
          <w:rPr>
            <w:noProof/>
            <w:webHidden/>
          </w:rPr>
          <w:fldChar w:fldCharType="end"/>
        </w:r>
      </w:hyperlink>
    </w:p>
    <w:p w14:paraId="068D2B76" w14:textId="77777777" w:rsidR="00564E5C" w:rsidRDefault="00564E5C">
      <w:pPr>
        <w:pStyle w:val="TOC1"/>
        <w:rPr>
          <w:rFonts w:asciiTheme="minorHAnsi" w:eastAsiaTheme="minorEastAsia" w:hAnsiTheme="minorHAnsi" w:cstheme="minorBidi"/>
          <w:noProof/>
          <w:sz w:val="22"/>
          <w:szCs w:val="22"/>
        </w:rPr>
      </w:pPr>
      <w:hyperlink w:anchor="_Toc433964589" w:history="1">
        <w:r w:rsidRPr="00042B5F">
          <w:rPr>
            <w:rStyle w:val="Hyperlink"/>
            <w:noProof/>
          </w:rPr>
          <w:t>14</w:t>
        </w:r>
        <w:r>
          <w:rPr>
            <w:rFonts w:asciiTheme="minorHAnsi" w:eastAsiaTheme="minorEastAsia" w:hAnsiTheme="minorHAnsi" w:cstheme="minorBidi"/>
            <w:noProof/>
            <w:sz w:val="22"/>
            <w:szCs w:val="22"/>
          </w:rPr>
          <w:tab/>
        </w:r>
        <w:r w:rsidRPr="00042B5F">
          <w:rPr>
            <w:rStyle w:val="Hyperlink"/>
            <w:noProof/>
          </w:rPr>
          <w:t>References</w:t>
        </w:r>
        <w:r>
          <w:rPr>
            <w:noProof/>
            <w:webHidden/>
          </w:rPr>
          <w:tab/>
        </w:r>
        <w:r>
          <w:rPr>
            <w:noProof/>
            <w:webHidden/>
          </w:rPr>
          <w:fldChar w:fldCharType="begin"/>
        </w:r>
        <w:r>
          <w:rPr>
            <w:noProof/>
            <w:webHidden/>
          </w:rPr>
          <w:instrText xml:space="preserve"> PAGEREF _Toc433964589 \h </w:instrText>
        </w:r>
        <w:r>
          <w:rPr>
            <w:noProof/>
            <w:webHidden/>
          </w:rPr>
        </w:r>
        <w:r>
          <w:rPr>
            <w:noProof/>
            <w:webHidden/>
          </w:rPr>
          <w:fldChar w:fldCharType="separate"/>
        </w:r>
        <w:r>
          <w:rPr>
            <w:noProof/>
            <w:webHidden/>
          </w:rPr>
          <w:t>93</w:t>
        </w:r>
        <w:r>
          <w:rPr>
            <w:noProof/>
            <w:webHidden/>
          </w:rPr>
          <w:fldChar w:fldCharType="end"/>
        </w:r>
      </w:hyperlink>
    </w:p>
    <w:p w14:paraId="70C8F8E0" w14:textId="77777777" w:rsidR="00564E5C" w:rsidRDefault="00564E5C">
      <w:pPr>
        <w:pStyle w:val="TOC2"/>
        <w:rPr>
          <w:rFonts w:asciiTheme="minorHAnsi" w:eastAsiaTheme="minorEastAsia" w:hAnsiTheme="minorHAnsi" w:cstheme="minorBidi"/>
          <w:noProof/>
          <w:sz w:val="22"/>
          <w:szCs w:val="22"/>
        </w:rPr>
      </w:pPr>
      <w:hyperlink w:anchor="_Toc433964590" w:history="1">
        <w:r w:rsidRPr="00042B5F">
          <w:rPr>
            <w:rStyle w:val="Hyperlink"/>
            <w:noProof/>
          </w:rPr>
          <w:t>14.1</w:t>
        </w:r>
        <w:r>
          <w:rPr>
            <w:rFonts w:asciiTheme="minorHAnsi" w:eastAsiaTheme="minorEastAsia" w:hAnsiTheme="minorHAnsi" w:cstheme="minorBidi"/>
            <w:noProof/>
            <w:sz w:val="22"/>
            <w:szCs w:val="22"/>
          </w:rPr>
          <w:tab/>
        </w:r>
        <w:r w:rsidRPr="00042B5F">
          <w:rPr>
            <w:rStyle w:val="Hyperlink"/>
            <w:noProof/>
          </w:rPr>
          <w:t>Databases</w:t>
        </w:r>
        <w:r>
          <w:rPr>
            <w:noProof/>
            <w:webHidden/>
          </w:rPr>
          <w:tab/>
        </w:r>
        <w:r>
          <w:rPr>
            <w:noProof/>
            <w:webHidden/>
          </w:rPr>
          <w:fldChar w:fldCharType="begin"/>
        </w:r>
        <w:r>
          <w:rPr>
            <w:noProof/>
            <w:webHidden/>
          </w:rPr>
          <w:instrText xml:space="preserve"> PAGEREF _Toc433964590 \h </w:instrText>
        </w:r>
        <w:r>
          <w:rPr>
            <w:noProof/>
            <w:webHidden/>
          </w:rPr>
        </w:r>
        <w:r>
          <w:rPr>
            <w:noProof/>
            <w:webHidden/>
          </w:rPr>
          <w:fldChar w:fldCharType="separate"/>
        </w:r>
        <w:r>
          <w:rPr>
            <w:noProof/>
            <w:webHidden/>
          </w:rPr>
          <w:t>93</w:t>
        </w:r>
        <w:r>
          <w:rPr>
            <w:noProof/>
            <w:webHidden/>
          </w:rPr>
          <w:fldChar w:fldCharType="end"/>
        </w:r>
      </w:hyperlink>
    </w:p>
    <w:p w14:paraId="69008D41" w14:textId="77777777" w:rsidR="00564E5C" w:rsidRDefault="00564E5C">
      <w:pPr>
        <w:pStyle w:val="TOC2"/>
        <w:rPr>
          <w:rFonts w:asciiTheme="minorHAnsi" w:eastAsiaTheme="minorEastAsia" w:hAnsiTheme="minorHAnsi" w:cstheme="minorBidi"/>
          <w:noProof/>
          <w:sz w:val="22"/>
          <w:szCs w:val="22"/>
        </w:rPr>
      </w:pPr>
      <w:hyperlink w:anchor="_Toc433964591" w:history="1">
        <w:r w:rsidRPr="00042B5F">
          <w:rPr>
            <w:rStyle w:val="Hyperlink"/>
            <w:noProof/>
          </w:rPr>
          <w:t>14.2</w:t>
        </w:r>
        <w:r>
          <w:rPr>
            <w:rFonts w:asciiTheme="minorHAnsi" w:eastAsiaTheme="minorEastAsia" w:hAnsiTheme="minorHAnsi" w:cstheme="minorBidi"/>
            <w:noProof/>
            <w:sz w:val="22"/>
            <w:szCs w:val="22"/>
          </w:rPr>
          <w:tab/>
        </w:r>
        <w:r w:rsidRPr="00042B5F">
          <w:rPr>
            <w:rStyle w:val="Hyperlink"/>
            <w:noProof/>
          </w:rPr>
          <w:t>Literature</w:t>
        </w:r>
        <w:r>
          <w:rPr>
            <w:noProof/>
            <w:webHidden/>
          </w:rPr>
          <w:tab/>
        </w:r>
        <w:r>
          <w:rPr>
            <w:noProof/>
            <w:webHidden/>
          </w:rPr>
          <w:fldChar w:fldCharType="begin"/>
        </w:r>
        <w:r>
          <w:rPr>
            <w:noProof/>
            <w:webHidden/>
          </w:rPr>
          <w:instrText xml:space="preserve"> PAGEREF _Toc433964591 \h </w:instrText>
        </w:r>
        <w:r>
          <w:rPr>
            <w:noProof/>
            <w:webHidden/>
          </w:rPr>
        </w:r>
        <w:r>
          <w:rPr>
            <w:noProof/>
            <w:webHidden/>
          </w:rPr>
          <w:fldChar w:fldCharType="separate"/>
        </w:r>
        <w:r>
          <w:rPr>
            <w:noProof/>
            <w:webHidden/>
          </w:rPr>
          <w:t>93</w:t>
        </w:r>
        <w:r>
          <w:rPr>
            <w:noProof/>
            <w:webHidden/>
          </w:rPr>
          <w:fldChar w:fldCharType="end"/>
        </w:r>
      </w:hyperlink>
    </w:p>
    <w:p w14:paraId="5537D566" w14:textId="77777777" w:rsidR="00564E5C" w:rsidRDefault="00564E5C">
      <w:pPr>
        <w:pStyle w:val="TOC1"/>
        <w:rPr>
          <w:rFonts w:asciiTheme="minorHAnsi" w:eastAsiaTheme="minorEastAsia" w:hAnsiTheme="minorHAnsi" w:cstheme="minorBidi"/>
          <w:noProof/>
          <w:sz w:val="22"/>
          <w:szCs w:val="22"/>
        </w:rPr>
      </w:pPr>
      <w:hyperlink w:anchor="_Toc433964592" w:history="1">
        <w:r w:rsidRPr="00042B5F">
          <w:rPr>
            <w:rStyle w:val="Hyperlink"/>
            <w:noProof/>
          </w:rPr>
          <w:t>Appendix A – Life Cycle Assessment and Recycling</w:t>
        </w:r>
        <w:r>
          <w:rPr>
            <w:noProof/>
            <w:webHidden/>
          </w:rPr>
          <w:tab/>
        </w:r>
        <w:r>
          <w:rPr>
            <w:noProof/>
            <w:webHidden/>
          </w:rPr>
          <w:fldChar w:fldCharType="begin"/>
        </w:r>
        <w:r>
          <w:rPr>
            <w:noProof/>
            <w:webHidden/>
          </w:rPr>
          <w:instrText xml:space="preserve"> PAGEREF _Toc433964592 \h </w:instrText>
        </w:r>
        <w:r>
          <w:rPr>
            <w:noProof/>
            <w:webHidden/>
          </w:rPr>
        </w:r>
        <w:r>
          <w:rPr>
            <w:noProof/>
            <w:webHidden/>
          </w:rPr>
          <w:fldChar w:fldCharType="separate"/>
        </w:r>
        <w:r>
          <w:rPr>
            <w:noProof/>
            <w:webHidden/>
          </w:rPr>
          <w:t>97</w:t>
        </w:r>
        <w:r>
          <w:rPr>
            <w:noProof/>
            <w:webHidden/>
          </w:rPr>
          <w:fldChar w:fldCharType="end"/>
        </w:r>
      </w:hyperlink>
    </w:p>
    <w:p w14:paraId="5A027B47" w14:textId="77777777" w:rsidR="00564E5C" w:rsidRDefault="00564E5C">
      <w:pPr>
        <w:pStyle w:val="TOC2"/>
        <w:rPr>
          <w:rFonts w:asciiTheme="minorHAnsi" w:eastAsiaTheme="minorEastAsia" w:hAnsiTheme="minorHAnsi" w:cstheme="minorBidi"/>
          <w:noProof/>
          <w:sz w:val="22"/>
          <w:szCs w:val="22"/>
        </w:rPr>
      </w:pPr>
      <w:hyperlink w:anchor="_Toc433964593" w:history="1">
        <w:r w:rsidRPr="00042B5F">
          <w:rPr>
            <w:rStyle w:val="Hyperlink"/>
            <w:noProof/>
          </w:rPr>
          <w:t>1.1.</w:t>
        </w:r>
        <w:r>
          <w:rPr>
            <w:rFonts w:asciiTheme="minorHAnsi" w:eastAsiaTheme="minorEastAsia" w:hAnsiTheme="minorHAnsi" w:cstheme="minorBidi"/>
            <w:noProof/>
            <w:sz w:val="22"/>
            <w:szCs w:val="22"/>
          </w:rPr>
          <w:tab/>
        </w:r>
        <w:r w:rsidRPr="00042B5F">
          <w:rPr>
            <w:rStyle w:val="Hyperlink"/>
            <w:noProof/>
          </w:rPr>
          <w:t>LCA Methodology</w:t>
        </w:r>
        <w:r>
          <w:rPr>
            <w:noProof/>
            <w:webHidden/>
          </w:rPr>
          <w:tab/>
        </w:r>
        <w:r>
          <w:rPr>
            <w:noProof/>
            <w:webHidden/>
          </w:rPr>
          <w:fldChar w:fldCharType="begin"/>
        </w:r>
        <w:r>
          <w:rPr>
            <w:noProof/>
            <w:webHidden/>
          </w:rPr>
          <w:instrText xml:space="preserve"> PAGEREF _Toc433964593 \h </w:instrText>
        </w:r>
        <w:r>
          <w:rPr>
            <w:noProof/>
            <w:webHidden/>
          </w:rPr>
        </w:r>
        <w:r>
          <w:rPr>
            <w:noProof/>
            <w:webHidden/>
          </w:rPr>
          <w:fldChar w:fldCharType="separate"/>
        </w:r>
        <w:r>
          <w:rPr>
            <w:noProof/>
            <w:webHidden/>
          </w:rPr>
          <w:t>97</w:t>
        </w:r>
        <w:r>
          <w:rPr>
            <w:noProof/>
            <w:webHidden/>
          </w:rPr>
          <w:fldChar w:fldCharType="end"/>
        </w:r>
      </w:hyperlink>
    </w:p>
    <w:p w14:paraId="2C4028BD" w14:textId="77777777" w:rsidR="00564E5C" w:rsidRDefault="00564E5C">
      <w:pPr>
        <w:pStyle w:val="TOC2"/>
        <w:rPr>
          <w:rFonts w:asciiTheme="minorHAnsi" w:eastAsiaTheme="minorEastAsia" w:hAnsiTheme="minorHAnsi" w:cstheme="minorBidi"/>
          <w:noProof/>
          <w:sz w:val="22"/>
          <w:szCs w:val="22"/>
        </w:rPr>
      </w:pPr>
      <w:hyperlink w:anchor="_Toc433964594" w:history="1">
        <w:r w:rsidRPr="00042B5F">
          <w:rPr>
            <w:rStyle w:val="Hyperlink"/>
            <w:noProof/>
          </w:rPr>
          <w:t>1.2.</w:t>
        </w:r>
        <w:r>
          <w:rPr>
            <w:rFonts w:asciiTheme="minorHAnsi" w:eastAsiaTheme="minorEastAsia" w:hAnsiTheme="minorHAnsi" w:cstheme="minorBidi"/>
            <w:noProof/>
            <w:sz w:val="22"/>
            <w:szCs w:val="22"/>
          </w:rPr>
          <w:tab/>
        </w:r>
        <w:r w:rsidRPr="00042B5F">
          <w:rPr>
            <w:rStyle w:val="Hyperlink"/>
            <w:noProof/>
          </w:rPr>
          <w:t>Goal and scope definition</w:t>
        </w:r>
        <w:r>
          <w:rPr>
            <w:noProof/>
            <w:webHidden/>
          </w:rPr>
          <w:tab/>
        </w:r>
        <w:r>
          <w:rPr>
            <w:noProof/>
            <w:webHidden/>
          </w:rPr>
          <w:fldChar w:fldCharType="begin"/>
        </w:r>
        <w:r>
          <w:rPr>
            <w:noProof/>
            <w:webHidden/>
          </w:rPr>
          <w:instrText xml:space="preserve"> PAGEREF _Toc433964594 \h </w:instrText>
        </w:r>
        <w:r>
          <w:rPr>
            <w:noProof/>
            <w:webHidden/>
          </w:rPr>
        </w:r>
        <w:r>
          <w:rPr>
            <w:noProof/>
            <w:webHidden/>
          </w:rPr>
          <w:fldChar w:fldCharType="separate"/>
        </w:r>
        <w:r>
          <w:rPr>
            <w:noProof/>
            <w:webHidden/>
          </w:rPr>
          <w:t>98</w:t>
        </w:r>
        <w:r>
          <w:rPr>
            <w:noProof/>
            <w:webHidden/>
          </w:rPr>
          <w:fldChar w:fldCharType="end"/>
        </w:r>
      </w:hyperlink>
    </w:p>
    <w:p w14:paraId="34679B40" w14:textId="77777777" w:rsidR="00564E5C" w:rsidRDefault="00564E5C">
      <w:pPr>
        <w:pStyle w:val="TOC2"/>
        <w:rPr>
          <w:rFonts w:asciiTheme="minorHAnsi" w:eastAsiaTheme="minorEastAsia" w:hAnsiTheme="minorHAnsi" w:cstheme="minorBidi"/>
          <w:noProof/>
          <w:sz w:val="22"/>
          <w:szCs w:val="22"/>
        </w:rPr>
      </w:pPr>
      <w:hyperlink w:anchor="_Toc433964595" w:history="1">
        <w:r w:rsidRPr="00042B5F">
          <w:rPr>
            <w:rStyle w:val="Hyperlink"/>
            <w:noProof/>
          </w:rPr>
          <w:t>1.3.</w:t>
        </w:r>
        <w:r>
          <w:rPr>
            <w:rFonts w:asciiTheme="minorHAnsi" w:eastAsiaTheme="minorEastAsia" w:hAnsiTheme="minorHAnsi" w:cstheme="minorBidi"/>
            <w:noProof/>
            <w:sz w:val="22"/>
            <w:szCs w:val="22"/>
          </w:rPr>
          <w:tab/>
        </w:r>
        <w:r w:rsidRPr="00042B5F">
          <w:rPr>
            <w:rStyle w:val="Hyperlink"/>
            <w:noProof/>
          </w:rPr>
          <w:t>Inventory analysis</w:t>
        </w:r>
        <w:r>
          <w:rPr>
            <w:noProof/>
            <w:webHidden/>
          </w:rPr>
          <w:tab/>
        </w:r>
        <w:r>
          <w:rPr>
            <w:noProof/>
            <w:webHidden/>
          </w:rPr>
          <w:fldChar w:fldCharType="begin"/>
        </w:r>
        <w:r>
          <w:rPr>
            <w:noProof/>
            <w:webHidden/>
          </w:rPr>
          <w:instrText xml:space="preserve"> PAGEREF _Toc433964595 \h </w:instrText>
        </w:r>
        <w:r>
          <w:rPr>
            <w:noProof/>
            <w:webHidden/>
          </w:rPr>
        </w:r>
        <w:r>
          <w:rPr>
            <w:noProof/>
            <w:webHidden/>
          </w:rPr>
          <w:fldChar w:fldCharType="separate"/>
        </w:r>
        <w:r>
          <w:rPr>
            <w:noProof/>
            <w:webHidden/>
          </w:rPr>
          <w:t>98</w:t>
        </w:r>
        <w:r>
          <w:rPr>
            <w:noProof/>
            <w:webHidden/>
          </w:rPr>
          <w:fldChar w:fldCharType="end"/>
        </w:r>
      </w:hyperlink>
    </w:p>
    <w:p w14:paraId="05BBAFC2" w14:textId="77777777" w:rsidR="00564E5C" w:rsidRDefault="00564E5C">
      <w:pPr>
        <w:pStyle w:val="TOC2"/>
        <w:rPr>
          <w:rFonts w:asciiTheme="minorHAnsi" w:eastAsiaTheme="minorEastAsia" w:hAnsiTheme="minorHAnsi" w:cstheme="minorBidi"/>
          <w:noProof/>
          <w:sz w:val="22"/>
          <w:szCs w:val="22"/>
        </w:rPr>
      </w:pPr>
      <w:hyperlink w:anchor="_Toc433964596" w:history="1">
        <w:r w:rsidRPr="00042B5F">
          <w:rPr>
            <w:rStyle w:val="Hyperlink"/>
            <w:noProof/>
          </w:rPr>
          <w:t>1.4.</w:t>
        </w:r>
        <w:r>
          <w:rPr>
            <w:rFonts w:asciiTheme="minorHAnsi" w:eastAsiaTheme="minorEastAsia" w:hAnsiTheme="minorHAnsi" w:cstheme="minorBidi"/>
            <w:noProof/>
            <w:sz w:val="22"/>
            <w:szCs w:val="22"/>
          </w:rPr>
          <w:tab/>
        </w:r>
        <w:r w:rsidRPr="00042B5F">
          <w:rPr>
            <w:rStyle w:val="Hyperlink"/>
            <w:noProof/>
          </w:rPr>
          <w:t>Impact assessment</w:t>
        </w:r>
        <w:r>
          <w:rPr>
            <w:noProof/>
            <w:webHidden/>
          </w:rPr>
          <w:tab/>
        </w:r>
        <w:r>
          <w:rPr>
            <w:noProof/>
            <w:webHidden/>
          </w:rPr>
          <w:fldChar w:fldCharType="begin"/>
        </w:r>
        <w:r>
          <w:rPr>
            <w:noProof/>
            <w:webHidden/>
          </w:rPr>
          <w:instrText xml:space="preserve"> PAGEREF _Toc433964596 \h </w:instrText>
        </w:r>
        <w:r>
          <w:rPr>
            <w:noProof/>
            <w:webHidden/>
          </w:rPr>
        </w:r>
        <w:r>
          <w:rPr>
            <w:noProof/>
            <w:webHidden/>
          </w:rPr>
          <w:fldChar w:fldCharType="separate"/>
        </w:r>
        <w:r>
          <w:rPr>
            <w:noProof/>
            <w:webHidden/>
          </w:rPr>
          <w:t>98</w:t>
        </w:r>
        <w:r>
          <w:rPr>
            <w:noProof/>
            <w:webHidden/>
          </w:rPr>
          <w:fldChar w:fldCharType="end"/>
        </w:r>
      </w:hyperlink>
    </w:p>
    <w:p w14:paraId="0C526039" w14:textId="77777777" w:rsidR="00564E5C" w:rsidRDefault="00564E5C">
      <w:pPr>
        <w:pStyle w:val="TOC2"/>
        <w:rPr>
          <w:rFonts w:asciiTheme="minorHAnsi" w:eastAsiaTheme="minorEastAsia" w:hAnsiTheme="minorHAnsi" w:cstheme="minorBidi"/>
          <w:noProof/>
          <w:sz w:val="22"/>
          <w:szCs w:val="22"/>
        </w:rPr>
      </w:pPr>
      <w:hyperlink w:anchor="_Toc433964597" w:history="1">
        <w:r w:rsidRPr="00042B5F">
          <w:rPr>
            <w:rStyle w:val="Hyperlink"/>
            <w:noProof/>
          </w:rPr>
          <w:t>1.5.</w:t>
        </w:r>
        <w:r>
          <w:rPr>
            <w:rFonts w:asciiTheme="minorHAnsi" w:eastAsiaTheme="minorEastAsia" w:hAnsiTheme="minorHAnsi" w:cstheme="minorBidi"/>
            <w:noProof/>
            <w:sz w:val="22"/>
            <w:szCs w:val="22"/>
          </w:rPr>
          <w:tab/>
        </w:r>
        <w:r w:rsidRPr="00042B5F">
          <w:rPr>
            <w:rStyle w:val="Hyperlink"/>
            <w:noProof/>
          </w:rPr>
          <w:t>Interpretation</w:t>
        </w:r>
        <w:r>
          <w:rPr>
            <w:noProof/>
            <w:webHidden/>
          </w:rPr>
          <w:tab/>
        </w:r>
        <w:r>
          <w:rPr>
            <w:noProof/>
            <w:webHidden/>
          </w:rPr>
          <w:fldChar w:fldCharType="begin"/>
        </w:r>
        <w:r>
          <w:rPr>
            <w:noProof/>
            <w:webHidden/>
          </w:rPr>
          <w:instrText xml:space="preserve"> PAGEREF _Toc433964597 \h </w:instrText>
        </w:r>
        <w:r>
          <w:rPr>
            <w:noProof/>
            <w:webHidden/>
          </w:rPr>
        </w:r>
        <w:r>
          <w:rPr>
            <w:noProof/>
            <w:webHidden/>
          </w:rPr>
          <w:fldChar w:fldCharType="separate"/>
        </w:r>
        <w:r>
          <w:rPr>
            <w:noProof/>
            <w:webHidden/>
          </w:rPr>
          <w:t>98</w:t>
        </w:r>
        <w:r>
          <w:rPr>
            <w:noProof/>
            <w:webHidden/>
          </w:rPr>
          <w:fldChar w:fldCharType="end"/>
        </w:r>
      </w:hyperlink>
    </w:p>
    <w:p w14:paraId="4F422DC4" w14:textId="77777777" w:rsidR="00564E5C" w:rsidRDefault="00564E5C">
      <w:pPr>
        <w:pStyle w:val="TOC2"/>
        <w:rPr>
          <w:rFonts w:asciiTheme="minorHAnsi" w:eastAsiaTheme="minorEastAsia" w:hAnsiTheme="minorHAnsi" w:cstheme="minorBidi"/>
          <w:noProof/>
          <w:sz w:val="22"/>
          <w:szCs w:val="22"/>
        </w:rPr>
      </w:pPr>
      <w:hyperlink w:anchor="_Toc433964598" w:history="1">
        <w:r w:rsidRPr="00042B5F">
          <w:rPr>
            <w:rStyle w:val="Hyperlink"/>
            <w:noProof/>
          </w:rPr>
          <w:t>2.</w:t>
        </w:r>
        <w:r>
          <w:rPr>
            <w:rFonts w:asciiTheme="minorHAnsi" w:eastAsiaTheme="minorEastAsia" w:hAnsiTheme="minorHAnsi" w:cstheme="minorBidi"/>
            <w:noProof/>
            <w:sz w:val="22"/>
            <w:szCs w:val="22"/>
          </w:rPr>
          <w:tab/>
        </w:r>
        <w:r w:rsidRPr="00042B5F">
          <w:rPr>
            <w:rStyle w:val="Hyperlink"/>
            <w:noProof/>
          </w:rPr>
          <w:t>The application of LCA to studies of recycling</w:t>
        </w:r>
        <w:r>
          <w:rPr>
            <w:noProof/>
            <w:webHidden/>
          </w:rPr>
          <w:tab/>
        </w:r>
        <w:r>
          <w:rPr>
            <w:noProof/>
            <w:webHidden/>
          </w:rPr>
          <w:fldChar w:fldCharType="begin"/>
        </w:r>
        <w:r>
          <w:rPr>
            <w:noProof/>
            <w:webHidden/>
          </w:rPr>
          <w:instrText xml:space="preserve"> PAGEREF _Toc433964598 \h </w:instrText>
        </w:r>
        <w:r>
          <w:rPr>
            <w:noProof/>
            <w:webHidden/>
          </w:rPr>
        </w:r>
        <w:r>
          <w:rPr>
            <w:noProof/>
            <w:webHidden/>
          </w:rPr>
          <w:fldChar w:fldCharType="separate"/>
        </w:r>
        <w:r>
          <w:rPr>
            <w:noProof/>
            <w:webHidden/>
          </w:rPr>
          <w:t>99</w:t>
        </w:r>
        <w:r>
          <w:rPr>
            <w:noProof/>
            <w:webHidden/>
          </w:rPr>
          <w:fldChar w:fldCharType="end"/>
        </w:r>
      </w:hyperlink>
    </w:p>
    <w:p w14:paraId="38E2A7D9" w14:textId="77777777" w:rsidR="00564E5C" w:rsidRDefault="00564E5C">
      <w:pPr>
        <w:pStyle w:val="TOC2"/>
        <w:rPr>
          <w:rFonts w:asciiTheme="minorHAnsi" w:eastAsiaTheme="minorEastAsia" w:hAnsiTheme="minorHAnsi" w:cstheme="minorBidi"/>
          <w:noProof/>
          <w:sz w:val="22"/>
          <w:szCs w:val="22"/>
        </w:rPr>
      </w:pPr>
      <w:hyperlink w:anchor="_Toc433964599" w:history="1">
        <w:r w:rsidRPr="00042B5F">
          <w:rPr>
            <w:rStyle w:val="Hyperlink"/>
            <w:noProof/>
          </w:rPr>
          <w:t>2.1.</w:t>
        </w:r>
        <w:r>
          <w:rPr>
            <w:rFonts w:asciiTheme="minorHAnsi" w:eastAsiaTheme="minorEastAsia" w:hAnsiTheme="minorHAnsi" w:cstheme="minorBidi"/>
            <w:noProof/>
            <w:sz w:val="22"/>
            <w:szCs w:val="22"/>
          </w:rPr>
          <w:tab/>
        </w:r>
        <w:r w:rsidRPr="00042B5F">
          <w:rPr>
            <w:rStyle w:val="Hyperlink"/>
            <w:noProof/>
          </w:rPr>
          <w:t>Allocation and partitioning</w:t>
        </w:r>
        <w:r>
          <w:rPr>
            <w:noProof/>
            <w:webHidden/>
          </w:rPr>
          <w:tab/>
        </w:r>
        <w:r>
          <w:rPr>
            <w:noProof/>
            <w:webHidden/>
          </w:rPr>
          <w:fldChar w:fldCharType="begin"/>
        </w:r>
        <w:r>
          <w:rPr>
            <w:noProof/>
            <w:webHidden/>
          </w:rPr>
          <w:instrText xml:space="preserve"> PAGEREF _Toc433964599 \h </w:instrText>
        </w:r>
        <w:r>
          <w:rPr>
            <w:noProof/>
            <w:webHidden/>
          </w:rPr>
        </w:r>
        <w:r>
          <w:rPr>
            <w:noProof/>
            <w:webHidden/>
          </w:rPr>
          <w:fldChar w:fldCharType="separate"/>
        </w:r>
        <w:r>
          <w:rPr>
            <w:noProof/>
            <w:webHidden/>
          </w:rPr>
          <w:t>99</w:t>
        </w:r>
        <w:r>
          <w:rPr>
            <w:noProof/>
            <w:webHidden/>
          </w:rPr>
          <w:fldChar w:fldCharType="end"/>
        </w:r>
      </w:hyperlink>
    </w:p>
    <w:p w14:paraId="6A4DFC08" w14:textId="77777777" w:rsidR="00564E5C" w:rsidRDefault="00564E5C">
      <w:pPr>
        <w:pStyle w:val="TOC2"/>
        <w:rPr>
          <w:rFonts w:asciiTheme="minorHAnsi" w:eastAsiaTheme="minorEastAsia" w:hAnsiTheme="minorHAnsi" w:cstheme="minorBidi"/>
          <w:noProof/>
          <w:sz w:val="22"/>
          <w:szCs w:val="22"/>
        </w:rPr>
      </w:pPr>
      <w:hyperlink w:anchor="_Toc433964600" w:history="1">
        <w:r w:rsidRPr="00042B5F">
          <w:rPr>
            <w:rStyle w:val="Hyperlink"/>
            <w:noProof/>
          </w:rPr>
          <w:t>2.2.</w:t>
        </w:r>
        <w:r>
          <w:rPr>
            <w:rFonts w:asciiTheme="minorHAnsi" w:eastAsiaTheme="minorEastAsia" w:hAnsiTheme="minorHAnsi" w:cstheme="minorBidi"/>
            <w:noProof/>
            <w:sz w:val="22"/>
            <w:szCs w:val="22"/>
          </w:rPr>
          <w:tab/>
        </w:r>
        <w:r w:rsidRPr="00042B5F">
          <w:rPr>
            <w:rStyle w:val="Hyperlink"/>
            <w:noProof/>
          </w:rPr>
          <w:t>Consequential versus attributional perspectives</w:t>
        </w:r>
        <w:r>
          <w:rPr>
            <w:noProof/>
            <w:webHidden/>
          </w:rPr>
          <w:tab/>
        </w:r>
        <w:r>
          <w:rPr>
            <w:noProof/>
            <w:webHidden/>
          </w:rPr>
          <w:fldChar w:fldCharType="begin"/>
        </w:r>
        <w:r>
          <w:rPr>
            <w:noProof/>
            <w:webHidden/>
          </w:rPr>
          <w:instrText xml:space="preserve"> PAGEREF _Toc433964600 \h </w:instrText>
        </w:r>
        <w:r>
          <w:rPr>
            <w:noProof/>
            <w:webHidden/>
          </w:rPr>
        </w:r>
        <w:r>
          <w:rPr>
            <w:noProof/>
            <w:webHidden/>
          </w:rPr>
          <w:fldChar w:fldCharType="separate"/>
        </w:r>
        <w:r>
          <w:rPr>
            <w:noProof/>
            <w:webHidden/>
          </w:rPr>
          <w:t>99</w:t>
        </w:r>
        <w:r>
          <w:rPr>
            <w:noProof/>
            <w:webHidden/>
          </w:rPr>
          <w:fldChar w:fldCharType="end"/>
        </w:r>
      </w:hyperlink>
    </w:p>
    <w:p w14:paraId="4CCAB4B1" w14:textId="77777777" w:rsidR="00564E5C" w:rsidRDefault="00564E5C">
      <w:pPr>
        <w:pStyle w:val="TOC2"/>
        <w:rPr>
          <w:rFonts w:asciiTheme="minorHAnsi" w:eastAsiaTheme="minorEastAsia" w:hAnsiTheme="minorHAnsi" w:cstheme="minorBidi"/>
          <w:noProof/>
          <w:sz w:val="22"/>
          <w:szCs w:val="22"/>
        </w:rPr>
      </w:pPr>
      <w:hyperlink w:anchor="_Toc433964601" w:history="1">
        <w:r w:rsidRPr="00042B5F">
          <w:rPr>
            <w:rStyle w:val="Hyperlink"/>
            <w:noProof/>
          </w:rPr>
          <w:t>2.3.</w:t>
        </w:r>
        <w:r>
          <w:rPr>
            <w:rFonts w:asciiTheme="minorHAnsi" w:eastAsiaTheme="minorEastAsia" w:hAnsiTheme="minorHAnsi" w:cstheme="minorBidi"/>
            <w:noProof/>
            <w:sz w:val="22"/>
            <w:szCs w:val="22"/>
          </w:rPr>
          <w:tab/>
        </w:r>
        <w:r w:rsidRPr="00042B5F">
          <w:rPr>
            <w:rStyle w:val="Hyperlink"/>
            <w:noProof/>
          </w:rPr>
          <w:t>Characterising environmental impacts</w:t>
        </w:r>
        <w:r>
          <w:rPr>
            <w:noProof/>
            <w:webHidden/>
          </w:rPr>
          <w:tab/>
        </w:r>
        <w:r>
          <w:rPr>
            <w:noProof/>
            <w:webHidden/>
          </w:rPr>
          <w:fldChar w:fldCharType="begin"/>
        </w:r>
        <w:r>
          <w:rPr>
            <w:noProof/>
            <w:webHidden/>
          </w:rPr>
          <w:instrText xml:space="preserve"> PAGEREF _Toc433964601 \h </w:instrText>
        </w:r>
        <w:r>
          <w:rPr>
            <w:noProof/>
            <w:webHidden/>
          </w:rPr>
        </w:r>
        <w:r>
          <w:rPr>
            <w:noProof/>
            <w:webHidden/>
          </w:rPr>
          <w:fldChar w:fldCharType="separate"/>
        </w:r>
        <w:r>
          <w:rPr>
            <w:noProof/>
            <w:webHidden/>
          </w:rPr>
          <w:t>101</w:t>
        </w:r>
        <w:r>
          <w:rPr>
            <w:noProof/>
            <w:webHidden/>
          </w:rPr>
          <w:fldChar w:fldCharType="end"/>
        </w:r>
      </w:hyperlink>
    </w:p>
    <w:p w14:paraId="1782D8D3" w14:textId="77777777" w:rsidR="00564E5C" w:rsidRDefault="00564E5C">
      <w:pPr>
        <w:pStyle w:val="TOC2"/>
        <w:rPr>
          <w:rFonts w:asciiTheme="minorHAnsi" w:eastAsiaTheme="minorEastAsia" w:hAnsiTheme="minorHAnsi" w:cstheme="minorBidi"/>
          <w:noProof/>
          <w:sz w:val="22"/>
          <w:szCs w:val="22"/>
        </w:rPr>
      </w:pPr>
      <w:hyperlink w:anchor="_Toc433964602" w:history="1">
        <w:r w:rsidRPr="00042B5F">
          <w:rPr>
            <w:rStyle w:val="Hyperlink"/>
            <w:noProof/>
          </w:rPr>
          <w:t>2.4.</w:t>
        </w:r>
        <w:r>
          <w:rPr>
            <w:rFonts w:asciiTheme="minorHAnsi" w:eastAsiaTheme="minorEastAsia" w:hAnsiTheme="minorHAnsi" w:cstheme="minorBidi"/>
            <w:noProof/>
            <w:sz w:val="22"/>
            <w:szCs w:val="22"/>
          </w:rPr>
          <w:tab/>
        </w:r>
        <w:r w:rsidRPr="00042B5F">
          <w:rPr>
            <w:rStyle w:val="Hyperlink"/>
            <w:noProof/>
          </w:rPr>
          <w:t>More recent recycling LCA’s</w:t>
        </w:r>
        <w:r>
          <w:rPr>
            <w:noProof/>
            <w:webHidden/>
          </w:rPr>
          <w:tab/>
        </w:r>
        <w:r>
          <w:rPr>
            <w:noProof/>
            <w:webHidden/>
          </w:rPr>
          <w:fldChar w:fldCharType="begin"/>
        </w:r>
        <w:r>
          <w:rPr>
            <w:noProof/>
            <w:webHidden/>
          </w:rPr>
          <w:instrText xml:space="preserve"> PAGEREF _Toc433964602 \h </w:instrText>
        </w:r>
        <w:r>
          <w:rPr>
            <w:noProof/>
            <w:webHidden/>
          </w:rPr>
        </w:r>
        <w:r>
          <w:rPr>
            <w:noProof/>
            <w:webHidden/>
          </w:rPr>
          <w:fldChar w:fldCharType="separate"/>
        </w:r>
        <w:r>
          <w:rPr>
            <w:noProof/>
            <w:webHidden/>
          </w:rPr>
          <w:t>102</w:t>
        </w:r>
        <w:r>
          <w:rPr>
            <w:noProof/>
            <w:webHidden/>
          </w:rPr>
          <w:fldChar w:fldCharType="end"/>
        </w:r>
      </w:hyperlink>
    </w:p>
    <w:p w14:paraId="11C4C70F" w14:textId="77777777" w:rsidR="00564E5C" w:rsidRDefault="00564E5C">
      <w:pPr>
        <w:pStyle w:val="TOC1"/>
        <w:rPr>
          <w:rFonts w:asciiTheme="minorHAnsi" w:eastAsiaTheme="minorEastAsia" w:hAnsiTheme="minorHAnsi" w:cstheme="minorBidi"/>
          <w:noProof/>
          <w:sz w:val="22"/>
          <w:szCs w:val="22"/>
        </w:rPr>
      </w:pPr>
      <w:hyperlink w:anchor="_Toc433964603" w:history="1">
        <w:r w:rsidRPr="00042B5F">
          <w:rPr>
            <w:rStyle w:val="Hyperlink"/>
            <w:noProof/>
          </w:rPr>
          <w:t>Appendix B – Inventory Report</w:t>
        </w:r>
        <w:r>
          <w:rPr>
            <w:noProof/>
            <w:webHidden/>
          </w:rPr>
          <w:tab/>
        </w:r>
        <w:r>
          <w:rPr>
            <w:noProof/>
            <w:webHidden/>
          </w:rPr>
          <w:fldChar w:fldCharType="begin"/>
        </w:r>
        <w:r>
          <w:rPr>
            <w:noProof/>
            <w:webHidden/>
          </w:rPr>
          <w:instrText xml:space="preserve"> PAGEREF _Toc433964603 \h </w:instrText>
        </w:r>
        <w:r>
          <w:rPr>
            <w:noProof/>
            <w:webHidden/>
          </w:rPr>
        </w:r>
        <w:r>
          <w:rPr>
            <w:noProof/>
            <w:webHidden/>
          </w:rPr>
          <w:fldChar w:fldCharType="separate"/>
        </w:r>
        <w:r>
          <w:rPr>
            <w:noProof/>
            <w:webHidden/>
          </w:rPr>
          <w:t>104</w:t>
        </w:r>
        <w:r>
          <w:rPr>
            <w:noProof/>
            <w:webHidden/>
          </w:rPr>
          <w:fldChar w:fldCharType="end"/>
        </w:r>
      </w:hyperlink>
    </w:p>
    <w:p w14:paraId="45154AF6" w14:textId="77777777" w:rsidR="00564E5C" w:rsidRDefault="00564E5C">
      <w:pPr>
        <w:pStyle w:val="TOC1"/>
        <w:rPr>
          <w:rFonts w:asciiTheme="minorHAnsi" w:eastAsiaTheme="minorEastAsia" w:hAnsiTheme="minorHAnsi" w:cstheme="minorBidi"/>
          <w:noProof/>
          <w:sz w:val="22"/>
          <w:szCs w:val="22"/>
        </w:rPr>
      </w:pPr>
      <w:hyperlink w:anchor="_Toc433964604" w:history="1">
        <w:r w:rsidRPr="00042B5F">
          <w:rPr>
            <w:rStyle w:val="Hyperlink"/>
            <w:noProof/>
          </w:rPr>
          <w:t>Appendix C – Detailed Results by Material</w:t>
        </w:r>
        <w:r>
          <w:rPr>
            <w:noProof/>
            <w:webHidden/>
          </w:rPr>
          <w:tab/>
        </w:r>
        <w:r>
          <w:rPr>
            <w:noProof/>
            <w:webHidden/>
          </w:rPr>
          <w:fldChar w:fldCharType="begin"/>
        </w:r>
        <w:r>
          <w:rPr>
            <w:noProof/>
            <w:webHidden/>
          </w:rPr>
          <w:instrText xml:space="preserve"> PAGEREF _Toc433964604 \h </w:instrText>
        </w:r>
        <w:r>
          <w:rPr>
            <w:noProof/>
            <w:webHidden/>
          </w:rPr>
        </w:r>
        <w:r>
          <w:rPr>
            <w:noProof/>
            <w:webHidden/>
          </w:rPr>
          <w:fldChar w:fldCharType="separate"/>
        </w:r>
        <w:r>
          <w:rPr>
            <w:noProof/>
            <w:webHidden/>
          </w:rPr>
          <w:t>105</w:t>
        </w:r>
        <w:r>
          <w:rPr>
            <w:noProof/>
            <w:webHidden/>
          </w:rPr>
          <w:fldChar w:fldCharType="end"/>
        </w:r>
      </w:hyperlink>
    </w:p>
    <w:p w14:paraId="5CE9A844" w14:textId="77777777" w:rsidR="00564E5C" w:rsidRDefault="00564E5C">
      <w:pPr>
        <w:pStyle w:val="TOC1"/>
        <w:rPr>
          <w:rFonts w:asciiTheme="minorHAnsi" w:eastAsiaTheme="minorEastAsia" w:hAnsiTheme="minorHAnsi" w:cstheme="minorBidi"/>
          <w:noProof/>
          <w:sz w:val="22"/>
          <w:szCs w:val="22"/>
        </w:rPr>
      </w:pPr>
      <w:hyperlink w:anchor="_Toc433964605" w:history="1">
        <w:r w:rsidRPr="00042B5F">
          <w:rPr>
            <w:rStyle w:val="Hyperlink"/>
            <w:noProof/>
          </w:rPr>
          <w:t>Appendix D – Impact Assessment Method (Factors)</w:t>
        </w:r>
        <w:r>
          <w:rPr>
            <w:noProof/>
            <w:webHidden/>
          </w:rPr>
          <w:tab/>
        </w:r>
        <w:r>
          <w:rPr>
            <w:noProof/>
            <w:webHidden/>
          </w:rPr>
          <w:fldChar w:fldCharType="begin"/>
        </w:r>
        <w:r>
          <w:rPr>
            <w:noProof/>
            <w:webHidden/>
          </w:rPr>
          <w:instrText xml:space="preserve"> PAGEREF _Toc433964605 \h </w:instrText>
        </w:r>
        <w:r>
          <w:rPr>
            <w:noProof/>
            <w:webHidden/>
          </w:rPr>
        </w:r>
        <w:r>
          <w:rPr>
            <w:noProof/>
            <w:webHidden/>
          </w:rPr>
          <w:fldChar w:fldCharType="separate"/>
        </w:r>
        <w:r>
          <w:rPr>
            <w:noProof/>
            <w:webHidden/>
          </w:rPr>
          <w:t>108</w:t>
        </w:r>
        <w:r>
          <w:rPr>
            <w:noProof/>
            <w:webHidden/>
          </w:rPr>
          <w:fldChar w:fldCharType="end"/>
        </w:r>
      </w:hyperlink>
    </w:p>
    <w:p w14:paraId="0AE91DEF" w14:textId="77777777" w:rsidR="00564E5C" w:rsidRDefault="00564E5C">
      <w:pPr>
        <w:pStyle w:val="TOC1"/>
        <w:rPr>
          <w:rFonts w:asciiTheme="minorHAnsi" w:eastAsiaTheme="minorEastAsia" w:hAnsiTheme="minorHAnsi" w:cstheme="minorBidi"/>
          <w:noProof/>
          <w:sz w:val="22"/>
          <w:szCs w:val="22"/>
        </w:rPr>
      </w:pPr>
      <w:hyperlink w:anchor="_Toc433964606" w:history="1">
        <w:r w:rsidRPr="00042B5F">
          <w:rPr>
            <w:rStyle w:val="Hyperlink"/>
            <w:noProof/>
          </w:rPr>
          <w:t>Appendix E – Reviewer comments</w:t>
        </w:r>
        <w:r>
          <w:rPr>
            <w:noProof/>
            <w:webHidden/>
          </w:rPr>
          <w:tab/>
        </w:r>
        <w:r>
          <w:rPr>
            <w:noProof/>
            <w:webHidden/>
          </w:rPr>
          <w:fldChar w:fldCharType="begin"/>
        </w:r>
        <w:r>
          <w:rPr>
            <w:noProof/>
            <w:webHidden/>
          </w:rPr>
          <w:instrText xml:space="preserve"> PAGEREF _Toc433964606 \h </w:instrText>
        </w:r>
        <w:r>
          <w:rPr>
            <w:noProof/>
            <w:webHidden/>
          </w:rPr>
        </w:r>
        <w:r>
          <w:rPr>
            <w:noProof/>
            <w:webHidden/>
          </w:rPr>
          <w:fldChar w:fldCharType="separate"/>
        </w:r>
        <w:r>
          <w:rPr>
            <w:noProof/>
            <w:webHidden/>
          </w:rPr>
          <w:t>120</w:t>
        </w:r>
        <w:r>
          <w:rPr>
            <w:noProof/>
            <w:webHidden/>
          </w:rPr>
          <w:fldChar w:fldCharType="end"/>
        </w:r>
      </w:hyperlink>
    </w:p>
    <w:p w14:paraId="2C2E1C83" w14:textId="77777777" w:rsidR="00564E5C" w:rsidRDefault="00564E5C">
      <w:pPr>
        <w:pStyle w:val="TOC1"/>
        <w:rPr>
          <w:rFonts w:asciiTheme="minorHAnsi" w:eastAsiaTheme="minorEastAsia" w:hAnsiTheme="minorHAnsi" w:cstheme="minorBidi"/>
          <w:noProof/>
          <w:sz w:val="22"/>
          <w:szCs w:val="22"/>
        </w:rPr>
      </w:pPr>
      <w:hyperlink w:anchor="_Toc433964607" w:history="1">
        <w:r w:rsidRPr="00042B5F">
          <w:rPr>
            <w:rStyle w:val="Hyperlink"/>
            <w:noProof/>
          </w:rPr>
          <w:t>Appendix F – Reviewer letter</w:t>
        </w:r>
        <w:r>
          <w:rPr>
            <w:noProof/>
            <w:webHidden/>
          </w:rPr>
          <w:tab/>
        </w:r>
        <w:r>
          <w:rPr>
            <w:noProof/>
            <w:webHidden/>
          </w:rPr>
          <w:fldChar w:fldCharType="begin"/>
        </w:r>
        <w:r>
          <w:rPr>
            <w:noProof/>
            <w:webHidden/>
          </w:rPr>
          <w:instrText xml:space="preserve"> PAGEREF _Toc433964607 \h </w:instrText>
        </w:r>
        <w:r>
          <w:rPr>
            <w:noProof/>
            <w:webHidden/>
          </w:rPr>
        </w:r>
        <w:r>
          <w:rPr>
            <w:noProof/>
            <w:webHidden/>
          </w:rPr>
          <w:fldChar w:fldCharType="separate"/>
        </w:r>
        <w:r>
          <w:rPr>
            <w:noProof/>
            <w:webHidden/>
          </w:rPr>
          <w:t>127</w:t>
        </w:r>
        <w:r>
          <w:rPr>
            <w:noProof/>
            <w:webHidden/>
          </w:rPr>
          <w:fldChar w:fldCharType="end"/>
        </w:r>
      </w:hyperlink>
    </w:p>
    <w:p w14:paraId="0D494214" w14:textId="77777777" w:rsidR="00944B7E" w:rsidRPr="00041296" w:rsidRDefault="00B35BE0" w:rsidP="003A2892">
      <w:r w:rsidRPr="00041296">
        <w:fldChar w:fldCharType="end"/>
      </w:r>
      <w:bookmarkStart w:id="5" w:name="_Toc301522106"/>
      <w:bookmarkStart w:id="6" w:name="_Toc303345292"/>
    </w:p>
    <w:p w14:paraId="0D494215" w14:textId="77777777" w:rsidR="00944B7E" w:rsidRPr="00041296" w:rsidRDefault="00944B7E" w:rsidP="003A2892">
      <w:pPr>
        <w:sectPr w:rsidR="00944B7E" w:rsidRPr="00041296" w:rsidSect="006555B4">
          <w:pgSz w:w="11906" w:h="16838"/>
          <w:pgMar w:top="1418" w:right="1440" w:bottom="1418" w:left="1440" w:header="709" w:footer="488" w:gutter="0"/>
          <w:cols w:space="708"/>
          <w:docGrid w:linePitch="360"/>
        </w:sectPr>
      </w:pPr>
    </w:p>
    <w:p w14:paraId="0D494220" w14:textId="77777777" w:rsidR="00003B95" w:rsidRDefault="00003B95" w:rsidP="00D5076F">
      <w:pPr>
        <w:pStyle w:val="Heading1"/>
        <w:rPr>
          <w:lang w:val="en-AU"/>
        </w:rPr>
      </w:pPr>
      <w:bookmarkStart w:id="7" w:name="_Toc301522108"/>
      <w:bookmarkStart w:id="8" w:name="_Toc303345293"/>
      <w:bookmarkStart w:id="9" w:name="_Toc433964517"/>
      <w:bookmarkEnd w:id="5"/>
      <w:bookmarkEnd w:id="6"/>
      <w:r>
        <w:rPr>
          <w:lang w:val="en-AU"/>
        </w:rPr>
        <w:lastRenderedPageBreak/>
        <w:t>Executive summary</w:t>
      </w:r>
      <w:bookmarkEnd w:id="9"/>
    </w:p>
    <w:p w14:paraId="0D494221" w14:textId="77777777" w:rsidR="002E1C2D" w:rsidRDefault="002E1C2D" w:rsidP="002E1C2D">
      <w:pPr>
        <w:rPr>
          <w:lang w:eastAsia="x-none"/>
        </w:rPr>
      </w:pPr>
    </w:p>
    <w:p w14:paraId="0D494223" w14:textId="08C908CA" w:rsidR="00770FB0" w:rsidRDefault="002E1C2D" w:rsidP="00770FB0">
      <w:pPr>
        <w:rPr>
          <w:lang w:eastAsia="x-none"/>
        </w:rPr>
      </w:pPr>
      <w:r>
        <w:t xml:space="preserve">This report </w:t>
      </w:r>
      <w:r w:rsidR="00770FB0">
        <w:t>was</w:t>
      </w:r>
      <w:r>
        <w:t xml:space="preserve"> commissioned by Sustainability Victoria (SV) in order to assess the life cycle impacts of kerbside recycling in Victoria using the Life Cycle Assessment (LCA) methodology. </w:t>
      </w:r>
      <w:r w:rsidR="00770FB0">
        <w:rPr>
          <w:lang w:eastAsia="x-none"/>
        </w:rPr>
        <w:t xml:space="preserve">The </w:t>
      </w:r>
      <w:r w:rsidR="005B66CF">
        <w:rPr>
          <w:lang w:eastAsia="x-none"/>
        </w:rPr>
        <w:t>report seeks</w:t>
      </w:r>
      <w:r w:rsidR="00770FB0">
        <w:rPr>
          <w:lang w:eastAsia="x-none"/>
        </w:rPr>
        <w:t xml:space="preserve"> to assess the net environmental benefits/burdens of recycling activity in Victoria, building upon the </w:t>
      </w:r>
      <w:r w:rsidR="005B66CF">
        <w:rPr>
          <w:lang w:eastAsia="x-none"/>
        </w:rPr>
        <w:t xml:space="preserve">previous </w:t>
      </w:r>
      <w:r w:rsidR="00770FB0">
        <w:rPr>
          <w:lang w:eastAsia="x-none"/>
        </w:rPr>
        <w:t xml:space="preserve">study “Stage 2 Report for Life Cycle Assessment for Paper and Packaging Waste Management Scenarios in Victoria” (Grant et al., 2001a). </w:t>
      </w:r>
      <w:r w:rsidR="005B66CF">
        <w:rPr>
          <w:lang w:eastAsia="x-none"/>
        </w:rPr>
        <w:t>T</w:t>
      </w:r>
      <w:r w:rsidR="00770FB0">
        <w:rPr>
          <w:lang w:eastAsia="x-none"/>
        </w:rPr>
        <w:t xml:space="preserve">his objective </w:t>
      </w:r>
      <w:r w:rsidR="005B66CF">
        <w:rPr>
          <w:lang w:eastAsia="x-none"/>
        </w:rPr>
        <w:t xml:space="preserve">is addressed </w:t>
      </w:r>
      <w:r w:rsidR="00770FB0">
        <w:rPr>
          <w:lang w:eastAsia="x-none"/>
        </w:rPr>
        <w:t xml:space="preserve">by utilising the life cycle assessment methodology, as defined by ISO14044, to assess the potential environmental benefits/burdens of recycling versus an alternative approach </w:t>
      </w:r>
      <w:r w:rsidR="005B66CF">
        <w:rPr>
          <w:lang w:eastAsia="x-none"/>
        </w:rPr>
        <w:t>involving</w:t>
      </w:r>
      <w:r w:rsidR="00770FB0">
        <w:rPr>
          <w:lang w:eastAsia="x-none"/>
        </w:rPr>
        <w:t xml:space="preserve"> landfill.</w:t>
      </w:r>
    </w:p>
    <w:p w14:paraId="44C60983" w14:textId="275DB1B2" w:rsidR="005B66CF" w:rsidRDefault="00770FB0" w:rsidP="002E1C2D">
      <w:r>
        <w:t>This</w:t>
      </w:r>
      <w:r w:rsidR="002E1C2D">
        <w:t xml:space="preserve"> life cycle study is limited to domestic waste that is collected from the kerbside in Victoria. In </w:t>
      </w:r>
      <w:r w:rsidR="005B66CF">
        <w:t>determining the benefits of</w:t>
      </w:r>
      <w:r w:rsidR="002E1C2D">
        <w:t xml:space="preserve"> the recycling system it is necessary to consider both the existing recycling system as well as an alternative system that might exist if recycling did not take place: the Recycling System and the Alternative System. Whereas the nature of the Recycling System can be established by looking at the existing recycling process, the nature of the Alternative System is not </w:t>
      </w:r>
      <w:r w:rsidR="005B66CF">
        <w:t xml:space="preserve">so </w:t>
      </w:r>
      <w:r w:rsidR="002E1C2D">
        <w:t xml:space="preserve">clearly defined. </w:t>
      </w:r>
      <w:r w:rsidR="005B66CF">
        <w:t xml:space="preserve">It has been assumed that in the absence of recycling Victorians would most likely dispose of </w:t>
      </w:r>
      <w:r w:rsidR="00E30FD6">
        <w:t xml:space="preserve">most </w:t>
      </w:r>
      <w:r w:rsidR="005B66CF">
        <w:t>waste materials to landfill. The Alte</w:t>
      </w:r>
      <w:r w:rsidR="00B64034">
        <w:t xml:space="preserve">rnative </w:t>
      </w:r>
      <w:r w:rsidR="00B92B23">
        <w:t>S</w:t>
      </w:r>
      <w:r w:rsidR="005B66CF">
        <w:t>ystem, therefore, represents a waste treatment system similar to that currently used for non-recyclable garbage.</w:t>
      </w:r>
    </w:p>
    <w:p w14:paraId="0D494225" w14:textId="77777777" w:rsidR="00770FB0" w:rsidRDefault="00770FB0" w:rsidP="002E1C2D">
      <w:r>
        <w:t>In assessing the benefits/burdens of recycling in Victoria, the following functional unit was defined:</w:t>
      </w:r>
    </w:p>
    <w:p w14:paraId="0D494226" w14:textId="2B51A373" w:rsidR="002E1C2D" w:rsidRDefault="00770FB0" w:rsidP="002E1C2D">
      <w:pPr>
        <w:ind w:left="567"/>
      </w:pPr>
      <w:r>
        <w:t xml:space="preserve"> </w:t>
      </w:r>
      <w:r w:rsidR="002E1C2D">
        <w:t xml:space="preserve">“The management of </w:t>
      </w:r>
      <w:r w:rsidR="00E30FD6">
        <w:t>recyclable</w:t>
      </w:r>
      <w:r w:rsidR="00E30FD6">
        <w:rPr>
          <w:rStyle w:val="FootnoteReference"/>
        </w:rPr>
        <w:footnoteReference w:id="1"/>
      </w:r>
      <w:r w:rsidR="002E1C2D">
        <w:t xml:space="preserve"> materials discarded at kerbside from the average Victorian h</w:t>
      </w:r>
      <w:r>
        <w:t>ousehold in one year”</w:t>
      </w:r>
    </w:p>
    <w:p w14:paraId="0D494227" w14:textId="6F28A997" w:rsidR="002E1C2D" w:rsidRDefault="00770FB0" w:rsidP="002E1C2D">
      <w:r>
        <w:t xml:space="preserve">The </w:t>
      </w:r>
      <w:r w:rsidR="003A6F2A">
        <w:t>calculation</w:t>
      </w:r>
      <w:r>
        <w:t xml:space="preserve"> of recycling benefits </w:t>
      </w:r>
      <w:r w:rsidR="003A6F2A">
        <w:t>was undertaken using</w:t>
      </w:r>
      <w:r>
        <w:t xml:space="preserve"> the model shown in </w:t>
      </w:r>
      <w:r>
        <w:fldChar w:fldCharType="begin"/>
      </w:r>
      <w:r>
        <w:instrText xml:space="preserve"> REF _Ref358772337 \h </w:instrText>
      </w:r>
      <w:r>
        <w:fldChar w:fldCharType="separate"/>
      </w:r>
      <w:r w:rsidR="00564E5C">
        <w:t xml:space="preserve">Figure </w:t>
      </w:r>
      <w:r w:rsidR="00564E5C">
        <w:rPr>
          <w:noProof/>
        </w:rPr>
        <w:t>1</w:t>
      </w:r>
      <w:r>
        <w:fldChar w:fldCharType="end"/>
      </w:r>
      <w:r w:rsidR="003A6F2A">
        <w:t>,</w:t>
      </w:r>
      <w:r>
        <w:t xml:space="preserve"> </w:t>
      </w:r>
      <w:r w:rsidR="00734576">
        <w:t xml:space="preserve">adapted </w:t>
      </w:r>
      <w:r>
        <w:t xml:space="preserve">from </w:t>
      </w:r>
      <w:r w:rsidR="00553C56">
        <w:fldChar w:fldCharType="begin"/>
      </w:r>
      <w:r w:rsidR="00F40CE2">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553C56">
        <w:fldChar w:fldCharType="separate"/>
      </w:r>
      <w:r w:rsidR="00F40CE2">
        <w:rPr>
          <w:noProof/>
        </w:rPr>
        <w:t>(</w:t>
      </w:r>
      <w:hyperlink w:anchor="_ENREF_35" w:tooltip="Grant, 2001 #262" w:history="1">
        <w:r w:rsidR="00F40CE2">
          <w:rPr>
            <w:noProof/>
          </w:rPr>
          <w:t>Grant et al., 2001a</w:t>
        </w:r>
      </w:hyperlink>
      <w:r w:rsidR="00F40CE2">
        <w:rPr>
          <w:noProof/>
        </w:rPr>
        <w:t>)</w:t>
      </w:r>
      <w:r w:rsidR="00553C56">
        <w:fldChar w:fldCharType="end"/>
      </w:r>
      <w:r>
        <w:t>:</w:t>
      </w:r>
    </w:p>
    <w:p w14:paraId="0D494228" w14:textId="4E938C88" w:rsidR="00770FB0" w:rsidRDefault="00734576" w:rsidP="007122F4">
      <w:pPr>
        <w:keepNext/>
        <w:jc w:val="center"/>
      </w:pPr>
      <w:r w:rsidRPr="00734576">
        <w:rPr>
          <w:noProof/>
        </w:rPr>
        <w:drawing>
          <wp:inline distT="0" distB="0" distL="0" distR="0" wp14:anchorId="3385B817" wp14:editId="0D5B2956">
            <wp:extent cx="6132352" cy="716373"/>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0"/>
                    <a:stretch/>
                  </pic:blipFill>
                  <pic:spPr bwMode="auto">
                    <a:xfrm>
                      <a:off x="0" y="0"/>
                      <a:ext cx="6122427" cy="715214"/>
                    </a:xfrm>
                    <a:prstGeom prst="rect">
                      <a:avLst/>
                    </a:prstGeom>
                    <a:noFill/>
                    <a:ln>
                      <a:noFill/>
                    </a:ln>
                    <a:extLst>
                      <a:ext uri="{53640926-AAD7-44D8-BBD7-CCE9431645EC}">
                        <a14:shadowObscured xmlns:a14="http://schemas.microsoft.com/office/drawing/2010/main"/>
                      </a:ext>
                    </a:extLst>
                  </pic:spPr>
                </pic:pic>
              </a:graphicData>
            </a:graphic>
          </wp:inline>
        </w:drawing>
      </w:r>
    </w:p>
    <w:p w14:paraId="0D494229" w14:textId="5F2040CA" w:rsidR="00770FB0" w:rsidRDefault="00770FB0" w:rsidP="00770FB0">
      <w:pPr>
        <w:pStyle w:val="Caption"/>
      </w:pPr>
      <w:bookmarkStart w:id="10" w:name="_Ref358772337"/>
      <w:bookmarkStart w:id="11" w:name="_Ref363032760"/>
      <w:r>
        <w:t xml:space="preserve">Figure </w:t>
      </w:r>
      <w:r w:rsidR="00FC7DE2">
        <w:fldChar w:fldCharType="begin"/>
      </w:r>
      <w:r w:rsidR="00FC7DE2">
        <w:instrText xml:space="preserve"> SEQ Figure \* ARABIC </w:instrText>
      </w:r>
      <w:r w:rsidR="00FC7DE2">
        <w:fldChar w:fldCharType="separate"/>
      </w:r>
      <w:r w:rsidR="00564E5C">
        <w:rPr>
          <w:noProof/>
        </w:rPr>
        <w:t>1</w:t>
      </w:r>
      <w:r w:rsidR="00FC7DE2">
        <w:rPr>
          <w:noProof/>
        </w:rPr>
        <w:fldChar w:fldCharType="end"/>
      </w:r>
      <w:bookmarkEnd w:id="10"/>
      <w:bookmarkEnd w:id="11"/>
      <w:r>
        <w:rPr>
          <w:lang w:val="en-AU"/>
        </w:rPr>
        <w:t xml:space="preserve"> Definition of recycling benefit </w:t>
      </w:r>
      <w:r w:rsidR="00284E17">
        <w:rPr>
          <w:lang w:val="en-AU"/>
        </w:rPr>
        <w:t xml:space="preserve">adapted </w:t>
      </w:r>
      <w:r>
        <w:rPr>
          <w:lang w:val="en-AU"/>
        </w:rPr>
        <w:t xml:space="preserve">from </w:t>
      </w:r>
      <w:r w:rsidRPr="00E01343">
        <w:rPr>
          <w:lang w:val="en-AU"/>
        </w:rPr>
        <w:t xml:space="preserve">Grant et al </w:t>
      </w:r>
      <w:r>
        <w:rPr>
          <w:lang w:val="en-AU"/>
        </w:rPr>
        <w:fldChar w:fldCharType="begin"/>
      </w:r>
      <w:r w:rsidR="00F40CE2">
        <w:rPr>
          <w:lang w:val="en-AU"/>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val="en-AU"/>
        </w:rPr>
        <w:fldChar w:fldCharType="separate"/>
      </w:r>
      <w:r w:rsidR="00F40CE2">
        <w:rPr>
          <w:noProof/>
          <w:lang w:val="en-AU"/>
        </w:rPr>
        <w:t>(</w:t>
      </w:r>
      <w:hyperlink w:anchor="_ENREF_35" w:tooltip="Grant, 2001 #262" w:history="1">
        <w:r w:rsidR="00F40CE2">
          <w:rPr>
            <w:noProof/>
            <w:lang w:val="en-AU"/>
          </w:rPr>
          <w:t>2001a</w:t>
        </w:r>
      </w:hyperlink>
      <w:r w:rsidR="00F40CE2">
        <w:rPr>
          <w:noProof/>
          <w:lang w:val="en-AU"/>
        </w:rPr>
        <w:t>)</w:t>
      </w:r>
      <w:r>
        <w:rPr>
          <w:lang w:val="en-AU"/>
        </w:rPr>
        <w:fldChar w:fldCharType="end"/>
      </w:r>
      <w:r>
        <w:rPr>
          <w:lang w:val="en-AU"/>
        </w:rPr>
        <w:t>.</w:t>
      </w:r>
    </w:p>
    <w:p w14:paraId="059058E8" w14:textId="0BB0E391" w:rsidR="00F4294D" w:rsidRDefault="00770FB0" w:rsidP="002E1C2D">
      <w:r>
        <w:t>A detailed inventory of the Recycling System and the Alternative System described above was developed based upon a mix of prim</w:t>
      </w:r>
      <w:r w:rsidR="00F4294D">
        <w:t xml:space="preserve">ary and secondary data sources. A summary of the key assumptions is shown in </w:t>
      </w:r>
      <w:r w:rsidR="00F4294D">
        <w:fldChar w:fldCharType="begin"/>
      </w:r>
      <w:r w:rsidR="00F4294D">
        <w:instrText xml:space="preserve"> REF _Ref363030970 \h </w:instrText>
      </w:r>
      <w:r w:rsidR="00F4294D">
        <w:fldChar w:fldCharType="separate"/>
      </w:r>
      <w:r w:rsidR="00564E5C">
        <w:t xml:space="preserve">Table </w:t>
      </w:r>
      <w:r w:rsidR="00564E5C">
        <w:rPr>
          <w:noProof/>
        </w:rPr>
        <w:t>1</w:t>
      </w:r>
      <w:r w:rsidR="00F4294D">
        <w:fldChar w:fldCharType="end"/>
      </w:r>
      <w:r w:rsidR="00F4294D">
        <w:t>.</w:t>
      </w:r>
    </w:p>
    <w:p w14:paraId="1C16E8D3" w14:textId="07FC9AC6" w:rsidR="00F4294D" w:rsidRDefault="00F4294D" w:rsidP="002E1C2D">
      <w:r>
        <w:t xml:space="preserve">The inventory developed incorporates a range of data qualities, each of which were assessed using a pedigree matrix, and the aggregate uncertainty determined using Monte Carlo analysis. This approach facilitated the presentation of result ranges, within which 95% of simulation outcomes occurred. This approach helps place into context the point results shown in </w:t>
      </w:r>
      <w:r>
        <w:fldChar w:fldCharType="begin"/>
      </w:r>
      <w:r>
        <w:instrText xml:space="preserve"> REF _Ref358772457 \h </w:instrText>
      </w:r>
      <w:r>
        <w:fldChar w:fldCharType="separate"/>
      </w:r>
      <w:r w:rsidR="00564E5C">
        <w:t xml:space="preserve">Table </w:t>
      </w:r>
      <w:r w:rsidR="00564E5C">
        <w:rPr>
          <w:noProof/>
        </w:rPr>
        <w:t>3</w:t>
      </w:r>
      <w:r>
        <w:fldChar w:fldCharType="end"/>
      </w:r>
      <w:r>
        <w:t>. Wider ranges indicate higher result uncertainty, and tighter ranges indicate lower uncertainty.</w:t>
      </w:r>
    </w:p>
    <w:p w14:paraId="55A3CD02" w14:textId="766B42C1" w:rsidR="00F4294D" w:rsidRDefault="0033742F" w:rsidP="002E1C2D">
      <w:r>
        <w:t>The largest uncertainty in the study is associated with the treatment of garden and green waste which undergoes processes with wide ranging potential outcomes. Development of the Alternative System was most challen</w:t>
      </w:r>
      <w:r w:rsidR="003A6F2A">
        <w:t>ging as it involved</w:t>
      </w:r>
      <w:r>
        <w:t xml:space="preserve"> attempting to quantify the range of benefits provided by co</w:t>
      </w:r>
      <w:r w:rsidR="003A6F2A">
        <w:t>mposted products, then replicating</w:t>
      </w:r>
      <w:r>
        <w:t xml:space="preserve"> those benefits using synthetic means </w:t>
      </w:r>
      <w:r w:rsidR="003A6F2A">
        <w:t xml:space="preserve">in order </w:t>
      </w:r>
      <w:r>
        <w:t>to achieve system comparability.</w:t>
      </w:r>
    </w:p>
    <w:p w14:paraId="10DAB518" w14:textId="5593918A" w:rsidR="0033742F" w:rsidRDefault="0033742F" w:rsidP="002E1C2D">
      <w:r>
        <w:t xml:space="preserve">Another key area of uncertainty was associated with the destination of materials collected by sorting facilities and their level of contamination. These data were not provided by operators consulted and had to be estimated </w:t>
      </w:r>
      <w:r w:rsidR="003A6F2A">
        <w:t>using</w:t>
      </w:r>
      <w:r>
        <w:t xml:space="preserve"> </w:t>
      </w:r>
      <w:r w:rsidR="003A6F2A">
        <w:t>third-party</w:t>
      </w:r>
      <w:r>
        <w:t xml:space="preserve"> reports </w:t>
      </w:r>
      <w:r w:rsidR="006C1830">
        <w:fldChar w:fldCharType="begin"/>
      </w:r>
      <w:r w:rsidR="00F40CE2">
        <w:instrText xml:space="preserve"> ADDIN EN.CITE &lt;EndNote&gt;&lt;Cite&gt;&lt;Author&gt;WRAP&lt;/Author&gt;&lt;Year&gt;2009&lt;/Year&gt;&lt;RecNum&gt;618&lt;/RecNum&gt;&lt;DisplayText&gt;(WRAP, 2009)&lt;/DisplayText&gt;&lt;record&gt;&lt;rec-number&gt;618&lt;/rec-number&gt;&lt;foreign-keys&gt;&lt;key app="EN" db-id="tfpv5staxsvs2nexzpp5taewzsvpx0er5fap"&gt;618&lt;/key&gt;&lt;/foreign-keys&gt;&lt;ref-type name="Report"&gt;27&lt;/ref-type&gt;&lt;contributors&gt;&lt;authors&gt;&lt;author&gt;WRAP,&lt;/author&gt;&lt;/authors&gt;&lt;/contributors&gt;&lt;titles&gt;&lt;title&gt;Final Report - Material quality assessment of municipal MRFs within the UK&lt;/title&gt;&lt;/titles&gt;&lt;dates&gt;&lt;year&gt;2009&lt;/year&gt;&lt;/dates&gt;&lt;publisher&gt;Completed by Enviros Consulting&lt;/publisher&gt;&lt;urls&gt;&lt;/urls&gt;&lt;/record&gt;&lt;/Cite&gt;&lt;/EndNote&gt;</w:instrText>
      </w:r>
      <w:r w:rsidR="006C1830">
        <w:fldChar w:fldCharType="separate"/>
      </w:r>
      <w:r w:rsidR="00F40CE2">
        <w:rPr>
          <w:noProof/>
        </w:rPr>
        <w:t>(</w:t>
      </w:r>
      <w:hyperlink w:anchor="_ENREF_89" w:tooltip="WRAP, 2009 #618" w:history="1">
        <w:r w:rsidR="00F40CE2">
          <w:rPr>
            <w:noProof/>
          </w:rPr>
          <w:t>WRAP, 2009</w:t>
        </w:r>
      </w:hyperlink>
      <w:r w:rsidR="00F40CE2">
        <w:rPr>
          <w:noProof/>
        </w:rPr>
        <w:t>)</w:t>
      </w:r>
      <w:r w:rsidR="006C1830">
        <w:fldChar w:fldCharType="end"/>
      </w:r>
      <w:r>
        <w:t>.</w:t>
      </w:r>
    </w:p>
    <w:p w14:paraId="2E54CCEC" w14:textId="77777777" w:rsidR="00F4294D" w:rsidRDefault="00F4294D" w:rsidP="002E1C2D"/>
    <w:p w14:paraId="633850EE" w14:textId="77777777" w:rsidR="00F4294D" w:rsidRDefault="00F4294D" w:rsidP="00F4294D">
      <w:pPr>
        <w:pStyle w:val="Caption"/>
        <w:keepNext/>
      </w:pPr>
      <w:bookmarkStart w:id="12" w:name="_Ref363030970"/>
      <w:r>
        <w:t xml:space="preserve">Table </w:t>
      </w:r>
      <w:r w:rsidR="00FC7DE2">
        <w:fldChar w:fldCharType="begin"/>
      </w:r>
      <w:r w:rsidR="00FC7DE2">
        <w:instrText xml:space="preserve"> SEQ Table \* ARABIC </w:instrText>
      </w:r>
      <w:r w:rsidR="00FC7DE2">
        <w:fldChar w:fldCharType="separate"/>
      </w:r>
      <w:r w:rsidR="00564E5C">
        <w:rPr>
          <w:noProof/>
        </w:rPr>
        <w:t>1</w:t>
      </w:r>
      <w:r w:rsidR="00FC7DE2">
        <w:rPr>
          <w:noProof/>
        </w:rPr>
        <w:fldChar w:fldCharType="end"/>
      </w:r>
      <w:bookmarkEnd w:id="12"/>
      <w:r>
        <w:rPr>
          <w:lang w:val="en-AU"/>
        </w:rPr>
        <w:t xml:space="preserve"> Summary of inventory assumptions.</w:t>
      </w:r>
    </w:p>
    <w:tbl>
      <w:tblPr>
        <w:tblStyle w:val="TableGrid"/>
        <w:tblW w:w="9072" w:type="dxa"/>
        <w:tblInd w:w="108" w:type="dxa"/>
        <w:tblLayout w:type="fixed"/>
        <w:tblLook w:val="04A0" w:firstRow="1" w:lastRow="0" w:firstColumn="1" w:lastColumn="0" w:noHBand="0" w:noVBand="1"/>
      </w:tblPr>
      <w:tblGrid>
        <w:gridCol w:w="993"/>
        <w:gridCol w:w="4039"/>
        <w:gridCol w:w="4040"/>
      </w:tblGrid>
      <w:tr w:rsidR="00F4294D" w:rsidRPr="00291CBB" w14:paraId="2C3BE84B" w14:textId="77777777" w:rsidTr="000631F3">
        <w:trPr>
          <w:tblHeader/>
        </w:trPr>
        <w:tc>
          <w:tcPr>
            <w:tcW w:w="993" w:type="dxa"/>
          </w:tcPr>
          <w:p w14:paraId="0285AEFA" w14:textId="77777777" w:rsidR="00F4294D" w:rsidRPr="00291CBB" w:rsidRDefault="00F4294D" w:rsidP="00F4294D">
            <w:pPr>
              <w:spacing w:after="0"/>
              <w:jc w:val="left"/>
              <w:rPr>
                <w:b/>
                <w:sz w:val="16"/>
                <w:szCs w:val="16"/>
                <w:lang w:eastAsia="x-none"/>
              </w:rPr>
            </w:pPr>
            <w:r w:rsidRPr="00291CBB">
              <w:rPr>
                <w:b/>
                <w:sz w:val="16"/>
                <w:szCs w:val="16"/>
                <w:lang w:eastAsia="x-none"/>
              </w:rPr>
              <w:t>Inventory sub-system</w:t>
            </w:r>
          </w:p>
        </w:tc>
        <w:tc>
          <w:tcPr>
            <w:tcW w:w="4039" w:type="dxa"/>
          </w:tcPr>
          <w:p w14:paraId="5D96719A" w14:textId="77777777" w:rsidR="00F4294D" w:rsidRPr="00291CBB" w:rsidRDefault="00F4294D" w:rsidP="00F4294D">
            <w:pPr>
              <w:spacing w:after="0"/>
              <w:jc w:val="center"/>
              <w:rPr>
                <w:b/>
                <w:sz w:val="16"/>
                <w:szCs w:val="16"/>
                <w:lang w:eastAsia="x-none"/>
              </w:rPr>
            </w:pPr>
            <w:r w:rsidRPr="00291CBB">
              <w:rPr>
                <w:b/>
                <w:sz w:val="16"/>
                <w:szCs w:val="16"/>
                <w:lang w:eastAsia="x-none"/>
              </w:rPr>
              <w:t>Recycling System</w:t>
            </w:r>
          </w:p>
        </w:tc>
        <w:tc>
          <w:tcPr>
            <w:tcW w:w="4040" w:type="dxa"/>
          </w:tcPr>
          <w:p w14:paraId="6F911768" w14:textId="77777777" w:rsidR="00F4294D" w:rsidRPr="00291CBB" w:rsidRDefault="00F4294D" w:rsidP="00F4294D">
            <w:pPr>
              <w:spacing w:after="0"/>
              <w:jc w:val="center"/>
              <w:rPr>
                <w:b/>
                <w:sz w:val="16"/>
                <w:szCs w:val="16"/>
                <w:lang w:eastAsia="x-none"/>
              </w:rPr>
            </w:pPr>
            <w:r w:rsidRPr="00291CBB">
              <w:rPr>
                <w:b/>
                <w:sz w:val="16"/>
                <w:szCs w:val="16"/>
                <w:lang w:eastAsia="x-none"/>
              </w:rPr>
              <w:t>Alternative System</w:t>
            </w:r>
          </w:p>
        </w:tc>
      </w:tr>
      <w:tr w:rsidR="00F4294D" w14:paraId="1B2429D6" w14:textId="77777777" w:rsidTr="000631F3">
        <w:tc>
          <w:tcPr>
            <w:tcW w:w="993" w:type="dxa"/>
          </w:tcPr>
          <w:p w14:paraId="114B544C" w14:textId="77777777" w:rsidR="00F4294D" w:rsidRPr="00A64B56" w:rsidRDefault="00F4294D" w:rsidP="00F4294D">
            <w:pPr>
              <w:spacing w:after="0"/>
              <w:jc w:val="left"/>
              <w:rPr>
                <w:sz w:val="14"/>
                <w:szCs w:val="16"/>
                <w:lang w:eastAsia="x-none"/>
              </w:rPr>
            </w:pPr>
            <w:r w:rsidRPr="00A64B56">
              <w:rPr>
                <w:sz w:val="14"/>
                <w:szCs w:val="16"/>
                <w:lang w:eastAsia="x-none"/>
              </w:rPr>
              <w:t>Collection</w:t>
            </w:r>
          </w:p>
        </w:tc>
        <w:tc>
          <w:tcPr>
            <w:tcW w:w="4039" w:type="dxa"/>
          </w:tcPr>
          <w:p w14:paraId="11EDB34A" w14:textId="77777777" w:rsidR="00F4294D" w:rsidRPr="00A64B56" w:rsidRDefault="00F4294D" w:rsidP="00F4294D">
            <w:pPr>
              <w:spacing w:after="0"/>
              <w:jc w:val="left"/>
              <w:rPr>
                <w:sz w:val="14"/>
                <w:szCs w:val="16"/>
                <w:lang w:eastAsia="x-none"/>
              </w:rPr>
            </w:pPr>
            <w:r w:rsidRPr="00A64B56">
              <w:rPr>
                <w:sz w:val="14"/>
                <w:szCs w:val="16"/>
                <w:lang w:eastAsia="x-none"/>
              </w:rPr>
              <w:t>Fuel use for collection 12.3 l/t overall. Allocated to materials based on their in-truck specific volume.</w:t>
            </w:r>
          </w:p>
        </w:tc>
        <w:tc>
          <w:tcPr>
            <w:tcW w:w="4040" w:type="dxa"/>
          </w:tcPr>
          <w:p w14:paraId="6703E2E4" w14:textId="77777777" w:rsidR="00F4294D" w:rsidRPr="00A64B56" w:rsidRDefault="00F4294D" w:rsidP="00F4294D">
            <w:pPr>
              <w:spacing w:after="0"/>
              <w:jc w:val="left"/>
              <w:rPr>
                <w:sz w:val="14"/>
                <w:szCs w:val="16"/>
                <w:lang w:eastAsia="x-none"/>
              </w:rPr>
            </w:pPr>
            <w:r w:rsidRPr="00A64B56">
              <w:rPr>
                <w:sz w:val="14"/>
                <w:szCs w:val="16"/>
                <w:lang w:eastAsia="x-none"/>
              </w:rPr>
              <w:t>Fuel use for collection 18.3 l/t overall. Allocated to materials based on their in-truck specific volume.</w:t>
            </w:r>
          </w:p>
        </w:tc>
      </w:tr>
      <w:tr w:rsidR="00F4294D" w14:paraId="012FCDF7" w14:textId="77777777" w:rsidTr="000631F3">
        <w:tc>
          <w:tcPr>
            <w:tcW w:w="993" w:type="dxa"/>
          </w:tcPr>
          <w:p w14:paraId="5565A486" w14:textId="77777777" w:rsidR="00F4294D" w:rsidRPr="00A64B56" w:rsidRDefault="00F4294D" w:rsidP="00F4294D">
            <w:pPr>
              <w:spacing w:after="0"/>
              <w:jc w:val="left"/>
              <w:rPr>
                <w:sz w:val="14"/>
                <w:szCs w:val="16"/>
                <w:lang w:eastAsia="x-none"/>
              </w:rPr>
            </w:pPr>
            <w:r w:rsidRPr="00A64B56">
              <w:rPr>
                <w:sz w:val="14"/>
                <w:szCs w:val="16"/>
                <w:lang w:eastAsia="x-none"/>
              </w:rPr>
              <w:t>Landfill</w:t>
            </w:r>
          </w:p>
        </w:tc>
        <w:tc>
          <w:tcPr>
            <w:tcW w:w="4039" w:type="dxa"/>
          </w:tcPr>
          <w:p w14:paraId="376581D8" w14:textId="77777777" w:rsidR="00F4294D" w:rsidRPr="00A64B56" w:rsidRDefault="00F4294D" w:rsidP="00F4294D">
            <w:pPr>
              <w:spacing w:after="0"/>
              <w:jc w:val="left"/>
              <w:rPr>
                <w:sz w:val="14"/>
                <w:szCs w:val="16"/>
                <w:lang w:eastAsia="x-none"/>
              </w:rPr>
            </w:pPr>
            <w:r w:rsidRPr="00A64B56">
              <w:rPr>
                <w:sz w:val="14"/>
                <w:szCs w:val="16"/>
                <w:lang w:eastAsia="x-none"/>
              </w:rPr>
              <w:t>Very little landfill considered (only that relating to contamination of recycling streams and reprocessing system wastes). Where considered assumptions as per the Alternative system.</w:t>
            </w:r>
          </w:p>
        </w:tc>
        <w:tc>
          <w:tcPr>
            <w:tcW w:w="4040" w:type="dxa"/>
          </w:tcPr>
          <w:p w14:paraId="4C331B27" w14:textId="77777777" w:rsidR="00F4294D" w:rsidRPr="00A64B56" w:rsidRDefault="00F4294D" w:rsidP="00F4294D">
            <w:pPr>
              <w:spacing w:after="0"/>
              <w:jc w:val="left"/>
              <w:rPr>
                <w:sz w:val="14"/>
                <w:szCs w:val="16"/>
                <w:lang w:eastAsia="x-none"/>
              </w:rPr>
            </w:pPr>
            <w:r w:rsidRPr="00A64B56">
              <w:rPr>
                <w:sz w:val="14"/>
                <w:szCs w:val="16"/>
                <w:lang w:eastAsia="x-none"/>
              </w:rPr>
              <w:t>Landfill model developed that considers facility construction and operation; greenhouse gas emissions due to material degradation and that water born emissions due to leachate.</w:t>
            </w:r>
          </w:p>
          <w:p w14:paraId="5FA57F48" w14:textId="77777777" w:rsidR="00F4294D" w:rsidRPr="00A64B56" w:rsidRDefault="00F4294D" w:rsidP="00F4294D">
            <w:pPr>
              <w:spacing w:after="0"/>
              <w:jc w:val="left"/>
              <w:rPr>
                <w:sz w:val="14"/>
                <w:szCs w:val="16"/>
                <w:lang w:eastAsia="x-none"/>
              </w:rPr>
            </w:pPr>
            <w:r w:rsidRPr="00A64B56">
              <w:rPr>
                <w:sz w:val="14"/>
                <w:szCs w:val="16"/>
                <w:lang w:eastAsia="x-none"/>
              </w:rPr>
              <w:t>Key greenhouse gas assumptions include:</w:t>
            </w:r>
          </w:p>
          <w:p w14:paraId="6B10DE5F" w14:textId="77777777" w:rsidR="00F4294D" w:rsidRPr="00A64B56" w:rsidRDefault="00F4294D" w:rsidP="00F4294D">
            <w:pPr>
              <w:spacing w:after="0"/>
              <w:jc w:val="left"/>
              <w:rPr>
                <w:sz w:val="14"/>
                <w:szCs w:val="16"/>
                <w:lang w:eastAsia="x-none"/>
              </w:rPr>
            </w:pPr>
            <w:r w:rsidRPr="00A64B56">
              <w:rPr>
                <w:sz w:val="14"/>
                <w:szCs w:val="16"/>
                <w:lang w:eastAsia="x-none"/>
              </w:rPr>
              <w:t>Timeframe: 100 years</w:t>
            </w:r>
            <w:r>
              <w:rPr>
                <w:sz w:val="14"/>
                <w:szCs w:val="16"/>
                <w:lang w:eastAsia="x-none"/>
              </w:rPr>
              <w:t xml:space="preserve">; </w:t>
            </w:r>
            <w:r w:rsidRPr="00A64B56">
              <w:rPr>
                <w:sz w:val="14"/>
                <w:szCs w:val="16"/>
                <w:lang w:eastAsia="x-none"/>
              </w:rPr>
              <w:t>Methane capture rate: 57%</w:t>
            </w:r>
            <w:r>
              <w:rPr>
                <w:sz w:val="14"/>
                <w:szCs w:val="16"/>
                <w:lang w:eastAsia="x-none"/>
              </w:rPr>
              <w:t xml:space="preserve">; </w:t>
            </w:r>
            <w:r w:rsidRPr="00A64B56">
              <w:rPr>
                <w:sz w:val="14"/>
                <w:szCs w:val="16"/>
                <w:lang w:eastAsia="x-none"/>
              </w:rPr>
              <w:t>Methane combustion for energy: 92% of capture</w:t>
            </w:r>
            <w:r>
              <w:rPr>
                <w:sz w:val="14"/>
                <w:szCs w:val="16"/>
                <w:lang w:eastAsia="x-none"/>
              </w:rPr>
              <w:t xml:space="preserve">; </w:t>
            </w:r>
            <w:r w:rsidRPr="00A64B56">
              <w:rPr>
                <w:sz w:val="14"/>
                <w:szCs w:val="16"/>
                <w:lang w:eastAsia="x-none"/>
              </w:rPr>
              <w:t>Carbon storage: Carbon stored in landfill according to material specific factors</w:t>
            </w:r>
          </w:p>
        </w:tc>
      </w:tr>
      <w:tr w:rsidR="00F4294D" w14:paraId="0CB43A0A" w14:textId="77777777" w:rsidTr="000631F3">
        <w:tc>
          <w:tcPr>
            <w:tcW w:w="993" w:type="dxa"/>
          </w:tcPr>
          <w:p w14:paraId="21FD1BFA" w14:textId="77777777" w:rsidR="00F4294D" w:rsidRPr="00A64B56" w:rsidRDefault="00F4294D" w:rsidP="00F4294D">
            <w:pPr>
              <w:spacing w:after="0"/>
              <w:jc w:val="left"/>
              <w:rPr>
                <w:sz w:val="14"/>
                <w:szCs w:val="16"/>
                <w:lang w:eastAsia="x-none"/>
              </w:rPr>
            </w:pPr>
            <w:r w:rsidRPr="00A64B56">
              <w:rPr>
                <w:sz w:val="14"/>
                <w:szCs w:val="16"/>
                <w:lang w:eastAsia="x-none"/>
              </w:rPr>
              <w:t>Sorting</w:t>
            </w:r>
          </w:p>
        </w:tc>
        <w:tc>
          <w:tcPr>
            <w:tcW w:w="4039" w:type="dxa"/>
          </w:tcPr>
          <w:p w14:paraId="062715D9" w14:textId="695DF5BA" w:rsidR="00F4294D" w:rsidRPr="00A64B56" w:rsidRDefault="00F4294D" w:rsidP="00F40CE2">
            <w:pPr>
              <w:spacing w:after="0"/>
              <w:jc w:val="left"/>
              <w:rPr>
                <w:sz w:val="14"/>
                <w:szCs w:val="16"/>
                <w:lang w:eastAsia="x-none"/>
              </w:rPr>
            </w:pPr>
            <w:r w:rsidRPr="00A64B56">
              <w:rPr>
                <w:sz w:val="14"/>
                <w:szCs w:val="16"/>
                <w:lang w:eastAsia="x-none"/>
              </w:rPr>
              <w:t>Sorting was estimated to require 30 kWh of electricity per tonne of waste sorted (including glass colour sorting). 1.2 litres LPG gas was estimated for forklift operation.</w:t>
            </w:r>
            <w:r>
              <w:rPr>
                <w:sz w:val="14"/>
                <w:szCs w:val="16"/>
                <w:lang w:eastAsia="x-none"/>
              </w:rPr>
              <w:t xml:space="preserve"> </w:t>
            </w:r>
            <w:r w:rsidRPr="00A64B56">
              <w:rPr>
                <w:sz w:val="14"/>
                <w:szCs w:val="16"/>
                <w:lang w:eastAsia="x-none"/>
              </w:rPr>
              <w:t xml:space="preserve">Sorting yields were estimated from U.K. data for facilities targeting similar materials </w:t>
            </w:r>
            <w:r w:rsidRPr="00A64B56">
              <w:rPr>
                <w:sz w:val="14"/>
                <w:szCs w:val="16"/>
                <w:lang w:eastAsia="x-none"/>
              </w:rPr>
              <w:fldChar w:fldCharType="begin"/>
            </w:r>
            <w:r w:rsidR="00F40CE2">
              <w:rPr>
                <w:sz w:val="14"/>
                <w:szCs w:val="16"/>
                <w:lang w:eastAsia="x-none"/>
              </w:rPr>
              <w:instrText xml:space="preserve"> ADDIN EN.CITE &lt;EndNote&gt;&lt;Cite&gt;&lt;Author&gt;WRAP&lt;/Author&gt;&lt;Year&gt;2009&lt;/Year&gt;&lt;RecNum&gt;618&lt;/RecNum&gt;&lt;DisplayText&gt;(WRAP, 2009)&lt;/DisplayText&gt;&lt;record&gt;&lt;rec-number&gt;618&lt;/rec-number&gt;&lt;foreign-keys&gt;&lt;key app="EN" db-id="tfpv5staxsvs2nexzpp5taewzsvpx0er5fap"&gt;618&lt;/key&gt;&lt;/foreign-keys&gt;&lt;ref-type name="Report"&gt;27&lt;/ref-type&gt;&lt;contributors&gt;&lt;authors&gt;&lt;author&gt;WRAP,&lt;/author&gt;&lt;/authors&gt;&lt;/contributors&gt;&lt;titles&gt;&lt;title&gt;Final Report - Material quality assessment of municipal MRFs within the UK&lt;/title&gt;&lt;/titles&gt;&lt;dates&gt;&lt;year&gt;2009&lt;/year&gt;&lt;/dates&gt;&lt;publisher&gt;Completed by Enviros Consulting&lt;/publisher&gt;&lt;urls&gt;&lt;/urls&gt;&lt;/record&gt;&lt;/Cite&gt;&lt;/EndNote&gt;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89" w:tooltip="WRAP, 2009 #618" w:history="1">
              <w:r w:rsidR="00F40CE2">
                <w:rPr>
                  <w:noProof/>
                  <w:sz w:val="14"/>
                  <w:szCs w:val="16"/>
                  <w:lang w:eastAsia="x-none"/>
                </w:rPr>
                <w:t>WRAP, 2009</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w:t>
            </w:r>
          </w:p>
        </w:tc>
        <w:tc>
          <w:tcPr>
            <w:tcW w:w="4040" w:type="dxa"/>
          </w:tcPr>
          <w:p w14:paraId="247DE483" w14:textId="77777777" w:rsidR="00F4294D" w:rsidRPr="00A64B56" w:rsidRDefault="00F4294D" w:rsidP="00F4294D">
            <w:pPr>
              <w:spacing w:after="0"/>
              <w:jc w:val="left"/>
              <w:rPr>
                <w:sz w:val="14"/>
                <w:szCs w:val="16"/>
                <w:lang w:eastAsia="x-none"/>
              </w:rPr>
            </w:pPr>
            <w:r w:rsidRPr="00A64B56">
              <w:rPr>
                <w:sz w:val="14"/>
                <w:szCs w:val="16"/>
                <w:lang w:eastAsia="x-none"/>
              </w:rPr>
              <w:t>No sorting incorporated.</w:t>
            </w:r>
          </w:p>
        </w:tc>
      </w:tr>
      <w:tr w:rsidR="00F4294D" w14:paraId="542005FE" w14:textId="77777777" w:rsidTr="000631F3">
        <w:tc>
          <w:tcPr>
            <w:tcW w:w="993" w:type="dxa"/>
          </w:tcPr>
          <w:p w14:paraId="7923558D" w14:textId="77777777" w:rsidR="00F4294D" w:rsidRPr="00A64B56" w:rsidRDefault="00F4294D" w:rsidP="00F4294D">
            <w:pPr>
              <w:spacing w:after="0"/>
              <w:jc w:val="left"/>
              <w:rPr>
                <w:sz w:val="14"/>
                <w:szCs w:val="16"/>
                <w:lang w:eastAsia="x-none"/>
              </w:rPr>
            </w:pPr>
            <w:r w:rsidRPr="00A64B56">
              <w:rPr>
                <w:sz w:val="14"/>
                <w:szCs w:val="16"/>
                <w:lang w:eastAsia="x-none"/>
              </w:rPr>
              <w:t>Treatment of garden and green waste</w:t>
            </w:r>
          </w:p>
        </w:tc>
        <w:tc>
          <w:tcPr>
            <w:tcW w:w="4039" w:type="dxa"/>
          </w:tcPr>
          <w:p w14:paraId="5B960875" w14:textId="4192BE2C" w:rsidR="00F4294D" w:rsidRPr="00A64B56" w:rsidRDefault="00F4294D" w:rsidP="00F4294D">
            <w:pPr>
              <w:spacing w:after="0"/>
              <w:jc w:val="left"/>
              <w:rPr>
                <w:sz w:val="14"/>
                <w:szCs w:val="16"/>
                <w:lang w:eastAsia="x-none"/>
              </w:rPr>
            </w:pPr>
            <w:r w:rsidRPr="00A64B56">
              <w:rPr>
                <w:sz w:val="14"/>
                <w:szCs w:val="16"/>
                <w:lang w:eastAsia="x-none"/>
              </w:rPr>
              <w:t xml:space="preserve">Assumes that all garden and green waste is processed using windrow composting. Once processed, </w:t>
            </w:r>
            <w:r w:rsidR="002A0763">
              <w:rPr>
                <w:sz w:val="14"/>
                <w:szCs w:val="16"/>
                <w:lang w:eastAsia="x-none"/>
              </w:rPr>
              <w:t>25</w:t>
            </w:r>
            <w:r w:rsidRPr="00A64B56">
              <w:rPr>
                <w:sz w:val="14"/>
                <w:szCs w:val="16"/>
                <w:lang w:eastAsia="x-none"/>
              </w:rPr>
              <w:t xml:space="preserve">% of composted products are utilised in agriculture applications and </w:t>
            </w:r>
            <w:r w:rsidR="002A0763">
              <w:rPr>
                <w:sz w:val="14"/>
                <w:szCs w:val="16"/>
                <w:lang w:eastAsia="x-none"/>
              </w:rPr>
              <w:t>75</w:t>
            </w:r>
            <w:r w:rsidRPr="00A64B56">
              <w:rPr>
                <w:sz w:val="14"/>
                <w:szCs w:val="16"/>
                <w:lang w:eastAsia="x-none"/>
              </w:rPr>
              <w:t>% of products are used in urban amenity applications.</w:t>
            </w:r>
          </w:p>
          <w:p w14:paraId="25CF46E6" w14:textId="77777777" w:rsidR="00F4294D" w:rsidRPr="00A64B56" w:rsidRDefault="00F4294D" w:rsidP="00F4294D">
            <w:pPr>
              <w:spacing w:after="0"/>
              <w:jc w:val="left"/>
              <w:rPr>
                <w:sz w:val="14"/>
                <w:szCs w:val="16"/>
                <w:lang w:eastAsia="x-none"/>
              </w:rPr>
            </w:pPr>
            <w:r w:rsidRPr="00A64B56">
              <w:rPr>
                <w:sz w:val="14"/>
                <w:szCs w:val="16"/>
                <w:lang w:eastAsia="x-none"/>
              </w:rPr>
              <w:t>Carbon is assumed to be stored in soil under the agriculture applications, and not stored under urban applications. It is recognised that significant uncertainty exists in this area.</w:t>
            </w:r>
          </w:p>
        </w:tc>
        <w:tc>
          <w:tcPr>
            <w:tcW w:w="4040" w:type="dxa"/>
          </w:tcPr>
          <w:p w14:paraId="1BDFA998" w14:textId="77777777" w:rsidR="00F4294D" w:rsidRPr="00A64B56" w:rsidRDefault="00F4294D" w:rsidP="00F4294D">
            <w:pPr>
              <w:spacing w:after="0"/>
              <w:jc w:val="left"/>
              <w:rPr>
                <w:sz w:val="14"/>
                <w:szCs w:val="16"/>
                <w:lang w:eastAsia="x-none"/>
              </w:rPr>
            </w:pPr>
            <w:r w:rsidRPr="00A64B56">
              <w:rPr>
                <w:sz w:val="14"/>
                <w:szCs w:val="16"/>
                <w:lang w:eastAsia="x-none"/>
              </w:rPr>
              <w:t>50% of garden and green waste is assumed to be treated in landfill, 25% is open burned and 25% is home composted.</w:t>
            </w:r>
          </w:p>
          <w:p w14:paraId="6E79DCFF" w14:textId="041A08FC" w:rsidR="00F4294D" w:rsidRPr="00A64B56" w:rsidRDefault="00F4294D" w:rsidP="00F40CE2">
            <w:pPr>
              <w:spacing w:after="0"/>
              <w:jc w:val="left"/>
              <w:rPr>
                <w:sz w:val="14"/>
                <w:szCs w:val="16"/>
                <w:lang w:eastAsia="x-none"/>
              </w:rPr>
            </w:pPr>
            <w:r w:rsidRPr="00A64B56">
              <w:rPr>
                <w:sz w:val="14"/>
                <w:szCs w:val="16"/>
                <w:lang w:eastAsia="x-none"/>
              </w:rPr>
              <w:t xml:space="preserve">Additional benefits provided by compost in agriculture are assumed to be provided by synthetic feritilsers, </w:t>
            </w:r>
            <w:r w:rsidR="002A0763">
              <w:rPr>
                <w:sz w:val="14"/>
                <w:szCs w:val="16"/>
                <w:lang w:eastAsia="x-none"/>
              </w:rPr>
              <w:t>herbicide</w:t>
            </w:r>
            <w:r w:rsidRPr="00A64B56">
              <w:rPr>
                <w:sz w:val="14"/>
                <w:szCs w:val="16"/>
                <w:lang w:eastAsia="x-none"/>
              </w:rPr>
              <w:t xml:space="preserve">s and by additional water application. Quantities of these materials have been estimated using </w:t>
            </w:r>
            <w:r w:rsidRPr="00A64B56">
              <w:rPr>
                <w:sz w:val="14"/>
                <w:szCs w:val="16"/>
                <w:lang w:eastAsia="x-none"/>
              </w:rPr>
              <w:fldChar w:fldCharType="begin"/>
            </w:r>
            <w:r w:rsidRPr="00A64B56">
              <w:rPr>
                <w:sz w:val="14"/>
                <w:szCs w:val="16"/>
                <w:lang w:eastAsia="x-none"/>
              </w:rPr>
              <w:instrText xml:space="preserve"> ADDIN EN.CITE &lt;EndNote&gt;&lt;Cite AuthorYear="1"&gt;&lt;Author&gt;Recycled Organics Unit&lt;/Author&gt;&lt;Year&gt;2007&lt;/Year&gt;&lt;RecNum&gt;566&lt;/RecNum&gt;&lt;DisplayText&gt;Recycled Organics Unit (2007)&lt;/DisplayText&gt;&lt;record&gt;&lt;rec-number&gt;566&lt;/rec-number&gt;&lt;foreign-keys&gt;&lt;key app="EN" db-id="tfpv5staxsvs2nexzpp5taewzsvpx0er5fap"&gt;566&lt;/key&gt;&lt;/foreign-keys&gt;&lt;ref-type name="Report"&gt;27&lt;/ref-type&gt;&lt;contributors&gt;&lt;authors&gt;&lt;author&gt;Recycled Organics Unit,&lt;/author&gt;&lt;/authors&gt;&lt;tertiary-authors&gt;&lt;author&gt;Recycled Organics Unit, The University of New South Wales, Sydney&lt;/author&gt;&lt;/tertiary-authors&gt;&lt;/contributors&gt;&lt;titles&gt;&lt;title&gt;Life Cycle Inventory and Life Cycle Assessment for Windrow Composting Systems&lt;/title&gt;&lt;/titles&gt;&lt;edition&gt;Second&lt;/edition&gt;&lt;dates&gt;&lt;year&gt;2007&lt;/year&gt;&lt;/dates&gt;&lt;publisher&gt;Report prepared for NSW Department of Environment and Conservation (Sustainability Programs Division)&lt;/publisher&gt;&lt;urls&gt;&lt;/urls&gt;&lt;/record&gt;&lt;/Cite&gt;&lt;/EndNote&gt;</w:instrText>
            </w:r>
            <w:r w:rsidRPr="00A64B56">
              <w:rPr>
                <w:sz w:val="14"/>
                <w:szCs w:val="16"/>
                <w:lang w:eastAsia="x-none"/>
              </w:rPr>
              <w:fldChar w:fldCharType="separate"/>
            </w:r>
            <w:hyperlink w:anchor="_ENREF_66" w:tooltip="Recycled Organics Unit, 2007 #566" w:history="1">
              <w:r w:rsidR="00F40CE2" w:rsidRPr="00A64B56">
                <w:rPr>
                  <w:noProof/>
                  <w:sz w:val="14"/>
                  <w:szCs w:val="16"/>
                  <w:lang w:eastAsia="x-none"/>
                </w:rPr>
                <w:t>Recycled Organics Unit (2007</w:t>
              </w:r>
            </w:hyperlink>
            <w:r w:rsidRPr="00A64B56">
              <w:rPr>
                <w:noProof/>
                <w:sz w:val="14"/>
                <w:szCs w:val="16"/>
                <w:lang w:eastAsia="x-none"/>
              </w:rPr>
              <w:t>)</w:t>
            </w:r>
            <w:r w:rsidRPr="00A64B56">
              <w:rPr>
                <w:sz w:val="14"/>
                <w:szCs w:val="16"/>
                <w:lang w:eastAsia="x-none"/>
              </w:rPr>
              <w:fldChar w:fldCharType="end"/>
            </w:r>
            <w:r w:rsidRPr="00A64B56">
              <w:rPr>
                <w:sz w:val="14"/>
                <w:szCs w:val="16"/>
                <w:lang w:eastAsia="x-none"/>
              </w:rPr>
              <w:t>.</w:t>
            </w:r>
          </w:p>
        </w:tc>
      </w:tr>
      <w:tr w:rsidR="00F4294D" w14:paraId="14D30CBF" w14:textId="77777777" w:rsidTr="000631F3">
        <w:tc>
          <w:tcPr>
            <w:tcW w:w="993" w:type="dxa"/>
          </w:tcPr>
          <w:p w14:paraId="6B92B591" w14:textId="77777777" w:rsidR="00F4294D" w:rsidRPr="00A64B56" w:rsidRDefault="00F4294D" w:rsidP="00F4294D">
            <w:pPr>
              <w:spacing w:after="0"/>
              <w:jc w:val="left"/>
              <w:rPr>
                <w:sz w:val="14"/>
                <w:szCs w:val="16"/>
                <w:lang w:eastAsia="x-none"/>
              </w:rPr>
            </w:pPr>
            <w:r w:rsidRPr="00A64B56">
              <w:rPr>
                <w:sz w:val="14"/>
                <w:szCs w:val="16"/>
                <w:lang w:eastAsia="x-none"/>
              </w:rPr>
              <w:t>Treatment of waste paper</w:t>
            </w:r>
          </w:p>
        </w:tc>
        <w:tc>
          <w:tcPr>
            <w:tcW w:w="4039" w:type="dxa"/>
          </w:tcPr>
          <w:p w14:paraId="764C62C6" w14:textId="77777777" w:rsidR="00F4294D" w:rsidRPr="00A64B56" w:rsidRDefault="00F4294D" w:rsidP="00F4294D">
            <w:pPr>
              <w:spacing w:after="0"/>
              <w:jc w:val="left"/>
              <w:rPr>
                <w:sz w:val="14"/>
                <w:szCs w:val="16"/>
                <w:lang w:eastAsia="x-none"/>
              </w:rPr>
            </w:pPr>
            <w:r w:rsidRPr="00A64B56">
              <w:rPr>
                <w:sz w:val="14"/>
                <w:szCs w:val="16"/>
                <w:lang w:eastAsia="x-none"/>
              </w:rPr>
              <w:t>Waste paper collected is assumed to be reprocessed into packaging paper, both within Australia (56%) and internationally (China, 44%).</w:t>
            </w:r>
          </w:p>
          <w:p w14:paraId="6B7643BB" w14:textId="77777777" w:rsidR="00F4294D" w:rsidRPr="00A64B56" w:rsidRDefault="00F4294D" w:rsidP="00F4294D">
            <w:pPr>
              <w:spacing w:after="0"/>
              <w:jc w:val="left"/>
              <w:rPr>
                <w:sz w:val="14"/>
                <w:szCs w:val="16"/>
                <w:lang w:eastAsia="x-none"/>
              </w:rPr>
            </w:pPr>
            <w:r w:rsidRPr="00A64B56">
              <w:rPr>
                <w:sz w:val="14"/>
                <w:szCs w:val="16"/>
                <w:lang w:eastAsia="x-none"/>
              </w:rPr>
              <w:t>Reprocessing within Australia is assumed to be undertaken in a manner similar to that operated at Amcor’s Botany paper plant. The inventory is based upon published data for the Botany plant, complemented by European data. For the China inventory, this process is adjusted to incorporate the use of coal for heat in place of natural gas.</w:t>
            </w:r>
          </w:p>
        </w:tc>
        <w:tc>
          <w:tcPr>
            <w:tcW w:w="4040" w:type="dxa"/>
          </w:tcPr>
          <w:p w14:paraId="33115C3D" w14:textId="77777777" w:rsidR="00F4294D" w:rsidRPr="00A64B56" w:rsidRDefault="00F4294D" w:rsidP="00F4294D">
            <w:pPr>
              <w:spacing w:after="0"/>
              <w:jc w:val="left"/>
              <w:rPr>
                <w:sz w:val="14"/>
                <w:szCs w:val="16"/>
                <w:lang w:eastAsia="x-none"/>
              </w:rPr>
            </w:pPr>
            <w:r w:rsidRPr="00A64B56">
              <w:rPr>
                <w:sz w:val="14"/>
                <w:szCs w:val="16"/>
                <w:lang w:eastAsia="x-none"/>
              </w:rPr>
              <w:t>Waste paper is assumed to be treated in landfill.</w:t>
            </w:r>
          </w:p>
          <w:p w14:paraId="3C0C5B04" w14:textId="77777777" w:rsidR="00F4294D" w:rsidRPr="00A64B56" w:rsidRDefault="00F4294D" w:rsidP="00F4294D">
            <w:pPr>
              <w:spacing w:after="0"/>
              <w:jc w:val="left"/>
              <w:rPr>
                <w:sz w:val="14"/>
                <w:szCs w:val="16"/>
                <w:lang w:eastAsia="x-none"/>
              </w:rPr>
            </w:pPr>
            <w:r w:rsidRPr="00A64B56">
              <w:rPr>
                <w:sz w:val="14"/>
                <w:szCs w:val="16"/>
                <w:lang w:eastAsia="x-none"/>
              </w:rPr>
              <w:t>Packaging paper production (equivalent to that produced by the Recycling System) is assumed to be via the Kraft process, similar to that employed by Visy at Tumut for packaging paper production. The inventory is based upon published data for the Tumut facility. The inventory is modified for paper production in China, to incorporate coal as the primary heat source, in place of gas. Quantities of materials produced through each inventory are equivalent to those produced by the Recycling System.</w:t>
            </w:r>
          </w:p>
          <w:p w14:paraId="410C6D8A" w14:textId="77777777" w:rsidR="00F4294D" w:rsidRPr="00A64B56" w:rsidRDefault="00F4294D" w:rsidP="00F4294D">
            <w:pPr>
              <w:spacing w:after="0"/>
              <w:jc w:val="left"/>
              <w:rPr>
                <w:sz w:val="14"/>
                <w:szCs w:val="16"/>
                <w:lang w:eastAsia="x-none"/>
              </w:rPr>
            </w:pPr>
            <w:r w:rsidRPr="00A64B56">
              <w:rPr>
                <w:sz w:val="14"/>
                <w:szCs w:val="16"/>
                <w:lang w:eastAsia="x-none"/>
              </w:rPr>
              <w:t>Carbon stocks in forests and forests products are assumed to remain constant across the life cycle.</w:t>
            </w:r>
          </w:p>
        </w:tc>
      </w:tr>
      <w:tr w:rsidR="00F4294D" w14:paraId="00023711" w14:textId="77777777" w:rsidTr="000631F3">
        <w:tc>
          <w:tcPr>
            <w:tcW w:w="993" w:type="dxa"/>
          </w:tcPr>
          <w:p w14:paraId="7F9CA50B" w14:textId="77777777" w:rsidR="00F4294D" w:rsidRPr="00A64B56" w:rsidRDefault="00F4294D" w:rsidP="00F4294D">
            <w:pPr>
              <w:spacing w:after="0"/>
              <w:jc w:val="left"/>
              <w:rPr>
                <w:sz w:val="14"/>
                <w:szCs w:val="16"/>
                <w:lang w:eastAsia="x-none"/>
              </w:rPr>
            </w:pPr>
            <w:r w:rsidRPr="00A64B56">
              <w:rPr>
                <w:sz w:val="14"/>
                <w:szCs w:val="16"/>
                <w:lang w:eastAsia="x-none"/>
              </w:rPr>
              <w:t>Treatment of waste glass</w:t>
            </w:r>
          </w:p>
        </w:tc>
        <w:tc>
          <w:tcPr>
            <w:tcW w:w="4039" w:type="dxa"/>
          </w:tcPr>
          <w:p w14:paraId="377496E6" w14:textId="1BEB7B6E" w:rsidR="00F4294D" w:rsidRPr="00A64B56" w:rsidRDefault="00574363" w:rsidP="00F4294D">
            <w:pPr>
              <w:spacing w:after="0"/>
              <w:jc w:val="left"/>
              <w:rPr>
                <w:sz w:val="14"/>
                <w:szCs w:val="16"/>
                <w:lang w:eastAsia="x-none"/>
              </w:rPr>
            </w:pPr>
            <w:r>
              <w:rPr>
                <w:sz w:val="14"/>
                <w:szCs w:val="16"/>
                <w:lang w:eastAsia="x-none"/>
              </w:rPr>
              <w:t>85</w:t>
            </w:r>
            <w:r w:rsidR="00F4294D" w:rsidRPr="00A64B56">
              <w:rPr>
                <w:sz w:val="14"/>
                <w:szCs w:val="16"/>
                <w:lang w:eastAsia="x-none"/>
              </w:rPr>
              <w:t>% of waste glass collected at the kerbside is assumed to be reprocessed into glass packaging and the balance into aggregate substitute products (sands).</w:t>
            </w:r>
            <w:r w:rsidR="00F4294D">
              <w:rPr>
                <w:sz w:val="14"/>
                <w:szCs w:val="16"/>
                <w:lang w:eastAsia="x-none"/>
              </w:rPr>
              <w:t xml:space="preserve"> </w:t>
            </w:r>
            <w:r w:rsidR="00F4294D" w:rsidRPr="00A64B56">
              <w:rPr>
                <w:sz w:val="14"/>
                <w:szCs w:val="16"/>
                <w:lang w:eastAsia="x-none"/>
              </w:rPr>
              <w:t xml:space="preserve">All glass packaging is assumed to be reprocessed locally in Melbourne. The process inventory adopted is based upon a survey of German glass producers, which correlates well to key data elements published by the local industry (such as greenhouse gasses per tonne). </w:t>
            </w:r>
          </w:p>
        </w:tc>
        <w:tc>
          <w:tcPr>
            <w:tcW w:w="4040" w:type="dxa"/>
          </w:tcPr>
          <w:p w14:paraId="0ECDD1CB" w14:textId="77777777" w:rsidR="00F4294D" w:rsidRPr="00A64B56" w:rsidRDefault="00F4294D" w:rsidP="00F4294D">
            <w:pPr>
              <w:spacing w:after="0"/>
              <w:jc w:val="left"/>
              <w:rPr>
                <w:sz w:val="14"/>
                <w:szCs w:val="16"/>
                <w:lang w:eastAsia="x-none"/>
              </w:rPr>
            </w:pPr>
            <w:r w:rsidRPr="00A64B56">
              <w:rPr>
                <w:sz w:val="14"/>
                <w:szCs w:val="16"/>
                <w:lang w:eastAsia="x-none"/>
              </w:rPr>
              <w:t>Waste glass is assumed to be processed in landfill.</w:t>
            </w:r>
          </w:p>
          <w:p w14:paraId="08F6233A" w14:textId="77777777" w:rsidR="00F4294D" w:rsidRPr="00A64B56" w:rsidRDefault="00F4294D" w:rsidP="00F4294D">
            <w:pPr>
              <w:spacing w:after="0"/>
              <w:jc w:val="left"/>
              <w:rPr>
                <w:sz w:val="14"/>
                <w:szCs w:val="16"/>
                <w:lang w:eastAsia="x-none"/>
              </w:rPr>
            </w:pPr>
            <w:r w:rsidRPr="00A64B56">
              <w:rPr>
                <w:sz w:val="14"/>
                <w:szCs w:val="16"/>
                <w:lang w:eastAsia="x-none"/>
              </w:rPr>
              <w:t>Packaging glass production is assumed to be produced locally using the same inventory as for the Recycling System. The inventory is adjusted to remove recycled cullet and increase raw materials and energy, in accordance with published ratios.</w:t>
            </w:r>
          </w:p>
          <w:p w14:paraId="65B230AD" w14:textId="77777777" w:rsidR="00F4294D" w:rsidRPr="00A64B56" w:rsidRDefault="00F4294D" w:rsidP="00F4294D">
            <w:pPr>
              <w:spacing w:after="0"/>
              <w:jc w:val="left"/>
              <w:rPr>
                <w:sz w:val="14"/>
                <w:szCs w:val="16"/>
                <w:lang w:eastAsia="x-none"/>
              </w:rPr>
            </w:pPr>
            <w:r w:rsidRPr="00A64B56">
              <w:rPr>
                <w:sz w:val="14"/>
                <w:szCs w:val="16"/>
                <w:lang w:eastAsia="x-none"/>
              </w:rPr>
              <w:t>Aggregate products are assumed to be provided by sand, which is mined locally. A sand mining operation from Queensland is used as the basis for the inventory.</w:t>
            </w:r>
          </w:p>
        </w:tc>
      </w:tr>
      <w:tr w:rsidR="00F4294D" w14:paraId="07CD405C" w14:textId="77777777" w:rsidTr="000631F3">
        <w:tc>
          <w:tcPr>
            <w:tcW w:w="993" w:type="dxa"/>
          </w:tcPr>
          <w:p w14:paraId="70072EF6" w14:textId="77777777" w:rsidR="00F4294D" w:rsidRPr="00A64B56" w:rsidRDefault="00F4294D" w:rsidP="00F4294D">
            <w:pPr>
              <w:spacing w:after="0"/>
              <w:jc w:val="left"/>
              <w:rPr>
                <w:sz w:val="14"/>
                <w:szCs w:val="16"/>
                <w:lang w:eastAsia="x-none"/>
              </w:rPr>
            </w:pPr>
            <w:r w:rsidRPr="00A64B56">
              <w:rPr>
                <w:sz w:val="14"/>
                <w:szCs w:val="16"/>
                <w:lang w:eastAsia="x-none"/>
              </w:rPr>
              <w:t>Treatment of waste aluminium cans</w:t>
            </w:r>
          </w:p>
        </w:tc>
        <w:tc>
          <w:tcPr>
            <w:tcW w:w="4039" w:type="dxa"/>
          </w:tcPr>
          <w:p w14:paraId="5EA17E84" w14:textId="77777777" w:rsidR="00F4294D" w:rsidRPr="00A64B56" w:rsidRDefault="00F4294D" w:rsidP="00F4294D">
            <w:pPr>
              <w:spacing w:after="0"/>
              <w:jc w:val="left"/>
              <w:rPr>
                <w:sz w:val="14"/>
                <w:szCs w:val="16"/>
                <w:lang w:eastAsia="x-none"/>
              </w:rPr>
            </w:pPr>
            <w:r w:rsidRPr="00A64B56">
              <w:rPr>
                <w:sz w:val="14"/>
                <w:szCs w:val="16"/>
                <w:lang w:eastAsia="x-none"/>
              </w:rPr>
              <w:t>48% of waste aluminium cans are assumed to be reprocessed at Yennora in NSW, and 52% are assumed to be reprocessed in South Korea. The reprocessing inventory is a European inventory, utilising similar technology to Yennora, and that correlates well with data fragments published for the Yennora facility. The Korea inventory is similar to Australia, however energy sources (electricity and natural gas) have been adjusted to suit Korean conditions.</w:t>
            </w:r>
          </w:p>
        </w:tc>
        <w:tc>
          <w:tcPr>
            <w:tcW w:w="4040" w:type="dxa"/>
          </w:tcPr>
          <w:p w14:paraId="747F6BD6" w14:textId="77777777" w:rsidR="00F4294D" w:rsidRPr="00A64B56" w:rsidRDefault="00F4294D" w:rsidP="00F4294D">
            <w:pPr>
              <w:spacing w:after="0"/>
              <w:jc w:val="left"/>
              <w:rPr>
                <w:sz w:val="14"/>
                <w:szCs w:val="16"/>
                <w:lang w:eastAsia="x-none"/>
              </w:rPr>
            </w:pPr>
            <w:r w:rsidRPr="00A64B56">
              <w:rPr>
                <w:sz w:val="14"/>
                <w:szCs w:val="16"/>
                <w:lang w:eastAsia="x-none"/>
              </w:rPr>
              <w:t>Waste aluminium cans are assumed to be disposed of to landfill.</w:t>
            </w:r>
          </w:p>
          <w:p w14:paraId="5758E16F" w14:textId="77777777" w:rsidR="00F4294D" w:rsidRPr="00A64B56" w:rsidRDefault="00F4294D" w:rsidP="00F4294D">
            <w:pPr>
              <w:spacing w:after="0"/>
              <w:jc w:val="left"/>
              <w:rPr>
                <w:sz w:val="14"/>
                <w:szCs w:val="16"/>
                <w:lang w:eastAsia="x-none"/>
              </w:rPr>
            </w:pPr>
            <w:r w:rsidRPr="00A64B56">
              <w:rPr>
                <w:sz w:val="14"/>
                <w:szCs w:val="16"/>
                <w:lang w:eastAsia="x-none"/>
              </w:rPr>
              <w:t>Aluminium is assumed to be produced at the same quantity as the Recycling System, using a process inventory based upon Australian producer information, which is adjusted for recent improvements in perflourocarbon emissions. As no primary aluminium production occurs in South Korea, it is assumed that a quantity of aluminium is shipped from Australia to Korea to achieve functional equivalence to the Recycling System.</w:t>
            </w:r>
          </w:p>
        </w:tc>
      </w:tr>
      <w:tr w:rsidR="00F4294D" w14:paraId="7FE9CC2C" w14:textId="77777777" w:rsidTr="000631F3">
        <w:tc>
          <w:tcPr>
            <w:tcW w:w="993" w:type="dxa"/>
          </w:tcPr>
          <w:p w14:paraId="682AC583" w14:textId="77777777" w:rsidR="00F4294D" w:rsidRPr="00A64B56" w:rsidRDefault="00F4294D" w:rsidP="00F4294D">
            <w:pPr>
              <w:spacing w:after="0"/>
              <w:jc w:val="left"/>
              <w:rPr>
                <w:sz w:val="14"/>
                <w:szCs w:val="16"/>
                <w:lang w:eastAsia="x-none"/>
              </w:rPr>
            </w:pPr>
            <w:r w:rsidRPr="00A64B56">
              <w:rPr>
                <w:sz w:val="14"/>
                <w:szCs w:val="16"/>
                <w:lang w:eastAsia="x-none"/>
              </w:rPr>
              <w:t>Treatment of waste steel cans</w:t>
            </w:r>
          </w:p>
        </w:tc>
        <w:tc>
          <w:tcPr>
            <w:tcW w:w="4039" w:type="dxa"/>
          </w:tcPr>
          <w:p w14:paraId="4BE8265B" w14:textId="77777777" w:rsidR="00F4294D" w:rsidRPr="00A64B56" w:rsidRDefault="00F4294D" w:rsidP="00F4294D">
            <w:pPr>
              <w:spacing w:after="0"/>
              <w:jc w:val="left"/>
              <w:rPr>
                <w:sz w:val="14"/>
                <w:szCs w:val="16"/>
                <w:lang w:eastAsia="x-none"/>
              </w:rPr>
            </w:pPr>
            <w:r w:rsidRPr="00A64B56">
              <w:rPr>
                <w:sz w:val="14"/>
                <w:szCs w:val="16"/>
                <w:lang w:eastAsia="x-none"/>
              </w:rPr>
              <w:t>41% of steel cans recovered are assumed to be reprocessed locally whin Victoria in Electro Arc Furnaces (EAFs). 59% of steel cans are assumed to be shipped to Malaysia where it is assumed they undergo a de-tinning process prior to EAF melting to produce steel products.</w:t>
            </w:r>
          </w:p>
          <w:p w14:paraId="24143CE3" w14:textId="387F7033" w:rsidR="00F4294D" w:rsidRPr="00A64B56" w:rsidRDefault="00F4294D" w:rsidP="00F40CE2">
            <w:pPr>
              <w:spacing w:after="0"/>
              <w:jc w:val="left"/>
              <w:rPr>
                <w:sz w:val="14"/>
                <w:szCs w:val="16"/>
                <w:lang w:eastAsia="x-none"/>
              </w:rPr>
            </w:pPr>
            <w:r w:rsidRPr="00A64B56">
              <w:rPr>
                <w:sz w:val="14"/>
                <w:szCs w:val="16"/>
                <w:lang w:eastAsia="x-none"/>
              </w:rPr>
              <w:t xml:space="preserve">The EAF reprocessing inventory is based upon a study of Australian steel makers </w:t>
            </w:r>
            <w:r w:rsidRPr="00A64B56">
              <w:rPr>
                <w:sz w:val="14"/>
                <w:szCs w:val="16"/>
                <w:lang w:eastAsia="x-none"/>
              </w:rPr>
              <w:fldChar w:fldCharType="begin"/>
            </w:r>
            <w:r w:rsidR="00F40CE2">
              <w:rPr>
                <w:sz w:val="14"/>
                <w:szCs w:val="16"/>
                <w:lang w:eastAsia="x-none"/>
              </w:rPr>
              <w:instrText xml:space="preserve"> ADDIN EN.CITE &lt;EndNote&gt;&lt;Cite&gt;&lt;Author&gt;Energetics&lt;/Author&gt;&lt;Year&gt;2012&lt;/Year&gt;&lt;RecNum&gt;655&lt;/RecNum&gt;&lt;DisplayText&gt;(Energetics,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20" w:tooltip="Energetics, 2012 #655" w:history="1">
              <w:r w:rsidR="00F40CE2">
                <w:rPr>
                  <w:noProof/>
                  <w:sz w:val="14"/>
                  <w:szCs w:val="16"/>
                  <w:lang w:eastAsia="x-none"/>
                </w:rPr>
                <w:t>Energetics, 2012</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 For Malaysia the Australian inventory is adjusted to suit local energy supplies and to incorporate a de-tinning process.</w:t>
            </w:r>
          </w:p>
        </w:tc>
        <w:tc>
          <w:tcPr>
            <w:tcW w:w="4040" w:type="dxa"/>
          </w:tcPr>
          <w:p w14:paraId="3770A369" w14:textId="77777777" w:rsidR="00F4294D" w:rsidRPr="00A64B56" w:rsidRDefault="00F4294D" w:rsidP="00F4294D">
            <w:pPr>
              <w:spacing w:after="0"/>
              <w:jc w:val="left"/>
              <w:rPr>
                <w:sz w:val="14"/>
                <w:szCs w:val="16"/>
                <w:lang w:eastAsia="x-none"/>
              </w:rPr>
            </w:pPr>
            <w:r w:rsidRPr="00A64B56">
              <w:rPr>
                <w:sz w:val="14"/>
                <w:szCs w:val="16"/>
                <w:lang w:eastAsia="x-none"/>
              </w:rPr>
              <w:t>Waste steel cans are assumed to be processed in landfill.</w:t>
            </w:r>
          </w:p>
          <w:p w14:paraId="7739CFE7" w14:textId="43F4E5CA" w:rsidR="00F4294D" w:rsidRPr="00A64B56" w:rsidRDefault="00F4294D" w:rsidP="00F40CE2">
            <w:pPr>
              <w:spacing w:after="0"/>
              <w:jc w:val="left"/>
              <w:rPr>
                <w:sz w:val="14"/>
                <w:szCs w:val="16"/>
                <w:lang w:eastAsia="x-none"/>
              </w:rPr>
            </w:pPr>
            <w:r w:rsidRPr="00A64B56">
              <w:rPr>
                <w:sz w:val="14"/>
                <w:szCs w:val="16"/>
                <w:lang w:eastAsia="x-none"/>
              </w:rPr>
              <w:t xml:space="preserve">Steel quantities, as produced by the Recycling System, are assumed to be produced by the Blast Furnace – Basic Oxygen Steelmaking (BF-BOS) process. The inventory is based upon a published inventory of Australian steelmaking </w:t>
            </w:r>
            <w:r w:rsidRPr="00A64B56">
              <w:rPr>
                <w:sz w:val="14"/>
                <w:szCs w:val="16"/>
                <w:lang w:eastAsia="x-none"/>
              </w:rPr>
              <w:fldChar w:fldCharType="begin"/>
            </w:r>
            <w:r w:rsidR="00F40CE2">
              <w:rPr>
                <w:sz w:val="14"/>
                <w:szCs w:val="16"/>
                <w:lang w:eastAsia="x-none"/>
              </w:rPr>
              <w:instrText xml:space="preserve"> ADDIN EN.CITE &lt;EndNote&gt;&lt;Cite&gt;&lt;Author&gt;Energetics&lt;/Author&gt;&lt;Year&gt;2012&lt;/Year&gt;&lt;RecNum&gt;655&lt;/RecNum&gt;&lt;DisplayText&gt;(Energetics,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20" w:tooltip="Energetics, 2012 #655" w:history="1">
              <w:r w:rsidR="00F40CE2">
                <w:rPr>
                  <w:noProof/>
                  <w:sz w:val="14"/>
                  <w:szCs w:val="16"/>
                  <w:lang w:eastAsia="x-none"/>
                </w:rPr>
                <w:t>Energetics, 2012</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 All steel is assumed to be produced in Australia, with a portion shipped to Malaysia to achieve functional equivalence to the Recycling system (steel is not generally produced from virgin resources in Malaysia).</w:t>
            </w:r>
          </w:p>
        </w:tc>
      </w:tr>
      <w:tr w:rsidR="00F4294D" w14:paraId="105A345B" w14:textId="77777777" w:rsidTr="000631F3">
        <w:tc>
          <w:tcPr>
            <w:tcW w:w="993" w:type="dxa"/>
          </w:tcPr>
          <w:p w14:paraId="474AAC8B" w14:textId="77777777" w:rsidR="00F4294D" w:rsidRPr="00A64B56" w:rsidRDefault="00F4294D" w:rsidP="00F4294D">
            <w:pPr>
              <w:spacing w:after="0"/>
              <w:jc w:val="left"/>
              <w:rPr>
                <w:sz w:val="14"/>
                <w:szCs w:val="16"/>
                <w:lang w:eastAsia="x-none"/>
              </w:rPr>
            </w:pPr>
            <w:r w:rsidRPr="00A64B56">
              <w:rPr>
                <w:sz w:val="14"/>
                <w:szCs w:val="16"/>
                <w:lang w:eastAsia="x-none"/>
              </w:rPr>
              <w:t>Treatment of waste plastics</w:t>
            </w:r>
          </w:p>
        </w:tc>
        <w:tc>
          <w:tcPr>
            <w:tcW w:w="4039" w:type="dxa"/>
          </w:tcPr>
          <w:p w14:paraId="16CA3461" w14:textId="794B4CCF" w:rsidR="00F4294D" w:rsidRPr="00A64B56" w:rsidRDefault="00F4294D" w:rsidP="00F4294D">
            <w:pPr>
              <w:spacing w:after="0"/>
              <w:jc w:val="left"/>
              <w:rPr>
                <w:sz w:val="14"/>
                <w:szCs w:val="16"/>
                <w:lang w:eastAsia="x-none"/>
              </w:rPr>
            </w:pPr>
            <w:r w:rsidRPr="00A64B56">
              <w:rPr>
                <w:sz w:val="14"/>
                <w:szCs w:val="16"/>
                <w:lang w:eastAsia="x-none"/>
              </w:rPr>
              <w:t xml:space="preserve">Homogeneous waste plastic streams (PET and HDPE) are assumed to be processed locally (46%) and internationally (China, 54%). Reprocessing is assumed to involve a cleaning and repelletisation process, similar to that modelled by </w:t>
            </w:r>
            <w:r w:rsidRPr="00A64B56">
              <w:rPr>
                <w:sz w:val="14"/>
                <w:szCs w:val="16"/>
                <w:lang w:eastAsia="x-none"/>
              </w:rPr>
              <w:fldChar w:fldCharType="begin"/>
            </w:r>
            <w:r w:rsidR="00F40CE2">
              <w:rPr>
                <w:sz w:val="14"/>
                <w:szCs w:val="16"/>
                <w:lang w:eastAsia="x-none"/>
              </w:rPr>
              <w:instrText xml:space="preserve"> ADDIN EN.CITE &lt;EndNote&gt;&lt;Cite&gt;&lt;Author&gt;Franklin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29" w:tooltip="Franklin Associates., 2010 #284" w:history="1">
              <w:r w:rsidR="00F40CE2">
                <w:rPr>
                  <w:noProof/>
                  <w:sz w:val="14"/>
                  <w:szCs w:val="16"/>
                  <w:lang w:eastAsia="x-none"/>
                </w:rPr>
                <w:t>Franklin Associates., 2010</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 xml:space="preserve"> for U.S. processors.</w:t>
            </w:r>
          </w:p>
          <w:p w14:paraId="66482595" w14:textId="77777777" w:rsidR="00F4294D" w:rsidRPr="00A64B56" w:rsidRDefault="00F4294D" w:rsidP="00F4294D">
            <w:pPr>
              <w:spacing w:after="0"/>
              <w:jc w:val="left"/>
              <w:rPr>
                <w:sz w:val="14"/>
                <w:szCs w:val="16"/>
                <w:lang w:eastAsia="x-none"/>
              </w:rPr>
            </w:pPr>
            <w:r w:rsidRPr="00A64B56">
              <w:rPr>
                <w:sz w:val="14"/>
                <w:szCs w:val="16"/>
                <w:lang w:eastAsia="x-none"/>
              </w:rPr>
              <w:t>Mixed streams (including coloured HDPE) are assumed to be reprocessed entirely in China. Reprocessing is assumed to be largely manual (which are excluded from the LCA), with included burdens similar to those for homogeneous HDPE. It is acknowledged that reprocessing for these streams is highly uncertain.</w:t>
            </w:r>
          </w:p>
        </w:tc>
        <w:tc>
          <w:tcPr>
            <w:tcW w:w="4040" w:type="dxa"/>
          </w:tcPr>
          <w:p w14:paraId="78D6B5BE" w14:textId="77777777" w:rsidR="00F4294D" w:rsidRPr="00A64B56" w:rsidRDefault="00F4294D" w:rsidP="00F4294D">
            <w:pPr>
              <w:spacing w:after="0"/>
              <w:jc w:val="left"/>
              <w:rPr>
                <w:sz w:val="14"/>
                <w:szCs w:val="16"/>
                <w:lang w:eastAsia="x-none"/>
              </w:rPr>
            </w:pPr>
            <w:r w:rsidRPr="00A64B56">
              <w:rPr>
                <w:sz w:val="14"/>
                <w:szCs w:val="16"/>
                <w:lang w:eastAsia="x-none"/>
              </w:rPr>
              <w:t>Waste plastics are assumed to be treated in landfill.</w:t>
            </w:r>
          </w:p>
          <w:p w14:paraId="60073A73" w14:textId="77777777" w:rsidR="00F4294D" w:rsidRPr="00A64B56" w:rsidRDefault="00F4294D" w:rsidP="00F4294D">
            <w:pPr>
              <w:spacing w:after="0"/>
              <w:jc w:val="left"/>
              <w:rPr>
                <w:sz w:val="14"/>
                <w:szCs w:val="16"/>
                <w:lang w:eastAsia="x-none"/>
              </w:rPr>
            </w:pPr>
            <w:r w:rsidRPr="00A64B56">
              <w:rPr>
                <w:sz w:val="14"/>
                <w:szCs w:val="16"/>
                <w:lang w:eastAsia="x-none"/>
              </w:rPr>
              <w:t>Unlike the other inventories above, plastics production is assumed to be produced through a generic inventory (utilising virgin feedstocks) for each plastic type produced by the Recycling System. These inventories are from the Ecoinvent database and are based upon data produced by Plastics Europe. They are not adjusted for regional energy supplies, and are used as is. Although the regional appropriateness of the datasets is questionable, their overall data quality is believed to be higher than if regional data sets were used, which have varying data qualities.</w:t>
            </w:r>
          </w:p>
        </w:tc>
      </w:tr>
    </w:tbl>
    <w:p w14:paraId="6F975415" w14:textId="77777777" w:rsidR="00F4294D" w:rsidRDefault="00F4294D" w:rsidP="006C1830">
      <w:pPr>
        <w:spacing w:after="0"/>
      </w:pPr>
    </w:p>
    <w:p w14:paraId="4C728D4E" w14:textId="77777777" w:rsidR="003A6F2A" w:rsidRDefault="003A6F2A">
      <w:pPr>
        <w:widowControl/>
        <w:spacing w:after="0"/>
        <w:jc w:val="left"/>
      </w:pPr>
      <w:r>
        <w:br w:type="page"/>
      </w:r>
    </w:p>
    <w:p w14:paraId="4DBD4F2B" w14:textId="7D6CA7E9" w:rsidR="00926114" w:rsidRDefault="006C1830" w:rsidP="002E1C2D">
      <w:r>
        <w:lastRenderedPageBreak/>
        <w:t>The inventory developed above was</w:t>
      </w:r>
      <w:r w:rsidR="00770FB0">
        <w:t xml:space="preserve"> analysed using an impact assessment method </w:t>
      </w:r>
      <w:r w:rsidR="00926114">
        <w:t>generating the</w:t>
      </w:r>
      <w:r w:rsidR="00770FB0">
        <w:t xml:space="preserve"> result</w:t>
      </w:r>
      <w:r w:rsidR="00926114">
        <w:t>s</w:t>
      </w:r>
      <w:r w:rsidR="00770FB0">
        <w:t xml:space="preserve"> shown in </w:t>
      </w:r>
      <w:r w:rsidR="00770FB0">
        <w:fldChar w:fldCharType="begin"/>
      </w:r>
      <w:r w:rsidR="00770FB0">
        <w:instrText xml:space="preserve"> REF _Ref358772457 \h </w:instrText>
      </w:r>
      <w:r w:rsidR="00770FB0">
        <w:fldChar w:fldCharType="separate"/>
      </w:r>
      <w:r w:rsidR="00564E5C">
        <w:t xml:space="preserve">Table </w:t>
      </w:r>
      <w:r w:rsidR="00564E5C">
        <w:rPr>
          <w:noProof/>
        </w:rPr>
        <w:t>3</w:t>
      </w:r>
      <w:r w:rsidR="00770FB0">
        <w:fldChar w:fldCharType="end"/>
      </w:r>
      <w:r w:rsidR="00926114">
        <w:t>. The impact assessment method considered global warming, eutrophication, photochemical oxidation, minerals depletion, fossil fuels depletion, land use, water use, solid waste and cumulative energy demand</w:t>
      </w:r>
      <w:r w:rsidR="00C35896">
        <w:t xml:space="preserve">, as shown in </w:t>
      </w:r>
      <w:r w:rsidR="00C35896">
        <w:fldChar w:fldCharType="begin"/>
      </w:r>
      <w:r w:rsidR="00C35896">
        <w:instrText xml:space="preserve"> REF _Ref363031863 \h </w:instrText>
      </w:r>
      <w:r w:rsidR="00C35896">
        <w:fldChar w:fldCharType="separate"/>
      </w:r>
      <w:r w:rsidR="00564E5C" w:rsidRPr="001D74DD">
        <w:t xml:space="preserve">Table </w:t>
      </w:r>
      <w:r w:rsidR="00564E5C">
        <w:rPr>
          <w:noProof/>
        </w:rPr>
        <w:t>2</w:t>
      </w:r>
      <w:r w:rsidR="00C35896">
        <w:fldChar w:fldCharType="end"/>
      </w:r>
      <w:r w:rsidR="00C35896">
        <w:t>. Global warming, eutrophication, photochemical oxidation, minerals depletion, fossil fuels depletion could all be considered indicators of environmental impact, however the remaining indicators are more correctly considered pre-cursor indicators that may or may not indicate environmental impact. For example, cumulative energy demand tells us what quantum of primary energy is being used by a system, it does not tell us if that that energy has come from fossil or renewable sources. Therefore, the exact nature of the environmental impact is unknown.</w:t>
      </w:r>
    </w:p>
    <w:p w14:paraId="4116AC2F" w14:textId="0CA730B6" w:rsidR="00C35896" w:rsidRDefault="00C35896" w:rsidP="002E1C2D">
      <w:r>
        <w:t>The indicators chosen (</w:t>
      </w:r>
      <w:r>
        <w:fldChar w:fldCharType="begin"/>
      </w:r>
      <w:r>
        <w:instrText xml:space="preserve"> REF _Ref363031863 \h </w:instrText>
      </w:r>
      <w:r>
        <w:fldChar w:fldCharType="separate"/>
      </w:r>
      <w:r w:rsidR="00564E5C" w:rsidRPr="001D74DD">
        <w:t xml:space="preserve">Table </w:t>
      </w:r>
      <w:r w:rsidR="00564E5C">
        <w:rPr>
          <w:noProof/>
        </w:rPr>
        <w:t>2</w:t>
      </w:r>
      <w:r>
        <w:fldChar w:fldCharType="end"/>
      </w:r>
      <w:r>
        <w:t xml:space="preserve">) were selected to assess a range of issues that recycling would be likely to affect. They were also chosen to maintain consistency and comparability with the previous LCA study </w:t>
      </w:r>
      <w:r w:rsidR="00D00266">
        <w:fldChar w:fldCharType="begin"/>
      </w:r>
      <w:r w:rsidR="00F40CE2">
        <w:instrText xml:space="preserve"> ADDIN EN.CITE &lt;EndNote&gt;&lt;Cite&gt;&lt;Author&gt;Grant&lt;/Author&gt;&lt;Year&gt;2001&lt;/Year&gt;&lt;RecNum&gt;262&lt;/RecNum&gt;&lt;DisplayText&gt;(Grant et al., 2001a)&lt;/DisplayText&gt;&lt;record&gt;&lt;rec-number&gt;262&lt;/rec-number&gt;&lt;foreign-keys&gt;&lt;key app="EN" db-id="tfpv5staxsvs2nexzpp5taewzsvpx0er5fap"&gt;262&lt;/key&gt;&lt;/foreign-keys&gt;&lt;ref-type name="Report"&gt;27&lt;/ref-type&gt;&lt;contributors&gt;&lt;authors&gt;&lt;author&gt;Grant, Tim&lt;/author&gt;&lt;author&gt;James, Karli&lt;/author&gt;&lt;author&gt;Lundie, Sven&lt;/author&gt;&lt;author&gt;Sonneveld, Kees&lt;/author&gt;&lt;/authors&gt;&lt;/contributors&gt;&lt;titles&gt;&lt;title&gt;Stage 2 Report for Life Cycle Assessment for Paper and Packaging Waste Management Scenarios in Victoria&lt;/title&gt;&lt;/titles&gt;&lt;dates&gt;&lt;year&gt;2001&lt;/year&gt;&lt;pub-dates&gt;&lt;date&gt;January&lt;/date&gt;&lt;/pub-dates&gt;&lt;/dates&gt;&lt;pub-location&gt;Melbourne&lt;/pub-location&gt;&lt;publisher&gt;EcoRecycle Victoria&lt;/publisher&gt;&lt;urls&gt;&lt;/urls&gt;&lt;/record&gt;&lt;/Cite&gt;&lt;/EndNote&gt;</w:instrText>
      </w:r>
      <w:r w:rsidR="00D00266">
        <w:fldChar w:fldCharType="separate"/>
      </w:r>
      <w:r w:rsidR="00F40CE2">
        <w:rPr>
          <w:noProof/>
        </w:rPr>
        <w:t>(</w:t>
      </w:r>
      <w:hyperlink w:anchor="_ENREF_35" w:tooltip="Grant, 2001 #262" w:history="1">
        <w:r w:rsidR="00F40CE2">
          <w:rPr>
            <w:noProof/>
          </w:rPr>
          <w:t>Grant et al., 2001a</w:t>
        </w:r>
      </w:hyperlink>
      <w:r w:rsidR="00F40CE2">
        <w:rPr>
          <w:noProof/>
        </w:rPr>
        <w:t>)</w:t>
      </w:r>
      <w:r w:rsidR="00D00266">
        <w:fldChar w:fldCharType="end"/>
      </w:r>
      <w:r w:rsidR="00233FD3">
        <w:t>, and due to known inventory constraints. Human toxicity and ecotoxicity were excluded as their inclusion would have involved significant additional inventory development.</w:t>
      </w:r>
    </w:p>
    <w:p w14:paraId="50F1CC8C" w14:textId="019BC1C3" w:rsidR="006C1830" w:rsidRDefault="006C1830" w:rsidP="00C35896">
      <w:pPr>
        <w:pStyle w:val="Caption"/>
        <w:keepNext/>
      </w:pPr>
      <w:bookmarkStart w:id="13" w:name="_Ref363031863"/>
      <w:r w:rsidRPr="001D74DD">
        <w:t xml:space="preserve">Table </w:t>
      </w:r>
      <w:r w:rsidR="00FC7DE2">
        <w:fldChar w:fldCharType="begin"/>
      </w:r>
      <w:r w:rsidR="00FC7DE2">
        <w:instrText xml:space="preserve"> SEQ Table \* ARABIC </w:instrText>
      </w:r>
      <w:r w:rsidR="00FC7DE2">
        <w:fldChar w:fldCharType="separate"/>
      </w:r>
      <w:r w:rsidR="00564E5C">
        <w:rPr>
          <w:noProof/>
        </w:rPr>
        <w:t>2</w:t>
      </w:r>
      <w:r w:rsidR="00FC7DE2">
        <w:rPr>
          <w:noProof/>
        </w:rPr>
        <w:fldChar w:fldCharType="end"/>
      </w:r>
      <w:bookmarkEnd w:id="13"/>
      <w:r w:rsidRPr="001D74DD">
        <w:t xml:space="preserve"> Characterisation method</w:t>
      </w:r>
      <w:r w:rsidR="00C35896">
        <w:t xml:space="preserve"> employed</w:t>
      </w:r>
      <w:r w:rsidRPr="001D74DD">
        <w:t>.</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6673"/>
      </w:tblGrid>
      <w:tr w:rsidR="006C1830" w:rsidRPr="001F0FBA" w14:paraId="266D7062" w14:textId="77777777" w:rsidTr="00C35896">
        <w:trPr>
          <w:tblHeader/>
        </w:trPr>
        <w:tc>
          <w:tcPr>
            <w:tcW w:w="1266" w:type="dxa"/>
            <w:shd w:val="clear" w:color="auto" w:fill="D9D9D9"/>
          </w:tcPr>
          <w:p w14:paraId="6740F33E" w14:textId="77777777" w:rsidR="006C1830" w:rsidRPr="001F0FBA" w:rsidRDefault="006C1830" w:rsidP="006C1830">
            <w:pPr>
              <w:spacing w:after="0"/>
              <w:jc w:val="center"/>
              <w:rPr>
                <w:sz w:val="16"/>
                <w:szCs w:val="16"/>
              </w:rPr>
            </w:pPr>
            <w:r w:rsidRPr="001F0FBA">
              <w:rPr>
                <w:sz w:val="16"/>
                <w:szCs w:val="16"/>
              </w:rPr>
              <w:t>Indicator</w:t>
            </w:r>
          </w:p>
        </w:tc>
        <w:tc>
          <w:tcPr>
            <w:tcW w:w="6673" w:type="dxa"/>
            <w:shd w:val="clear" w:color="auto" w:fill="D9D9D9"/>
          </w:tcPr>
          <w:p w14:paraId="41C0904D" w14:textId="77777777" w:rsidR="006C1830" w:rsidRPr="001F0FBA" w:rsidRDefault="006C1830" w:rsidP="006C1830">
            <w:pPr>
              <w:spacing w:after="0"/>
              <w:jc w:val="center"/>
              <w:rPr>
                <w:sz w:val="16"/>
                <w:szCs w:val="16"/>
              </w:rPr>
            </w:pPr>
            <w:r w:rsidRPr="001F0FBA">
              <w:rPr>
                <w:sz w:val="16"/>
                <w:szCs w:val="16"/>
              </w:rPr>
              <w:t>Description</w:t>
            </w:r>
          </w:p>
        </w:tc>
      </w:tr>
      <w:tr w:rsidR="006C1830" w:rsidRPr="001F0FBA" w14:paraId="0E7C7EFB" w14:textId="77777777" w:rsidTr="00C35896">
        <w:tc>
          <w:tcPr>
            <w:tcW w:w="7939" w:type="dxa"/>
            <w:gridSpan w:val="2"/>
            <w:shd w:val="clear" w:color="auto" w:fill="D9D9D9"/>
          </w:tcPr>
          <w:p w14:paraId="4F7D218A" w14:textId="77777777" w:rsidR="006C1830" w:rsidRPr="001F0FBA" w:rsidRDefault="006C1830" w:rsidP="006C1830">
            <w:pPr>
              <w:spacing w:after="0"/>
              <w:jc w:val="center"/>
              <w:rPr>
                <w:sz w:val="16"/>
                <w:szCs w:val="16"/>
              </w:rPr>
            </w:pPr>
            <w:r w:rsidRPr="001F0FBA">
              <w:rPr>
                <w:sz w:val="16"/>
                <w:szCs w:val="16"/>
              </w:rPr>
              <w:t>Indicators of environmental impact</w:t>
            </w:r>
          </w:p>
        </w:tc>
      </w:tr>
      <w:tr w:rsidR="006C1830" w:rsidRPr="001F0FBA" w14:paraId="5E457156" w14:textId="77777777" w:rsidTr="00C35896">
        <w:trPr>
          <w:trHeight w:val="977"/>
        </w:trPr>
        <w:tc>
          <w:tcPr>
            <w:tcW w:w="1266" w:type="dxa"/>
            <w:vAlign w:val="center"/>
          </w:tcPr>
          <w:p w14:paraId="59202079" w14:textId="77777777" w:rsidR="006C1830" w:rsidRPr="00B142A8" w:rsidRDefault="006C1830" w:rsidP="006C1830">
            <w:pPr>
              <w:spacing w:after="0"/>
              <w:jc w:val="center"/>
              <w:rPr>
                <w:sz w:val="14"/>
                <w:szCs w:val="16"/>
              </w:rPr>
            </w:pPr>
            <w:r w:rsidRPr="00B142A8">
              <w:rPr>
                <w:sz w:val="14"/>
                <w:szCs w:val="16"/>
              </w:rPr>
              <w:t>Global warming</w:t>
            </w:r>
          </w:p>
        </w:tc>
        <w:tc>
          <w:tcPr>
            <w:tcW w:w="6673" w:type="dxa"/>
            <w:vAlign w:val="center"/>
          </w:tcPr>
          <w:p w14:paraId="23E04C3F" w14:textId="26885FF9" w:rsidR="006C1830" w:rsidRPr="00B142A8" w:rsidRDefault="006C1830" w:rsidP="006C1830">
            <w:pPr>
              <w:spacing w:after="0"/>
              <w:jc w:val="left"/>
              <w:rPr>
                <w:sz w:val="14"/>
                <w:szCs w:val="16"/>
              </w:rPr>
            </w:pPr>
            <w:r w:rsidRPr="00B142A8">
              <w:rPr>
                <w:sz w:val="14"/>
                <w:szCs w:val="16"/>
              </w:rPr>
              <w:t>Climate change effects resulting from the emission of carbon dioxide (CO</w:t>
            </w:r>
            <w:r w:rsidRPr="00B142A8">
              <w:rPr>
                <w:sz w:val="14"/>
                <w:szCs w:val="16"/>
                <w:vertAlign w:val="subscript"/>
              </w:rPr>
              <w:t>2</w:t>
            </w:r>
            <w:r w:rsidRPr="00B142A8">
              <w:rPr>
                <w:sz w:val="14"/>
                <w:szCs w:val="16"/>
              </w:rPr>
              <w:t>), methane or other global warming gases into the atmosphere – this indicator is represented in CO</w:t>
            </w:r>
            <w:r w:rsidRPr="00B142A8">
              <w:rPr>
                <w:sz w:val="14"/>
                <w:szCs w:val="16"/>
                <w:vertAlign w:val="subscript"/>
              </w:rPr>
              <w:t>2</w:t>
            </w:r>
            <w:r w:rsidRPr="00B142A8">
              <w:rPr>
                <w:sz w:val="14"/>
                <w:szCs w:val="16"/>
              </w:rPr>
              <w:t xml:space="preserve"> equivalents.</w:t>
            </w:r>
          </w:p>
          <w:p w14:paraId="6ED9BF76" w14:textId="77777777" w:rsidR="006C1830" w:rsidRPr="00B142A8" w:rsidRDefault="006C1830" w:rsidP="006C1830">
            <w:pPr>
              <w:spacing w:after="0"/>
              <w:jc w:val="left"/>
              <w:rPr>
                <w:sz w:val="14"/>
                <w:szCs w:val="16"/>
              </w:rPr>
            </w:pPr>
            <w:r w:rsidRPr="00B142A8">
              <w:rPr>
                <w:sz w:val="14"/>
                <w:szCs w:val="16"/>
              </w:rPr>
              <w:t>Factors applied to convert emissions of greenhouse gas emissions into CO</w:t>
            </w:r>
            <w:r w:rsidRPr="00B142A8">
              <w:rPr>
                <w:sz w:val="14"/>
                <w:szCs w:val="16"/>
                <w:vertAlign w:val="subscript"/>
              </w:rPr>
              <w:t>2</w:t>
            </w:r>
            <w:r w:rsidRPr="00B142A8">
              <w:rPr>
                <w:sz w:val="14"/>
                <w:szCs w:val="16"/>
              </w:rPr>
              <w:t xml:space="preserve"> equivalents emissions are taken from the IPCC Fourth Assessment Report (2007). The values used are based on a 100 year time horizon.</w:t>
            </w:r>
          </w:p>
        </w:tc>
      </w:tr>
      <w:tr w:rsidR="00574363" w:rsidRPr="001F0FBA" w14:paraId="6A58075C" w14:textId="77777777" w:rsidTr="00C35896">
        <w:tc>
          <w:tcPr>
            <w:tcW w:w="1266" w:type="dxa"/>
            <w:vAlign w:val="center"/>
          </w:tcPr>
          <w:p w14:paraId="2919E462" w14:textId="77777777" w:rsidR="00574363" w:rsidRPr="00574363" w:rsidRDefault="00574363" w:rsidP="006C1830">
            <w:pPr>
              <w:spacing w:after="0"/>
              <w:jc w:val="center"/>
              <w:rPr>
                <w:sz w:val="14"/>
                <w:szCs w:val="16"/>
              </w:rPr>
            </w:pPr>
            <w:r w:rsidRPr="00574363">
              <w:rPr>
                <w:sz w:val="14"/>
                <w:szCs w:val="16"/>
              </w:rPr>
              <w:t>Photochemical oxidation</w:t>
            </w:r>
          </w:p>
        </w:tc>
        <w:tc>
          <w:tcPr>
            <w:tcW w:w="6673" w:type="dxa"/>
            <w:vAlign w:val="center"/>
          </w:tcPr>
          <w:p w14:paraId="4E67B0F2" w14:textId="77777777" w:rsidR="00574363" w:rsidRPr="008A4D0C" w:rsidRDefault="00574363" w:rsidP="00574363">
            <w:pPr>
              <w:spacing w:after="0"/>
              <w:jc w:val="left"/>
              <w:rPr>
                <w:sz w:val="14"/>
                <w:szCs w:val="16"/>
              </w:rPr>
            </w:pPr>
            <w:r w:rsidRPr="008A4D0C">
              <w:rPr>
                <w:sz w:val="14"/>
                <w:szCs w:val="16"/>
              </w:rPr>
              <w:t xml:space="preserve">Measurement of the increased potential of photochemical smog events due to the chemical reaction between sunlight and specific gases released into the atmosphere. These gases include nitrogen oxides (NOx), volatile organic compounds (VOCs), peroxyacyl nitrates (PANs), aldehydes and ozone. </w:t>
            </w:r>
          </w:p>
          <w:p w14:paraId="615B4BE8" w14:textId="7AFC1744" w:rsidR="00574363" w:rsidRPr="00284E17" w:rsidRDefault="00574363" w:rsidP="006C1830">
            <w:pPr>
              <w:spacing w:after="0"/>
              <w:jc w:val="left"/>
              <w:rPr>
                <w:sz w:val="14"/>
                <w:szCs w:val="16"/>
                <w:highlight w:val="yellow"/>
              </w:rPr>
            </w:pPr>
            <w:r w:rsidRPr="008A4D0C">
              <w:rPr>
                <w:sz w:val="14"/>
                <w:szCs w:val="16"/>
              </w:rPr>
              <w:t xml:space="preserve">This indicator is of importance in areas where photochemical smog is likely to be a problem, such as in urban transport environments. </w:t>
            </w:r>
          </w:p>
        </w:tc>
      </w:tr>
      <w:tr w:rsidR="006C1830" w:rsidRPr="001F0FBA" w14:paraId="741F6CEA" w14:textId="77777777" w:rsidTr="00C35896">
        <w:tc>
          <w:tcPr>
            <w:tcW w:w="1266" w:type="dxa"/>
            <w:vAlign w:val="center"/>
          </w:tcPr>
          <w:p w14:paraId="4E1F329B" w14:textId="77777777" w:rsidR="006C1830" w:rsidRPr="00B142A8" w:rsidRDefault="006C1830" w:rsidP="006C1830">
            <w:pPr>
              <w:spacing w:after="0"/>
              <w:jc w:val="center"/>
              <w:rPr>
                <w:sz w:val="14"/>
                <w:szCs w:val="16"/>
              </w:rPr>
            </w:pPr>
            <w:r w:rsidRPr="00B142A8">
              <w:rPr>
                <w:sz w:val="14"/>
                <w:szCs w:val="16"/>
              </w:rPr>
              <w:t>Eutrophication</w:t>
            </w:r>
          </w:p>
        </w:tc>
        <w:tc>
          <w:tcPr>
            <w:tcW w:w="6673" w:type="dxa"/>
            <w:vAlign w:val="center"/>
          </w:tcPr>
          <w:p w14:paraId="00685424" w14:textId="58D6994A" w:rsidR="006C1830" w:rsidRPr="00B142A8" w:rsidRDefault="006C1830" w:rsidP="006C1830">
            <w:pPr>
              <w:spacing w:after="0"/>
              <w:jc w:val="left"/>
              <w:rPr>
                <w:sz w:val="14"/>
                <w:szCs w:val="16"/>
              </w:rPr>
            </w:pPr>
            <w:r w:rsidRPr="00B142A8">
              <w:rPr>
                <w:sz w:val="14"/>
                <w:szCs w:val="16"/>
              </w:rPr>
              <w:t>Eutrophication is the release of nutrients (mainly phosphorous and nitrogen) into land and water systems, altering biotopes, and potentially causing oxygen depletion effects such as increased algal growth.</w:t>
            </w:r>
          </w:p>
          <w:p w14:paraId="3D70A6AB" w14:textId="77777777" w:rsidR="006C1830" w:rsidRPr="00B142A8" w:rsidRDefault="006C1830" w:rsidP="006C1830">
            <w:pPr>
              <w:spacing w:after="0"/>
              <w:jc w:val="left"/>
              <w:rPr>
                <w:sz w:val="14"/>
                <w:szCs w:val="16"/>
              </w:rPr>
            </w:pPr>
            <w:r w:rsidRPr="00B142A8">
              <w:rPr>
                <w:sz w:val="14"/>
                <w:szCs w:val="16"/>
              </w:rPr>
              <w:t>Factors applied to convert emissions into PO</w:t>
            </w:r>
            <w:r w:rsidRPr="00B142A8">
              <w:rPr>
                <w:sz w:val="14"/>
                <w:szCs w:val="16"/>
                <w:vertAlign w:val="subscript"/>
              </w:rPr>
              <w:t>4</w:t>
            </w:r>
            <w:r w:rsidRPr="00B142A8">
              <w:rPr>
                <w:sz w:val="14"/>
                <w:szCs w:val="16"/>
                <w:vertAlign w:val="superscript"/>
              </w:rPr>
              <w:t>3-</w:t>
            </w:r>
            <w:r w:rsidRPr="00B142A8">
              <w:rPr>
                <w:sz w:val="14"/>
                <w:szCs w:val="16"/>
              </w:rPr>
              <w:t xml:space="preserve"> equivalents are taken from the CML impact assessment method from 2000 (CML baseline 2000 all impact categories V2.04).</w:t>
            </w:r>
          </w:p>
        </w:tc>
      </w:tr>
      <w:tr w:rsidR="006C1830" w:rsidRPr="001F0FBA" w14:paraId="5613E78E" w14:textId="77777777" w:rsidTr="00C35896">
        <w:tc>
          <w:tcPr>
            <w:tcW w:w="1266" w:type="dxa"/>
            <w:vAlign w:val="center"/>
          </w:tcPr>
          <w:p w14:paraId="74A23E85" w14:textId="77777777" w:rsidR="006C1830" w:rsidRPr="00B142A8" w:rsidRDefault="006C1830" w:rsidP="006C1830">
            <w:pPr>
              <w:spacing w:after="0"/>
              <w:jc w:val="center"/>
              <w:rPr>
                <w:sz w:val="14"/>
                <w:szCs w:val="16"/>
              </w:rPr>
            </w:pPr>
            <w:r w:rsidRPr="00B142A8">
              <w:rPr>
                <w:sz w:val="14"/>
                <w:szCs w:val="16"/>
              </w:rPr>
              <w:t>Mineral resource depletion</w:t>
            </w:r>
          </w:p>
        </w:tc>
        <w:tc>
          <w:tcPr>
            <w:tcW w:w="6673" w:type="dxa"/>
            <w:vAlign w:val="center"/>
          </w:tcPr>
          <w:p w14:paraId="0F457BB7" w14:textId="77777777" w:rsidR="006C1830" w:rsidRPr="00B142A8" w:rsidRDefault="006C1830" w:rsidP="006C1830">
            <w:pPr>
              <w:spacing w:after="0"/>
              <w:jc w:val="left"/>
              <w:rPr>
                <w:sz w:val="14"/>
                <w:szCs w:val="16"/>
              </w:rPr>
            </w:pPr>
            <w:r w:rsidRPr="00B142A8">
              <w:rPr>
                <w:sz w:val="14"/>
                <w:szCs w:val="16"/>
              </w:rPr>
              <w:t>The additional investment required to extract minerals resources due to depletion of reserves, leaving lower quality reserves behind, which will require more effort to harvest. Factors to convert raw material inputs into $ equivalents are taken from the ReCiPe method (Version 1.07 - July 2012, © PRé Consultants, Radboud University Nijmegen, Leiden University, RIVM, www.lcia-recipe.net).</w:t>
            </w:r>
          </w:p>
        </w:tc>
      </w:tr>
      <w:tr w:rsidR="006C1830" w:rsidRPr="001F0FBA" w14:paraId="34CCF4F4" w14:textId="77777777" w:rsidTr="00C35896">
        <w:tc>
          <w:tcPr>
            <w:tcW w:w="1266" w:type="dxa"/>
            <w:vAlign w:val="center"/>
          </w:tcPr>
          <w:p w14:paraId="54A705FB" w14:textId="77777777" w:rsidR="006C1830" w:rsidRPr="00B142A8" w:rsidRDefault="006C1830" w:rsidP="006C1830">
            <w:pPr>
              <w:spacing w:after="0"/>
              <w:jc w:val="center"/>
              <w:rPr>
                <w:sz w:val="14"/>
                <w:szCs w:val="16"/>
              </w:rPr>
            </w:pPr>
            <w:r w:rsidRPr="00B142A8">
              <w:rPr>
                <w:sz w:val="14"/>
                <w:szCs w:val="16"/>
              </w:rPr>
              <w:t>Fossil fuel depletion</w:t>
            </w:r>
          </w:p>
        </w:tc>
        <w:tc>
          <w:tcPr>
            <w:tcW w:w="6673" w:type="dxa"/>
            <w:vAlign w:val="center"/>
          </w:tcPr>
          <w:p w14:paraId="269D4E65" w14:textId="77777777" w:rsidR="006C1830" w:rsidRPr="00B142A8" w:rsidRDefault="006C1830" w:rsidP="006C1830">
            <w:pPr>
              <w:spacing w:after="0"/>
              <w:jc w:val="left"/>
              <w:rPr>
                <w:sz w:val="14"/>
                <w:szCs w:val="16"/>
              </w:rPr>
            </w:pPr>
            <w:r w:rsidRPr="00B142A8">
              <w:rPr>
                <w:sz w:val="14"/>
                <w:szCs w:val="16"/>
              </w:rPr>
              <w:t>The additional investment required to extract fossil fuel resources to depletion of reserves, leaving lower quality reserves behind, which will require more effort to harvest. Factors to convert raw material inputs into $ equivalents are taken from the ReCiPe method (Version 1.07 - July 2012, © PRé Consultants, Radboud University Nijmegen, Leiden University, RIVM, www.lcia-recipe.net).</w:t>
            </w:r>
          </w:p>
        </w:tc>
      </w:tr>
      <w:tr w:rsidR="006C1830" w:rsidRPr="001F0FBA" w14:paraId="21E4419C" w14:textId="77777777" w:rsidTr="00C35896">
        <w:tc>
          <w:tcPr>
            <w:tcW w:w="7939" w:type="dxa"/>
            <w:gridSpan w:val="2"/>
            <w:shd w:val="clear" w:color="auto" w:fill="D9D9D9"/>
            <w:vAlign w:val="center"/>
          </w:tcPr>
          <w:p w14:paraId="35DE07F6" w14:textId="77777777" w:rsidR="006C1830" w:rsidRPr="00B142A8" w:rsidRDefault="006C1830" w:rsidP="006C1830">
            <w:pPr>
              <w:spacing w:after="0"/>
              <w:jc w:val="left"/>
              <w:rPr>
                <w:sz w:val="14"/>
                <w:szCs w:val="16"/>
              </w:rPr>
            </w:pPr>
            <w:r w:rsidRPr="00B142A8">
              <w:rPr>
                <w:sz w:val="14"/>
                <w:szCs w:val="16"/>
              </w:rPr>
              <w:t>Precursors to environmental impact</w:t>
            </w:r>
          </w:p>
        </w:tc>
      </w:tr>
      <w:tr w:rsidR="006C1830" w:rsidRPr="001F0FBA" w14:paraId="102014D3" w14:textId="77777777" w:rsidTr="00C35896">
        <w:tc>
          <w:tcPr>
            <w:tcW w:w="1266" w:type="dxa"/>
            <w:vAlign w:val="center"/>
          </w:tcPr>
          <w:p w14:paraId="4CB5BDF6" w14:textId="77777777" w:rsidR="006C1830" w:rsidRPr="00B142A8" w:rsidRDefault="006C1830" w:rsidP="006C1830">
            <w:pPr>
              <w:spacing w:after="0"/>
              <w:jc w:val="center"/>
              <w:rPr>
                <w:sz w:val="14"/>
                <w:szCs w:val="16"/>
              </w:rPr>
            </w:pPr>
            <w:r w:rsidRPr="00B142A8">
              <w:rPr>
                <w:sz w:val="14"/>
                <w:szCs w:val="16"/>
              </w:rPr>
              <w:t>Cumulative energy demand</w:t>
            </w:r>
          </w:p>
        </w:tc>
        <w:tc>
          <w:tcPr>
            <w:tcW w:w="6673" w:type="dxa"/>
            <w:vAlign w:val="center"/>
          </w:tcPr>
          <w:p w14:paraId="73455A5C" w14:textId="77777777" w:rsidR="006C1830" w:rsidRPr="00B142A8" w:rsidRDefault="006C1830" w:rsidP="006C1830">
            <w:pPr>
              <w:spacing w:after="0"/>
              <w:jc w:val="left"/>
              <w:rPr>
                <w:sz w:val="14"/>
                <w:szCs w:val="16"/>
              </w:rPr>
            </w:pPr>
            <w:r w:rsidRPr="00B142A8">
              <w:rPr>
                <w:sz w:val="14"/>
                <w:szCs w:val="16"/>
              </w:rPr>
              <w:t>All energy use including fossil, renewable, electrical and feedstock (energy incorporated into materials such as plastic).</w:t>
            </w:r>
          </w:p>
        </w:tc>
      </w:tr>
      <w:tr w:rsidR="006C1830" w:rsidRPr="001F0FBA" w14:paraId="66F7F987" w14:textId="77777777" w:rsidTr="00C35896">
        <w:tc>
          <w:tcPr>
            <w:tcW w:w="1266" w:type="dxa"/>
            <w:vAlign w:val="center"/>
          </w:tcPr>
          <w:p w14:paraId="39CB8E30" w14:textId="77777777" w:rsidR="006C1830" w:rsidRPr="00B142A8" w:rsidRDefault="006C1830" w:rsidP="006C1830">
            <w:pPr>
              <w:spacing w:after="0"/>
              <w:jc w:val="center"/>
              <w:rPr>
                <w:sz w:val="14"/>
                <w:szCs w:val="16"/>
              </w:rPr>
            </w:pPr>
            <w:r w:rsidRPr="00B142A8">
              <w:rPr>
                <w:sz w:val="14"/>
                <w:szCs w:val="16"/>
              </w:rPr>
              <w:t>Solid waste</w:t>
            </w:r>
          </w:p>
        </w:tc>
        <w:tc>
          <w:tcPr>
            <w:tcW w:w="6673" w:type="dxa"/>
            <w:vAlign w:val="center"/>
          </w:tcPr>
          <w:p w14:paraId="511A8F5E" w14:textId="77777777" w:rsidR="006C1830" w:rsidRPr="00B142A8" w:rsidRDefault="006C1830" w:rsidP="006C1830">
            <w:pPr>
              <w:spacing w:after="0"/>
              <w:jc w:val="left"/>
              <w:rPr>
                <w:sz w:val="14"/>
                <w:szCs w:val="16"/>
              </w:rPr>
            </w:pPr>
            <w:r w:rsidRPr="00B142A8">
              <w:rPr>
                <w:sz w:val="14"/>
                <w:szCs w:val="16"/>
              </w:rPr>
              <w:t>Net solid waste generated. Total of all solid waste generated by the processes considered.</w:t>
            </w:r>
          </w:p>
        </w:tc>
      </w:tr>
      <w:tr w:rsidR="006C1830" w:rsidRPr="001F0FBA" w14:paraId="46B4D6AD" w14:textId="77777777" w:rsidTr="00C35896">
        <w:tc>
          <w:tcPr>
            <w:tcW w:w="1266" w:type="dxa"/>
            <w:vAlign w:val="center"/>
          </w:tcPr>
          <w:p w14:paraId="522C907A" w14:textId="77777777" w:rsidR="006C1830" w:rsidRPr="00B142A8" w:rsidRDefault="006C1830" w:rsidP="006C1830">
            <w:pPr>
              <w:spacing w:after="0"/>
              <w:jc w:val="center"/>
              <w:rPr>
                <w:sz w:val="14"/>
                <w:szCs w:val="16"/>
              </w:rPr>
            </w:pPr>
            <w:r>
              <w:rPr>
                <w:sz w:val="14"/>
                <w:szCs w:val="16"/>
              </w:rPr>
              <w:t>Land use</w:t>
            </w:r>
          </w:p>
        </w:tc>
        <w:tc>
          <w:tcPr>
            <w:tcW w:w="6673" w:type="dxa"/>
            <w:vAlign w:val="center"/>
          </w:tcPr>
          <w:p w14:paraId="12AF6965" w14:textId="77777777" w:rsidR="006C1830" w:rsidRPr="00B142A8" w:rsidRDefault="006C1830" w:rsidP="006C1830">
            <w:pPr>
              <w:spacing w:after="0"/>
              <w:jc w:val="left"/>
              <w:rPr>
                <w:sz w:val="14"/>
                <w:szCs w:val="16"/>
              </w:rPr>
            </w:pPr>
            <w:r>
              <w:rPr>
                <w:sz w:val="14"/>
                <w:szCs w:val="16"/>
              </w:rPr>
              <w:t>Gross land use for unit processes under consideration. Actual environmental impact is not assessed.</w:t>
            </w:r>
          </w:p>
        </w:tc>
      </w:tr>
      <w:tr w:rsidR="006C1830" w:rsidRPr="001F0FBA" w14:paraId="3B8021DD" w14:textId="77777777" w:rsidTr="00C35896">
        <w:tc>
          <w:tcPr>
            <w:tcW w:w="1266" w:type="dxa"/>
            <w:vAlign w:val="center"/>
          </w:tcPr>
          <w:p w14:paraId="229C9300" w14:textId="77777777" w:rsidR="006C1830" w:rsidRPr="00B142A8" w:rsidRDefault="006C1830" w:rsidP="006C1830">
            <w:pPr>
              <w:spacing w:after="0"/>
              <w:jc w:val="center"/>
              <w:rPr>
                <w:sz w:val="14"/>
                <w:szCs w:val="16"/>
              </w:rPr>
            </w:pPr>
            <w:r w:rsidRPr="00B142A8">
              <w:rPr>
                <w:sz w:val="14"/>
                <w:szCs w:val="16"/>
              </w:rPr>
              <w:t>Water use</w:t>
            </w:r>
          </w:p>
        </w:tc>
        <w:tc>
          <w:tcPr>
            <w:tcW w:w="6673" w:type="dxa"/>
            <w:vAlign w:val="center"/>
          </w:tcPr>
          <w:p w14:paraId="6BC02CE8" w14:textId="77777777" w:rsidR="006C1830" w:rsidRPr="00B142A8" w:rsidRDefault="006C1830" w:rsidP="006C1830">
            <w:pPr>
              <w:spacing w:after="0"/>
              <w:jc w:val="left"/>
              <w:rPr>
                <w:sz w:val="14"/>
                <w:szCs w:val="16"/>
              </w:rPr>
            </w:pPr>
            <w:r w:rsidRPr="00B142A8">
              <w:rPr>
                <w:sz w:val="14"/>
                <w:szCs w:val="16"/>
              </w:rPr>
              <w:t>Gross water use. Total of all water used by the processes considered. The use of water in hydropower plant is excluded.</w:t>
            </w:r>
          </w:p>
        </w:tc>
      </w:tr>
    </w:tbl>
    <w:p w14:paraId="11CED93D" w14:textId="77777777" w:rsidR="006C1830" w:rsidRDefault="006C1830" w:rsidP="00233FD3">
      <w:pPr>
        <w:spacing w:after="0"/>
      </w:pPr>
    </w:p>
    <w:p w14:paraId="5E22985B" w14:textId="15FBF7B7" w:rsidR="00C35896" w:rsidRDefault="00233FD3" w:rsidP="002E1C2D">
      <w:r>
        <w:t xml:space="preserve">The inventory developed was entered into the Sima Pro modelling software and a characterisation result developed, employing the impact assessment method described above. The result represents the fundamental result of the study, showing the impacts for each impact category for the provision of one functional unit. The result reported is the net outcome described by </w:t>
      </w:r>
      <w:r>
        <w:fldChar w:fldCharType="begin"/>
      </w:r>
      <w:r>
        <w:instrText xml:space="preserve"> REF _Ref363032760 \h </w:instrText>
      </w:r>
      <w:r>
        <w:fldChar w:fldCharType="separate"/>
      </w:r>
      <w:r w:rsidR="00564E5C">
        <w:t xml:space="preserve">Figure </w:t>
      </w:r>
      <w:r w:rsidR="00564E5C">
        <w:rPr>
          <w:noProof/>
        </w:rPr>
        <w:t>1</w:t>
      </w:r>
      <w:r>
        <w:fldChar w:fldCharType="end"/>
      </w:r>
      <w:r>
        <w:t xml:space="preserve"> – the net benefit of recycling. Results that are negative reflect benefits and results that are positive indicate burdens (</w:t>
      </w:r>
      <w:r>
        <w:fldChar w:fldCharType="begin"/>
      </w:r>
      <w:r>
        <w:instrText xml:space="preserve"> REF _Ref358772457 \h </w:instrText>
      </w:r>
      <w:r>
        <w:fldChar w:fldCharType="separate"/>
      </w:r>
      <w:r w:rsidR="00564E5C">
        <w:t xml:space="preserve">Table </w:t>
      </w:r>
      <w:r w:rsidR="00564E5C">
        <w:rPr>
          <w:noProof/>
        </w:rPr>
        <w:t>3</w:t>
      </w:r>
      <w:r>
        <w:fldChar w:fldCharType="end"/>
      </w:r>
      <w:r>
        <w:t>).</w:t>
      </w:r>
    </w:p>
    <w:p w14:paraId="0D49422B" w14:textId="704E1C98" w:rsidR="002E1C2D" w:rsidRDefault="002E1C2D" w:rsidP="002E1C2D">
      <w:pPr>
        <w:pStyle w:val="Caption"/>
        <w:keepNext/>
      </w:pPr>
      <w:bookmarkStart w:id="14" w:name="_Ref358772457"/>
      <w:r>
        <w:lastRenderedPageBreak/>
        <w:t xml:space="preserve">Table </w:t>
      </w:r>
      <w:r w:rsidR="00FC7DE2">
        <w:fldChar w:fldCharType="begin"/>
      </w:r>
      <w:r w:rsidR="00FC7DE2">
        <w:instrText xml:space="preserve"> SEQ Table \* ARABIC </w:instrText>
      </w:r>
      <w:r w:rsidR="00FC7DE2">
        <w:fldChar w:fldCharType="separate"/>
      </w:r>
      <w:r w:rsidR="00564E5C">
        <w:rPr>
          <w:noProof/>
        </w:rPr>
        <w:t>3</w:t>
      </w:r>
      <w:r w:rsidR="00FC7DE2">
        <w:rPr>
          <w:noProof/>
        </w:rPr>
        <w:fldChar w:fldCharType="end"/>
      </w:r>
      <w:bookmarkEnd w:id="14"/>
      <w:r>
        <w:rPr>
          <w:lang w:val="en-AU"/>
        </w:rPr>
        <w:t xml:space="preserve"> Characterisation result for 1 functional unit (including garden and green waste).</w:t>
      </w:r>
      <w:r w:rsidR="00555F0A">
        <w:rPr>
          <w:lang w:val="en-AU"/>
        </w:rPr>
        <w:t xml:space="preserve"> Results rounded to two significant figures.</w:t>
      </w:r>
    </w:p>
    <w:p w14:paraId="0D49422C" w14:textId="08341748" w:rsidR="002E1C2D" w:rsidRDefault="000C35F5" w:rsidP="00770FB0">
      <w:pPr>
        <w:spacing w:after="0"/>
        <w:rPr>
          <w:lang w:eastAsia="x-none"/>
        </w:rPr>
      </w:pPr>
      <w:r w:rsidRPr="000C35F5">
        <w:rPr>
          <w:noProof/>
        </w:rPr>
        <w:drawing>
          <wp:inline distT="0" distB="0" distL="0" distR="0" wp14:anchorId="62EA09C9" wp14:editId="4EE17D25">
            <wp:extent cx="5731510" cy="1719453"/>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inline>
        </w:drawing>
      </w:r>
    </w:p>
    <w:p w14:paraId="0D49422D" w14:textId="77777777" w:rsidR="002E1C2D" w:rsidRPr="00770FB0" w:rsidRDefault="00770FB0" w:rsidP="00770FB0">
      <w:pPr>
        <w:spacing w:after="0"/>
        <w:rPr>
          <w:sz w:val="14"/>
        </w:rPr>
      </w:pPr>
      <w:r w:rsidRPr="00770FB0">
        <w:rPr>
          <w:sz w:val="14"/>
        </w:rPr>
        <w:t>GW-Global Warming, EU-Eutrophication, PO-Photochemical Oxidants, MD-Mineral Depletion, FFD-Fossil Fuel Depletion, LU-Land Use, WU-Water Use, SW-Solid Waste, CED-Cummulative Energy Demand.</w:t>
      </w:r>
    </w:p>
    <w:p w14:paraId="26D13736" w14:textId="77777777" w:rsidR="00233FD3" w:rsidRDefault="00233FD3" w:rsidP="000C35F5">
      <w:pPr>
        <w:spacing w:after="0"/>
        <w:rPr>
          <w:lang w:eastAsia="x-none"/>
        </w:rPr>
      </w:pPr>
    </w:p>
    <w:p w14:paraId="0D49422F" w14:textId="7BA9ABBB" w:rsidR="002E1C2D" w:rsidRDefault="002E1C2D" w:rsidP="002E1C2D">
      <w:pPr>
        <w:rPr>
          <w:lang w:eastAsia="x-none"/>
        </w:rPr>
      </w:pPr>
      <w:r>
        <w:rPr>
          <w:lang w:eastAsia="x-none"/>
        </w:rPr>
        <w:t>The study determined that the existing materials recycled by Victorians generate a net environmental benefit</w:t>
      </w:r>
      <w:r w:rsidR="003A6F2A">
        <w:rPr>
          <w:lang w:eastAsia="x-none"/>
        </w:rPr>
        <w:t xml:space="preserve"> versus the Alternative System</w:t>
      </w:r>
      <w:r>
        <w:rPr>
          <w:lang w:eastAsia="x-none"/>
        </w:rPr>
        <w:t>, as shown in</w:t>
      </w:r>
      <w:r w:rsidR="00770FB0">
        <w:rPr>
          <w:lang w:eastAsia="x-none"/>
        </w:rPr>
        <w:t xml:space="preserve"> </w:t>
      </w:r>
      <w:r w:rsidR="00770FB0">
        <w:rPr>
          <w:lang w:eastAsia="x-none"/>
        </w:rPr>
        <w:fldChar w:fldCharType="begin"/>
      </w:r>
      <w:r w:rsidR="00770FB0">
        <w:rPr>
          <w:lang w:eastAsia="x-none"/>
        </w:rPr>
        <w:instrText xml:space="preserve"> REF _Ref358772457 \h </w:instrText>
      </w:r>
      <w:r w:rsidR="00770FB0">
        <w:rPr>
          <w:lang w:eastAsia="x-none"/>
        </w:rPr>
      </w:r>
      <w:r w:rsidR="00770FB0">
        <w:rPr>
          <w:lang w:eastAsia="x-none"/>
        </w:rPr>
        <w:fldChar w:fldCharType="separate"/>
      </w:r>
      <w:r w:rsidR="00564E5C">
        <w:t xml:space="preserve">Table </w:t>
      </w:r>
      <w:r w:rsidR="00564E5C">
        <w:rPr>
          <w:noProof/>
        </w:rPr>
        <w:t>3</w:t>
      </w:r>
      <w:r w:rsidR="00770FB0">
        <w:rPr>
          <w:lang w:eastAsia="x-none"/>
        </w:rPr>
        <w:fldChar w:fldCharType="end"/>
      </w:r>
      <w:r>
        <w:rPr>
          <w:lang w:eastAsia="x-none"/>
        </w:rPr>
        <w:t>. Each indicator considered achieved a favourable outcome versus the alternative.</w:t>
      </w:r>
    </w:p>
    <w:p w14:paraId="3491B30C" w14:textId="372E2E21" w:rsidR="00AB749F" w:rsidRDefault="00AB749F" w:rsidP="002E1C2D">
      <w:pPr>
        <w:rPr>
          <w:lang w:eastAsia="x-none"/>
        </w:rPr>
      </w:pPr>
      <w:r>
        <w:rPr>
          <w:lang w:eastAsia="x-none"/>
        </w:rPr>
        <w:t>Materials collected contributed different amounts to different indicators. Global warming benefits were primarily driven by garden and green waste recycling followed by paper, aluminium an</w:t>
      </w:r>
      <w:r w:rsidR="000631F3">
        <w:rPr>
          <w:lang w:eastAsia="x-none"/>
        </w:rPr>
        <w:t>d glass recovery. Water use benefits were largely driven by garden and green waste recovery and paper recovery. Energy benefits were seen to come mostly from aluminium recovery, which is notable given aluminium represents less than 1% of materials recovered.</w:t>
      </w:r>
    </w:p>
    <w:p w14:paraId="0D494230" w14:textId="75416A89" w:rsidR="002E1C2D" w:rsidRDefault="00770FB0" w:rsidP="002E1C2D">
      <w:pPr>
        <w:rPr>
          <w:lang w:eastAsia="x-none"/>
        </w:rPr>
      </w:pPr>
      <w:r>
        <w:rPr>
          <w:lang w:eastAsia="x-none"/>
        </w:rPr>
        <w:t>In addition, e</w:t>
      </w:r>
      <w:r w:rsidR="002E1C2D">
        <w:rPr>
          <w:lang w:eastAsia="x-none"/>
        </w:rPr>
        <w:t>ach material recycling system was assessed individually, with the majority achieving beneficial outcomes in all indicators considered</w:t>
      </w:r>
      <w:r w:rsidR="002D35CF">
        <w:rPr>
          <w:lang w:eastAsia="x-none"/>
        </w:rPr>
        <w:t xml:space="preserve"> (</w:t>
      </w:r>
      <w:r w:rsidR="002D35CF">
        <w:rPr>
          <w:lang w:eastAsia="x-none"/>
        </w:rPr>
        <w:fldChar w:fldCharType="begin"/>
      </w:r>
      <w:r w:rsidR="002D35CF">
        <w:rPr>
          <w:lang w:eastAsia="x-none"/>
        </w:rPr>
        <w:instrText xml:space="preserve"> REF _Ref362526492 \h </w:instrText>
      </w:r>
      <w:r w:rsidR="002D35CF">
        <w:rPr>
          <w:lang w:eastAsia="x-none"/>
        </w:rPr>
      </w:r>
      <w:r w:rsidR="002D35CF">
        <w:rPr>
          <w:lang w:eastAsia="x-none"/>
        </w:rPr>
        <w:fldChar w:fldCharType="separate"/>
      </w:r>
      <w:r w:rsidR="00564E5C">
        <w:t xml:space="preserve">Table </w:t>
      </w:r>
      <w:r w:rsidR="00564E5C">
        <w:rPr>
          <w:noProof/>
        </w:rPr>
        <w:t>4</w:t>
      </w:r>
      <w:r w:rsidR="002D35CF">
        <w:rPr>
          <w:lang w:eastAsia="x-none"/>
        </w:rPr>
        <w:fldChar w:fldCharType="end"/>
      </w:r>
      <w:r w:rsidR="002D35CF">
        <w:rPr>
          <w:lang w:eastAsia="x-none"/>
        </w:rPr>
        <w:t>)</w:t>
      </w:r>
      <w:r w:rsidR="002E1C2D">
        <w:rPr>
          <w:lang w:eastAsia="x-none"/>
        </w:rPr>
        <w:t xml:space="preserve">. Instances where recycling did not achieve beneficial outcomes </w:t>
      </w:r>
      <w:r w:rsidR="003A6F2A">
        <w:rPr>
          <w:lang w:eastAsia="x-none"/>
        </w:rPr>
        <w:t xml:space="preserve">in all indicators </w:t>
      </w:r>
      <w:r w:rsidR="002E1C2D">
        <w:rPr>
          <w:lang w:eastAsia="x-none"/>
        </w:rPr>
        <w:t>were associate</w:t>
      </w:r>
      <w:r w:rsidR="002D35CF">
        <w:rPr>
          <w:lang w:eastAsia="x-none"/>
        </w:rPr>
        <w:t>d</w:t>
      </w:r>
      <w:r w:rsidR="002E1C2D">
        <w:rPr>
          <w:lang w:eastAsia="x-none"/>
        </w:rPr>
        <w:t xml:space="preserve"> with paper recycling where fossil fuels depletion</w:t>
      </w:r>
      <w:r w:rsidR="002D35CF">
        <w:rPr>
          <w:lang w:eastAsia="x-none"/>
        </w:rPr>
        <w:t xml:space="preserve">, </w:t>
      </w:r>
      <w:r w:rsidR="003D1F49">
        <w:rPr>
          <w:lang w:eastAsia="x-none"/>
        </w:rPr>
        <w:t>mineral</w:t>
      </w:r>
      <w:r w:rsidR="002D35CF">
        <w:rPr>
          <w:lang w:eastAsia="x-none"/>
        </w:rPr>
        <w:t xml:space="preserve"> depletion</w:t>
      </w:r>
      <w:r w:rsidR="002E1C2D">
        <w:rPr>
          <w:lang w:eastAsia="x-none"/>
        </w:rPr>
        <w:t xml:space="preserve"> and cumulative energy demand </w:t>
      </w:r>
      <w:r w:rsidR="002D35CF">
        <w:rPr>
          <w:lang w:eastAsia="x-none"/>
        </w:rPr>
        <w:t xml:space="preserve">(white paper only) </w:t>
      </w:r>
      <w:r w:rsidR="002E1C2D">
        <w:rPr>
          <w:lang w:eastAsia="x-none"/>
        </w:rPr>
        <w:t xml:space="preserve">were more intense when recycling paper versus the landfill system. This outcome is due to the </w:t>
      </w:r>
      <w:r w:rsidR="002D35CF">
        <w:rPr>
          <w:lang w:eastAsia="x-none"/>
        </w:rPr>
        <w:t>fossil fuels</w:t>
      </w:r>
      <w:r w:rsidR="002E1C2D">
        <w:rPr>
          <w:lang w:eastAsia="x-none"/>
        </w:rPr>
        <w:t xml:space="preserve"> intensity of paper recycling versus production of paper from fibre derived from forests</w:t>
      </w:r>
      <w:r w:rsidR="002D35CF">
        <w:rPr>
          <w:lang w:eastAsia="x-none"/>
        </w:rPr>
        <w:t xml:space="preserve"> (much of which is powered by biomass)</w:t>
      </w:r>
      <w:r w:rsidR="002E1C2D">
        <w:rPr>
          <w:lang w:eastAsia="x-none"/>
        </w:rPr>
        <w:t xml:space="preserve">. Garden and green waste recycling had an adverse outcome in fossil fuels depletion as well due </w:t>
      </w:r>
      <w:r w:rsidR="002D35CF">
        <w:rPr>
          <w:lang w:eastAsia="x-none"/>
        </w:rPr>
        <w:t xml:space="preserve">largely </w:t>
      </w:r>
      <w:r w:rsidR="002E1C2D">
        <w:rPr>
          <w:lang w:eastAsia="x-none"/>
        </w:rPr>
        <w:t xml:space="preserve">to the </w:t>
      </w:r>
      <w:r w:rsidR="002E1C2D" w:rsidRPr="00DD3FA9">
        <w:rPr>
          <w:lang w:eastAsia="x-none"/>
        </w:rPr>
        <w:t>avoidance of energy generated from landfill</w:t>
      </w:r>
      <w:r w:rsidR="002D35CF">
        <w:rPr>
          <w:lang w:eastAsia="x-none"/>
        </w:rPr>
        <w:t xml:space="preserve"> (from landfill gas combustion)</w:t>
      </w:r>
      <w:r w:rsidR="002E1C2D" w:rsidRPr="00DD3FA9">
        <w:rPr>
          <w:lang w:eastAsia="x-none"/>
        </w:rPr>
        <w:t>. Plastics r</w:t>
      </w:r>
      <w:r w:rsidR="002D35CF">
        <w:rPr>
          <w:lang w:eastAsia="x-none"/>
        </w:rPr>
        <w:t>ecycling was also seen to have</w:t>
      </w:r>
      <w:r w:rsidR="002E1C2D" w:rsidRPr="00DD3FA9">
        <w:rPr>
          <w:lang w:eastAsia="x-none"/>
        </w:rPr>
        <w:t xml:space="preserve"> slightly adverse outcome</w:t>
      </w:r>
      <w:r w:rsidR="002D35CF">
        <w:rPr>
          <w:lang w:eastAsia="x-none"/>
        </w:rPr>
        <w:t>s</w:t>
      </w:r>
      <w:r w:rsidR="002E1C2D" w:rsidRPr="00DD3FA9">
        <w:rPr>
          <w:lang w:eastAsia="x-none"/>
        </w:rPr>
        <w:t xml:space="preserve"> in the eutrophication</w:t>
      </w:r>
      <w:r w:rsidR="002D35CF">
        <w:rPr>
          <w:lang w:eastAsia="x-none"/>
        </w:rPr>
        <w:t>, minerals depletion and land use</w:t>
      </w:r>
      <w:r w:rsidR="002E1C2D" w:rsidRPr="00DD3FA9">
        <w:rPr>
          <w:lang w:eastAsia="x-none"/>
        </w:rPr>
        <w:t xml:space="preserve"> indicator</w:t>
      </w:r>
      <w:r w:rsidR="002D35CF">
        <w:rPr>
          <w:lang w:eastAsia="x-none"/>
        </w:rPr>
        <w:t>s</w:t>
      </w:r>
      <w:r w:rsidR="002E1C2D" w:rsidRPr="00DD3FA9">
        <w:rPr>
          <w:lang w:eastAsia="x-none"/>
        </w:rPr>
        <w:t>.</w:t>
      </w:r>
    </w:p>
    <w:p w14:paraId="5364DE55" w14:textId="205D7048" w:rsidR="002D35CF" w:rsidRDefault="002D35CF" w:rsidP="002D35CF">
      <w:pPr>
        <w:pStyle w:val="Caption"/>
        <w:keepNext/>
      </w:pPr>
      <w:bookmarkStart w:id="15" w:name="_Ref362526492"/>
      <w:r>
        <w:t xml:space="preserve">Table </w:t>
      </w:r>
      <w:r w:rsidR="00FC7DE2">
        <w:fldChar w:fldCharType="begin"/>
      </w:r>
      <w:r w:rsidR="00FC7DE2">
        <w:instrText xml:space="preserve"> SEQ Table \* ARABIC </w:instrText>
      </w:r>
      <w:r w:rsidR="00FC7DE2">
        <w:fldChar w:fldCharType="separate"/>
      </w:r>
      <w:r w:rsidR="00564E5C">
        <w:rPr>
          <w:noProof/>
        </w:rPr>
        <w:t>4</w:t>
      </w:r>
      <w:r w:rsidR="00FC7DE2">
        <w:rPr>
          <w:noProof/>
        </w:rPr>
        <w:fldChar w:fldCharType="end"/>
      </w:r>
      <w:bookmarkEnd w:id="15"/>
      <w:r>
        <w:rPr>
          <w:lang w:val="en-AU"/>
        </w:rPr>
        <w:t xml:space="preserve"> Characterisation for 1 </w:t>
      </w:r>
      <w:r w:rsidR="00E82F90">
        <w:rPr>
          <w:lang w:val="en-AU"/>
        </w:rPr>
        <w:t>t</w:t>
      </w:r>
      <w:r>
        <w:rPr>
          <w:lang w:val="en-AU"/>
        </w:rPr>
        <w:t xml:space="preserve"> of each material collected (rounded to 2 significant figures).</w:t>
      </w:r>
    </w:p>
    <w:p w14:paraId="18200014" w14:textId="0953BBAD" w:rsidR="002D35CF" w:rsidRPr="00DD3FA9" w:rsidRDefault="000C35F5" w:rsidP="002E1C2D">
      <w:pPr>
        <w:rPr>
          <w:lang w:eastAsia="x-none"/>
        </w:rPr>
      </w:pPr>
      <w:r w:rsidRPr="000C35F5">
        <w:rPr>
          <w:noProof/>
        </w:rPr>
        <w:drawing>
          <wp:inline distT="0" distB="0" distL="0" distR="0" wp14:anchorId="35A6E436" wp14:editId="7FDDB3F1">
            <wp:extent cx="5731510" cy="1414671"/>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14671"/>
                    </a:xfrm>
                    <a:prstGeom prst="rect">
                      <a:avLst/>
                    </a:prstGeom>
                    <a:noFill/>
                    <a:ln>
                      <a:noFill/>
                    </a:ln>
                  </pic:spPr>
                </pic:pic>
              </a:graphicData>
            </a:graphic>
          </wp:inline>
        </w:drawing>
      </w:r>
    </w:p>
    <w:p w14:paraId="2EF754AA" w14:textId="0D607C7E" w:rsidR="00233FD3" w:rsidRDefault="002E1C2D" w:rsidP="006E53B5">
      <w:pPr>
        <w:rPr>
          <w:lang w:eastAsia="x-none"/>
        </w:rPr>
      </w:pPr>
      <w:r w:rsidRPr="00DD3FA9">
        <w:rPr>
          <w:lang w:eastAsia="x-none"/>
        </w:rPr>
        <w:t xml:space="preserve">Finally, a consequential </w:t>
      </w:r>
      <w:r w:rsidR="00E85758">
        <w:rPr>
          <w:lang w:eastAsia="x-none"/>
        </w:rPr>
        <w:t xml:space="preserve">analysis </w:t>
      </w:r>
      <w:r w:rsidR="00233FD3">
        <w:rPr>
          <w:lang w:eastAsia="x-none"/>
        </w:rPr>
        <w:t>was undertaken. Under the base analysis it is assumed that all impacts caused by the system can be attributed to unit p</w:t>
      </w:r>
      <w:r w:rsidR="007224D1">
        <w:rPr>
          <w:lang w:eastAsia="x-none"/>
        </w:rPr>
        <w:t>rocesses within the system. Th</w:t>
      </w:r>
      <w:r w:rsidR="00233FD3">
        <w:rPr>
          <w:lang w:eastAsia="x-none"/>
        </w:rPr>
        <w:t xml:space="preserve">is approach assumes that the system is in ‘steady state’ and has achieved equilibrium. The approach </w:t>
      </w:r>
      <w:r w:rsidR="007224D1">
        <w:rPr>
          <w:lang w:eastAsia="x-none"/>
        </w:rPr>
        <w:t>is useful in undertaking quantification of a system ‘as is’ but can be problematic if the objective of the research is to understand how a system will respond to change. A common question with recycling is ‘what will happen if we do more recycling’. This question is not adequately addressed by an attributional model, because such a model does not consider the dynamic behaviour of the system if disturbed. For this reason, the attributional study was complemented by a consequential analysis that seeks to predict what might actually happen if recycling rates were to increase. The analysis utilised economic data to assess possible supply bottlenecks that could erode benefits achievable from increased recycling.</w:t>
      </w:r>
    </w:p>
    <w:p w14:paraId="7A364940" w14:textId="1F4C49E3" w:rsidR="006E53B5" w:rsidRDefault="007224D1" w:rsidP="006E53B5">
      <w:pPr>
        <w:rPr>
          <w:lang w:eastAsia="x-none"/>
        </w:rPr>
      </w:pPr>
      <w:r>
        <w:rPr>
          <w:lang w:eastAsia="x-none"/>
        </w:rPr>
        <w:lastRenderedPageBreak/>
        <w:t>Overall</w:t>
      </w:r>
      <w:r w:rsidR="006E53B5">
        <w:rPr>
          <w:lang w:eastAsia="x-none"/>
        </w:rPr>
        <w:t xml:space="preserve"> </w:t>
      </w:r>
      <w:r>
        <w:rPr>
          <w:lang w:eastAsia="x-none"/>
        </w:rPr>
        <w:t>the consequential analysis concluded that</w:t>
      </w:r>
      <w:r w:rsidR="006E53B5">
        <w:rPr>
          <w:lang w:eastAsia="x-none"/>
        </w:rPr>
        <w:t xml:space="preserve"> in the short-term future, recycling of material from the kerbside will continue to displace virgin material production. The displacement of virgin production is sensitive to the demand for end-products</w:t>
      </w:r>
      <w:r w:rsidR="003A6F2A">
        <w:rPr>
          <w:lang w:eastAsia="x-none"/>
        </w:rPr>
        <w:t>, as well as the economic</w:t>
      </w:r>
      <w:r w:rsidR="006E53B5">
        <w:rPr>
          <w:lang w:eastAsia="x-none"/>
        </w:rPr>
        <w:t xml:space="preserve"> viability of producing recyclate. The forecast for the local demand of these end-products is uncertain, particularly for glass packaging and aluminium cans. Although large global markets exist for aluminium recyclate, recovered glass cullet is not considered a viable product for export. The recycling benefits of glass are therefore dependent upon local production capacity.</w:t>
      </w:r>
    </w:p>
    <w:p w14:paraId="0FA52286" w14:textId="61A07E97" w:rsidR="006E53B5" w:rsidRDefault="006E53B5" w:rsidP="006E53B5">
      <w:pPr>
        <w:rPr>
          <w:lang w:eastAsia="x-none"/>
        </w:rPr>
      </w:pPr>
      <w:r>
        <w:rPr>
          <w:lang w:eastAsia="x-none"/>
        </w:rPr>
        <w:t xml:space="preserve">The review also found that China’s “Green Fence” policy could force additional infrastructure and processing costs </w:t>
      </w:r>
      <w:r w:rsidR="00BA491C">
        <w:rPr>
          <w:lang w:eastAsia="x-none"/>
        </w:rPr>
        <w:t>upon</w:t>
      </w:r>
      <w:r>
        <w:rPr>
          <w:lang w:eastAsia="x-none"/>
        </w:rPr>
        <w:t xml:space="preserve"> local M</w:t>
      </w:r>
      <w:r w:rsidR="00223714">
        <w:rPr>
          <w:lang w:eastAsia="x-none"/>
        </w:rPr>
        <w:t xml:space="preserve">aterial Recovery </w:t>
      </w:r>
      <w:r>
        <w:rPr>
          <w:lang w:eastAsia="x-none"/>
        </w:rPr>
        <w:t>F</w:t>
      </w:r>
      <w:r w:rsidR="00223714">
        <w:rPr>
          <w:lang w:eastAsia="x-none"/>
        </w:rPr>
        <w:t>acilitie</w:t>
      </w:r>
      <w:r>
        <w:rPr>
          <w:lang w:eastAsia="x-none"/>
        </w:rPr>
        <w:t>s</w:t>
      </w:r>
      <w:r w:rsidR="00223714">
        <w:rPr>
          <w:lang w:eastAsia="x-none"/>
        </w:rPr>
        <w:t xml:space="preserve"> (MRFs)</w:t>
      </w:r>
      <w:r>
        <w:rPr>
          <w:lang w:eastAsia="x-none"/>
        </w:rPr>
        <w:t xml:space="preserve">, meaning that in the future, the </w:t>
      </w:r>
      <w:r w:rsidR="00BA491C">
        <w:rPr>
          <w:lang w:eastAsia="x-none"/>
        </w:rPr>
        <w:t>generation</w:t>
      </w:r>
      <w:r>
        <w:rPr>
          <w:lang w:eastAsia="x-none"/>
        </w:rPr>
        <w:t xml:space="preserve"> of clear </w:t>
      </w:r>
      <w:r w:rsidR="00F514E5">
        <w:rPr>
          <w:lang w:eastAsia="x-none"/>
        </w:rPr>
        <w:t>p</w:t>
      </w:r>
      <w:r w:rsidR="00223714" w:rsidRPr="00C365DE">
        <w:rPr>
          <w:lang w:eastAsia="x-none"/>
        </w:rPr>
        <w:t>olyethylene terephthalate (PET)</w:t>
      </w:r>
      <w:r>
        <w:rPr>
          <w:lang w:eastAsia="x-none"/>
        </w:rPr>
        <w:t xml:space="preserve">, clear </w:t>
      </w:r>
      <w:r w:rsidR="00F514E5">
        <w:rPr>
          <w:lang w:eastAsia="x-none"/>
        </w:rPr>
        <w:t>h</w:t>
      </w:r>
      <w:r w:rsidR="00F514E5" w:rsidRPr="00C365DE">
        <w:rPr>
          <w:lang w:eastAsia="x-none"/>
        </w:rPr>
        <w:t>igh density polyethylene (HDPE)</w:t>
      </w:r>
      <w:r>
        <w:rPr>
          <w:lang w:eastAsia="x-none"/>
        </w:rPr>
        <w:t xml:space="preserve">, mixed plastics and mixed paper and cardboard recyclate streams for export could become uneconomical. If this occurs, then these streams could be considered waste, meaning that environmental benefits associated with virgin production and landfill avoidance may not apply. </w:t>
      </w:r>
    </w:p>
    <w:p w14:paraId="534C2F30" w14:textId="6360BF69" w:rsidR="006E53B5" w:rsidRDefault="006E53B5" w:rsidP="006E53B5">
      <w:pPr>
        <w:rPr>
          <w:lang w:eastAsia="x-none"/>
        </w:rPr>
      </w:pPr>
      <w:r>
        <w:rPr>
          <w:lang w:eastAsia="x-none"/>
        </w:rPr>
        <w:t>In the short term, however, the consequential analysis concluded that the recovery of all the materials assessed would most likely lead to the displacement of material production from virgin resources.</w:t>
      </w:r>
    </w:p>
    <w:p w14:paraId="0D494234" w14:textId="77777777" w:rsidR="002E1C2D" w:rsidRDefault="002E1C2D" w:rsidP="002E1C2D">
      <w:pPr>
        <w:rPr>
          <w:lang w:eastAsia="x-none"/>
        </w:rPr>
      </w:pPr>
      <w:r w:rsidRPr="00DD3FA9">
        <w:rPr>
          <w:lang w:eastAsia="x-none"/>
        </w:rPr>
        <w:t>Overall, the study verified that recycling in Victoria generates a net environmental benefit for the state, in terms of the indicators considered. It also developed a platform upon which future studies of recycling can refer to quantify key environmental outcomes.</w:t>
      </w:r>
    </w:p>
    <w:p w14:paraId="0D494237" w14:textId="77777777" w:rsidR="007C18C2" w:rsidRPr="00041296" w:rsidRDefault="007C18C2" w:rsidP="00D5076F">
      <w:pPr>
        <w:pStyle w:val="Heading1"/>
      </w:pPr>
      <w:bookmarkStart w:id="16" w:name="_Toc433964518"/>
      <w:r w:rsidRPr="00041296">
        <w:lastRenderedPageBreak/>
        <w:t>Introduction</w:t>
      </w:r>
      <w:bookmarkEnd w:id="7"/>
      <w:bookmarkEnd w:id="8"/>
      <w:bookmarkEnd w:id="16"/>
    </w:p>
    <w:p w14:paraId="0D494238" w14:textId="48686702" w:rsidR="003C3620" w:rsidRDefault="00350018" w:rsidP="00AF5A5C">
      <w:r>
        <w:t>This report has been</w:t>
      </w:r>
      <w:r w:rsidR="003C3620">
        <w:t xml:space="preserve"> commissioned by Sustainability Victoria (SV) </w:t>
      </w:r>
      <w:r>
        <w:t xml:space="preserve">in order </w:t>
      </w:r>
      <w:r w:rsidR="003C3620">
        <w:t xml:space="preserve">to assess the life cycle impacts of </w:t>
      </w:r>
      <w:r>
        <w:t xml:space="preserve">kerbside </w:t>
      </w:r>
      <w:r w:rsidR="003C3620">
        <w:t xml:space="preserve">recycling in Victoria using the Life Cycle Assessment (LCA) </w:t>
      </w:r>
      <w:r w:rsidR="006D454C">
        <w:t>methodology</w:t>
      </w:r>
      <w:r w:rsidR="003C3620">
        <w:t xml:space="preserve">. SV </w:t>
      </w:r>
      <w:r w:rsidR="004039D8">
        <w:t xml:space="preserve">undertakes annual surveys of waste management across local governments in Victoria. As part of these reports, data from RMIT University’s Centre for Design’s (CfD) 2001 study (Life Cycle Assessment for Paper and Packaging Waste Management in Victoria) </w:t>
      </w:r>
      <w:r>
        <w:t>has been</w:t>
      </w:r>
      <w:r w:rsidR="004039D8">
        <w:t xml:space="preserve"> used to report on the environmental benefits of recycling. T</w:t>
      </w:r>
      <w:r>
        <w:t>he management of waste across the state</w:t>
      </w:r>
      <w:r w:rsidR="004039D8" w:rsidRPr="00EF0F60">
        <w:t xml:space="preserve"> has changed substantially since 2001.</w:t>
      </w:r>
      <w:r w:rsidR="004039D8">
        <w:t xml:space="preserve"> </w:t>
      </w:r>
      <w:r w:rsidR="003D1F49">
        <w:t xml:space="preserve">For instance recyclables are </w:t>
      </w:r>
      <w:r>
        <w:t xml:space="preserve">now generally collected in comingled form, whereas they were </w:t>
      </w:r>
      <w:r w:rsidR="003D1F49">
        <w:t xml:space="preserve">mainly </w:t>
      </w:r>
      <w:r>
        <w:t xml:space="preserve">collected in separate streams in 2001, and reprocessing used to be largely undertaken locally in Victoria, whereas now a considerable fraction of reprocessing is undertaken internationally. </w:t>
      </w:r>
      <w:r w:rsidR="004039D8">
        <w:t xml:space="preserve">As such, a new life cycle assessment (LCA) </w:t>
      </w:r>
      <w:r>
        <w:t>was identified as necessary</w:t>
      </w:r>
      <w:r w:rsidR="004039D8">
        <w:t xml:space="preserve"> </w:t>
      </w:r>
      <w:r w:rsidR="003D1F49">
        <w:t xml:space="preserve">in order </w:t>
      </w:r>
      <w:r w:rsidR="004039D8">
        <w:t xml:space="preserve">to better reflect current environmental impacts and benefits of kerbside recycling in Victoria. </w:t>
      </w:r>
    </w:p>
    <w:p w14:paraId="0D494239" w14:textId="77777777" w:rsidR="003C3620" w:rsidRDefault="003C3620" w:rsidP="00AF5A5C">
      <w:r>
        <w:t xml:space="preserve">In addition to quantifying the impacts of the recycling system, </w:t>
      </w:r>
      <w:r w:rsidR="00350018">
        <w:t>the study seeks</w:t>
      </w:r>
      <w:r>
        <w:t xml:space="preserve"> to: </w:t>
      </w:r>
    </w:p>
    <w:p w14:paraId="0D49423A" w14:textId="77777777" w:rsidR="004039D8" w:rsidRDefault="004039D8" w:rsidP="00B84C97">
      <w:pPr>
        <w:pStyle w:val="ListParagraph"/>
        <w:numPr>
          <w:ilvl w:val="0"/>
          <w:numId w:val="25"/>
        </w:numPr>
      </w:pPr>
      <w:r>
        <w:t>Identify processing impacts and constraints (bottle-necks or barriers) within the recycling supply chains;</w:t>
      </w:r>
    </w:p>
    <w:p w14:paraId="0D49423B" w14:textId="77777777" w:rsidR="003C3620" w:rsidRDefault="004039D8" w:rsidP="00B84C97">
      <w:pPr>
        <w:pStyle w:val="ListParagraph"/>
        <w:numPr>
          <w:ilvl w:val="0"/>
          <w:numId w:val="25"/>
        </w:numPr>
      </w:pPr>
      <w:r>
        <w:t>Identify the environmental impacts of transport;</w:t>
      </w:r>
    </w:p>
    <w:p w14:paraId="0D49423C" w14:textId="77777777" w:rsidR="004039D8" w:rsidRDefault="004039D8" w:rsidP="00B84C97">
      <w:pPr>
        <w:pStyle w:val="ListParagraph"/>
        <w:numPr>
          <w:ilvl w:val="0"/>
          <w:numId w:val="25"/>
        </w:numPr>
      </w:pPr>
      <w:r>
        <w:t>Better-inform the establishment of waste metrics</w:t>
      </w:r>
    </w:p>
    <w:p w14:paraId="0D49423D" w14:textId="77777777" w:rsidR="00AF5A5C" w:rsidRDefault="00AF5A5C" w:rsidP="00AF5A5C">
      <w:r>
        <w:t>Although not a specific aim of this project, it is anticipated that the study may be used to inform potential waste policy in the future.</w:t>
      </w:r>
    </w:p>
    <w:p w14:paraId="0EDC61ED" w14:textId="629F0B74" w:rsidR="00C02CE6" w:rsidRDefault="00C02CE6" w:rsidP="00C02CE6">
      <w:pPr>
        <w:pStyle w:val="Heading2"/>
        <w:rPr>
          <w:lang w:val="en-AU"/>
        </w:rPr>
      </w:pPr>
      <w:bookmarkStart w:id="17" w:name="_Ref362989031"/>
      <w:bookmarkStart w:id="18" w:name="_Toc433964519"/>
      <w:r>
        <w:rPr>
          <w:lang w:val="en-AU"/>
        </w:rPr>
        <w:t>Acknowledgements</w:t>
      </w:r>
      <w:bookmarkEnd w:id="17"/>
      <w:bookmarkEnd w:id="18"/>
    </w:p>
    <w:p w14:paraId="10E6EAFE" w14:textId="2754FD34" w:rsidR="003D1F49" w:rsidRDefault="003D1F49" w:rsidP="006538DB">
      <w:pPr>
        <w:spacing w:after="0"/>
      </w:pPr>
      <w:r>
        <w:t>The authors would particularly like to thank the Stakeholder Review Panel (SRP) that provided their time to collectively review and discuss the reports as they were developed. The feedback provided by the panel has been invaluable. The SRP included:</w:t>
      </w:r>
    </w:p>
    <w:p w14:paraId="113E1A21" w14:textId="77777777" w:rsidR="0011689D" w:rsidRDefault="0011689D" w:rsidP="0011689D">
      <w:pPr>
        <w:spacing w:after="0"/>
      </w:pPr>
    </w:p>
    <w:p w14:paraId="1B5B79CA" w14:textId="77777777" w:rsidR="0011689D" w:rsidRDefault="0011689D" w:rsidP="0011689D">
      <w:pPr>
        <w:spacing w:after="0"/>
      </w:pPr>
      <w:r>
        <w:t>Alwyn Babb (Hume City Council)</w:t>
      </w:r>
    </w:p>
    <w:p w14:paraId="1F5C09F5" w14:textId="77777777" w:rsidR="0011689D" w:rsidRDefault="0011689D" w:rsidP="0011689D">
      <w:pPr>
        <w:spacing w:after="0"/>
      </w:pPr>
      <w:r>
        <w:t>Dom Tenace (SKM)</w:t>
      </w:r>
    </w:p>
    <w:p w14:paraId="28F6D219" w14:textId="77777777" w:rsidR="0011689D" w:rsidRDefault="0011689D" w:rsidP="0011689D">
      <w:pPr>
        <w:spacing w:after="0"/>
      </w:pPr>
      <w:r>
        <w:t>Joe Pickin (Blue Environment)</w:t>
      </w:r>
    </w:p>
    <w:p w14:paraId="1FE6D79C" w14:textId="77777777" w:rsidR="0011689D" w:rsidRDefault="0011689D" w:rsidP="00915327">
      <w:pPr>
        <w:spacing w:after="0"/>
      </w:pPr>
      <w:r>
        <w:t>Kel Dummett (Sustainability Victoria)</w:t>
      </w:r>
    </w:p>
    <w:p w14:paraId="75EA3CEE" w14:textId="77777777" w:rsidR="0011689D" w:rsidRDefault="0011689D" w:rsidP="00915327">
      <w:pPr>
        <w:spacing w:after="0"/>
      </w:pPr>
      <w:r>
        <w:t>Marcus Fogarty (Sustainability Victoria)</w:t>
      </w:r>
    </w:p>
    <w:p w14:paraId="36307EAE" w14:textId="77777777" w:rsidR="0011689D" w:rsidRDefault="0011689D" w:rsidP="003D1F49">
      <w:pPr>
        <w:spacing w:after="0"/>
      </w:pPr>
      <w:r>
        <w:t>Michael Wood (Enviromix)</w:t>
      </w:r>
    </w:p>
    <w:p w14:paraId="7D78BB97" w14:textId="77777777" w:rsidR="0011689D" w:rsidRDefault="0011689D" w:rsidP="003D1F49">
      <w:pPr>
        <w:spacing w:after="0"/>
      </w:pPr>
      <w:r>
        <w:t>Miro Krmpotic (Huhtamaki Group)</w:t>
      </w:r>
    </w:p>
    <w:p w14:paraId="1BC17CA7" w14:textId="77777777" w:rsidR="0011689D" w:rsidRDefault="0011689D" w:rsidP="003D1F49">
      <w:pPr>
        <w:spacing w:after="0"/>
      </w:pPr>
      <w:r>
        <w:t>Nancy Wei (Visy)</w:t>
      </w:r>
    </w:p>
    <w:p w14:paraId="68D7E29D" w14:textId="77777777" w:rsidR="0011689D" w:rsidRDefault="0011689D" w:rsidP="00915327">
      <w:pPr>
        <w:spacing w:after="0"/>
      </w:pPr>
      <w:r>
        <w:t>Nick Chrisant (Sustainability Victoria)</w:t>
      </w:r>
    </w:p>
    <w:p w14:paraId="3D1D99F8" w14:textId="77777777" w:rsidR="0011689D" w:rsidRDefault="0011689D" w:rsidP="003D1F49">
      <w:pPr>
        <w:spacing w:after="0"/>
      </w:pPr>
      <w:r>
        <w:t>Robert Francis (SITA Australia)</w:t>
      </w:r>
    </w:p>
    <w:p w14:paraId="36DBFAE4" w14:textId="77777777" w:rsidR="00915327" w:rsidRDefault="00915327" w:rsidP="00915327">
      <w:pPr>
        <w:spacing w:after="0"/>
      </w:pPr>
    </w:p>
    <w:p w14:paraId="3034DC70" w14:textId="68C4E936" w:rsidR="00915327" w:rsidRDefault="00915327" w:rsidP="00915327">
      <w:pPr>
        <w:spacing w:after="0"/>
      </w:pPr>
      <w:r>
        <w:t>In addition to the SRP, we would also like to thank the following people who spent time and effort explaining industry systems, providing data and discussing future directions. Your help was critical to ensuring that models developed accurately reflected the situation in Victoria.</w:t>
      </w:r>
    </w:p>
    <w:p w14:paraId="3192D367" w14:textId="77777777" w:rsidR="00915327" w:rsidRDefault="00915327" w:rsidP="00915327">
      <w:pPr>
        <w:spacing w:after="0"/>
      </w:pPr>
    </w:p>
    <w:p w14:paraId="662828AE" w14:textId="77777777" w:rsidR="0011689D" w:rsidRDefault="0011689D" w:rsidP="00D22397">
      <w:pPr>
        <w:spacing w:after="0"/>
      </w:pPr>
      <w:r w:rsidRPr="00D22397">
        <w:t>Bernie Maddern</w:t>
      </w:r>
      <w:r>
        <w:t xml:space="preserve"> (West Wimmera Shire)</w:t>
      </w:r>
    </w:p>
    <w:p w14:paraId="66C4EE35" w14:textId="1EDD8C8B" w:rsidR="00D922C2" w:rsidRDefault="00D922C2" w:rsidP="00D22397">
      <w:pPr>
        <w:spacing w:after="0"/>
      </w:pPr>
      <w:r>
        <w:t>Neville Bond (Dasma Group)</w:t>
      </w:r>
    </w:p>
    <w:p w14:paraId="2DAD7A99" w14:textId="77777777" w:rsidR="0011689D" w:rsidRDefault="0011689D" w:rsidP="00D22397">
      <w:pPr>
        <w:spacing w:after="0"/>
      </w:pPr>
      <w:r>
        <w:t>Craig Hudson (</w:t>
      </w:r>
      <w:r w:rsidRPr="0011689D">
        <w:t>CR Hudson and Associates</w:t>
      </w:r>
      <w:r>
        <w:t>)</w:t>
      </w:r>
    </w:p>
    <w:p w14:paraId="7344FBD2" w14:textId="77777777" w:rsidR="0011689D" w:rsidRDefault="0011689D" w:rsidP="00915327">
      <w:pPr>
        <w:spacing w:after="0"/>
      </w:pPr>
      <w:r w:rsidRPr="00915327">
        <w:t>Enzo Valente</w:t>
      </w:r>
      <w:r>
        <w:t xml:space="preserve"> (City of Yarra)</w:t>
      </w:r>
    </w:p>
    <w:p w14:paraId="387DA8FE" w14:textId="77777777" w:rsidR="0011689D" w:rsidRDefault="0011689D" w:rsidP="00D22397">
      <w:pPr>
        <w:spacing w:after="0"/>
      </w:pPr>
      <w:r>
        <w:t>Gary Combes (Owens Illinois)</w:t>
      </w:r>
    </w:p>
    <w:p w14:paraId="47C8DBEF" w14:textId="77777777" w:rsidR="0011689D" w:rsidRDefault="0011689D" w:rsidP="00D22397">
      <w:pPr>
        <w:spacing w:after="0"/>
      </w:pPr>
      <w:r w:rsidRPr="00D22397">
        <w:t>John Williams</w:t>
      </w:r>
      <w:r>
        <w:t xml:space="preserve"> (Hume City Council)</w:t>
      </w:r>
    </w:p>
    <w:p w14:paraId="7FAA3A7C" w14:textId="77777777" w:rsidR="0011689D" w:rsidRDefault="0011689D" w:rsidP="00D22397">
      <w:pPr>
        <w:spacing w:after="0"/>
      </w:pPr>
      <w:r w:rsidRPr="00D22397">
        <w:t>Joshua Russell</w:t>
      </w:r>
      <w:r>
        <w:t xml:space="preserve"> (Murrindindi Shire)</w:t>
      </w:r>
    </w:p>
    <w:p w14:paraId="40929F02" w14:textId="77777777" w:rsidR="0011689D" w:rsidRDefault="0011689D" w:rsidP="00D22397">
      <w:pPr>
        <w:spacing w:after="0"/>
      </w:pPr>
      <w:r w:rsidRPr="0011689D">
        <w:t>Lillias Bovell</w:t>
      </w:r>
      <w:r>
        <w:t xml:space="preserve"> (Publishers National Environment Bureau)</w:t>
      </w:r>
    </w:p>
    <w:p w14:paraId="53EAE239" w14:textId="77777777" w:rsidR="0011689D" w:rsidRDefault="0011689D" w:rsidP="00915327">
      <w:pPr>
        <w:spacing w:after="0"/>
      </w:pPr>
      <w:r w:rsidRPr="00915327">
        <w:t>Peter Whittle</w:t>
      </w:r>
      <w:r>
        <w:t xml:space="preserve"> (City of Yarra)</w:t>
      </w:r>
    </w:p>
    <w:p w14:paraId="74F57E05" w14:textId="77777777" w:rsidR="0011689D" w:rsidRDefault="0011689D" w:rsidP="00D22397">
      <w:pPr>
        <w:spacing w:after="0"/>
      </w:pPr>
      <w:r>
        <w:t>Robyn Evans (West Wimmera Shire)</w:t>
      </w:r>
    </w:p>
    <w:p w14:paraId="08F07371" w14:textId="77777777" w:rsidR="0011689D" w:rsidRDefault="0011689D" w:rsidP="00D22397">
      <w:pPr>
        <w:spacing w:after="0"/>
      </w:pPr>
      <w:r>
        <w:t>Sally Stewart (Glen Eira City Council)</w:t>
      </w:r>
    </w:p>
    <w:p w14:paraId="0B895FA4" w14:textId="77777777" w:rsidR="0011689D" w:rsidRDefault="0011689D" w:rsidP="00D22397">
      <w:pPr>
        <w:spacing w:after="0"/>
      </w:pPr>
      <w:r>
        <w:t>Sam DiG</w:t>
      </w:r>
      <w:r w:rsidRPr="00D22397">
        <w:t>iovanni</w:t>
      </w:r>
      <w:r>
        <w:t xml:space="preserve"> (</w:t>
      </w:r>
      <w:r w:rsidRPr="00D22397">
        <w:t>Boroondara City Council</w:t>
      </w:r>
      <w:r>
        <w:t>)</w:t>
      </w:r>
    </w:p>
    <w:p w14:paraId="3026C2CA" w14:textId="77777777" w:rsidR="0011689D" w:rsidRDefault="0011689D" w:rsidP="00D22397">
      <w:pPr>
        <w:spacing w:after="0"/>
      </w:pPr>
      <w:r>
        <w:t>Steve Balmforth (N</w:t>
      </w:r>
      <w:r w:rsidRPr="0011689D">
        <w:t>orske</w:t>
      </w:r>
      <w:r>
        <w:t xml:space="preserve"> Skog)</w:t>
      </w:r>
    </w:p>
    <w:p w14:paraId="5A0B794D" w14:textId="77777777" w:rsidR="0011689D" w:rsidRDefault="0011689D" w:rsidP="00D22397">
      <w:pPr>
        <w:spacing w:after="0"/>
      </w:pPr>
    </w:p>
    <w:p w14:paraId="5DC7FDC3" w14:textId="77777777" w:rsidR="003D1F49" w:rsidRDefault="003D1F49" w:rsidP="006538DB">
      <w:pPr>
        <w:spacing w:after="0"/>
      </w:pPr>
    </w:p>
    <w:p w14:paraId="0D49423F" w14:textId="77777777" w:rsidR="006538DB" w:rsidRDefault="006538DB" w:rsidP="006538DB">
      <w:pPr>
        <w:pStyle w:val="Heading2"/>
      </w:pPr>
      <w:bookmarkStart w:id="19" w:name="_Toc433964520"/>
      <w:r>
        <w:lastRenderedPageBreak/>
        <w:t>Purpose of this report</w:t>
      </w:r>
      <w:bookmarkEnd w:id="19"/>
    </w:p>
    <w:p w14:paraId="0D494240" w14:textId="6392831F" w:rsidR="00350018" w:rsidRDefault="00350018" w:rsidP="00AF5A5C">
      <w:r>
        <w:t xml:space="preserve">This report follows the issue of </w:t>
      </w:r>
      <w:r w:rsidR="006E53B5">
        <w:t>four</w:t>
      </w:r>
      <w:r>
        <w:t xml:space="preserve"> prior reports:</w:t>
      </w:r>
    </w:p>
    <w:p w14:paraId="0D494241" w14:textId="77777777" w:rsidR="00AF2A95" w:rsidRDefault="00AF2A95" w:rsidP="00FA4FCC">
      <w:pPr>
        <w:pStyle w:val="ListParagraph"/>
        <w:numPr>
          <w:ilvl w:val="0"/>
          <w:numId w:val="26"/>
        </w:numPr>
        <w:ind w:left="567" w:hanging="567"/>
      </w:pPr>
      <w:r>
        <w:t>Literature review and initial scoping Report, issued to SV only</w:t>
      </w:r>
    </w:p>
    <w:p w14:paraId="0D494242" w14:textId="11EA0272" w:rsidR="00350018" w:rsidRDefault="00350018" w:rsidP="00FA4FCC">
      <w:pPr>
        <w:pStyle w:val="ListParagraph"/>
        <w:numPr>
          <w:ilvl w:val="0"/>
          <w:numId w:val="26"/>
        </w:numPr>
        <w:ind w:left="567" w:hanging="567"/>
      </w:pPr>
      <w:r>
        <w:t>Draft Goal and Scope Report</w:t>
      </w:r>
      <w:r w:rsidR="00AF2A95">
        <w:t xml:space="preserve">, issued to </w:t>
      </w:r>
      <w:r w:rsidR="003D1F49">
        <w:t>SRP</w:t>
      </w:r>
    </w:p>
    <w:p w14:paraId="0D494243" w14:textId="77777777" w:rsidR="00350018" w:rsidRDefault="00350018" w:rsidP="00FA4FCC">
      <w:pPr>
        <w:pStyle w:val="ListParagraph"/>
        <w:numPr>
          <w:ilvl w:val="0"/>
          <w:numId w:val="26"/>
        </w:numPr>
        <w:ind w:left="567" w:hanging="567"/>
      </w:pPr>
      <w:r>
        <w:t>Final Goal and Scope Report, incorpor</w:t>
      </w:r>
      <w:r w:rsidR="00AF2A95">
        <w:t>ating SRP</w:t>
      </w:r>
      <w:r>
        <w:t xml:space="preserve"> feedback</w:t>
      </w:r>
    </w:p>
    <w:p w14:paraId="119C1B01" w14:textId="69C83493" w:rsidR="006E53B5" w:rsidRDefault="006E53B5" w:rsidP="00FA4FCC">
      <w:pPr>
        <w:pStyle w:val="ListParagraph"/>
        <w:numPr>
          <w:ilvl w:val="0"/>
          <w:numId w:val="26"/>
        </w:numPr>
        <w:ind w:left="567" w:hanging="567"/>
      </w:pPr>
      <w:r>
        <w:t>Draft Report for SRP consideration</w:t>
      </w:r>
    </w:p>
    <w:p w14:paraId="0D494244" w14:textId="60D8192C" w:rsidR="00855001" w:rsidRPr="00855001" w:rsidRDefault="00350018" w:rsidP="00AF5A5C">
      <w:r>
        <w:t xml:space="preserve">This </w:t>
      </w:r>
      <w:r w:rsidR="006E53B5">
        <w:t>fifth</w:t>
      </w:r>
      <w:r w:rsidR="00AF2A95">
        <w:t xml:space="preserve"> </w:t>
      </w:r>
      <w:r w:rsidR="00FA4FCC">
        <w:t xml:space="preserve">and final </w:t>
      </w:r>
      <w:r>
        <w:t xml:space="preserve">report is intended to present </w:t>
      </w:r>
      <w:r w:rsidR="006E53B5">
        <w:t>final findings of the study, incorporating feedback fr</w:t>
      </w:r>
      <w:r w:rsidR="00216134">
        <w:t>om the SRP and other reviewers.</w:t>
      </w:r>
    </w:p>
    <w:p w14:paraId="0D494246" w14:textId="77777777" w:rsidR="0077229C" w:rsidRDefault="00AF2A95" w:rsidP="0077229C">
      <w:pPr>
        <w:pStyle w:val="Heading1"/>
        <w:rPr>
          <w:lang w:val="en-AU"/>
        </w:rPr>
      </w:pPr>
      <w:bookmarkStart w:id="20" w:name="_Toc433964521"/>
      <w:r>
        <w:rPr>
          <w:lang w:val="en-AU"/>
        </w:rPr>
        <w:lastRenderedPageBreak/>
        <w:t>Background</w:t>
      </w:r>
      <w:bookmarkEnd w:id="20"/>
    </w:p>
    <w:p w14:paraId="0D494247" w14:textId="77777777" w:rsidR="0077229C" w:rsidRDefault="0077229C" w:rsidP="0077229C">
      <w:pPr>
        <w:rPr>
          <w:lang w:eastAsia="x-none"/>
        </w:rPr>
      </w:pPr>
      <w:r>
        <w:rPr>
          <w:lang w:eastAsia="x-none"/>
        </w:rPr>
        <w:t xml:space="preserve">The following literature review </w:t>
      </w:r>
      <w:r w:rsidR="00AF2A95">
        <w:rPr>
          <w:lang w:eastAsia="x-none"/>
        </w:rPr>
        <w:t>addresses the</w:t>
      </w:r>
      <w:r>
        <w:rPr>
          <w:lang w:eastAsia="x-none"/>
        </w:rPr>
        <w:t xml:space="preserve"> existing body of knowledge </w:t>
      </w:r>
      <w:r w:rsidR="00AF2A95">
        <w:rPr>
          <w:lang w:eastAsia="x-none"/>
        </w:rPr>
        <w:t>regarding</w:t>
      </w:r>
      <w:r>
        <w:rPr>
          <w:lang w:eastAsia="x-none"/>
        </w:rPr>
        <w:t xml:space="preserve"> quantification of environmental benefits attributable to recycling. </w:t>
      </w:r>
    </w:p>
    <w:p w14:paraId="0D494248" w14:textId="77777777" w:rsidR="00F9282A" w:rsidRDefault="006428A8" w:rsidP="00F9282A">
      <w:pPr>
        <w:pStyle w:val="Heading2"/>
        <w:rPr>
          <w:lang w:val="en-AU"/>
        </w:rPr>
      </w:pPr>
      <w:bookmarkStart w:id="21" w:name="_Toc433964522"/>
      <w:r>
        <w:rPr>
          <w:lang w:val="en-AU"/>
        </w:rPr>
        <w:t>Terminology</w:t>
      </w:r>
      <w:bookmarkEnd w:id="21"/>
    </w:p>
    <w:p w14:paraId="0D494249" w14:textId="336B2DA4" w:rsidR="00F9282A" w:rsidRDefault="00AF2A95" w:rsidP="0077229C">
      <w:pPr>
        <w:rPr>
          <w:lang w:eastAsia="x-none"/>
        </w:rPr>
      </w:pPr>
      <w:r>
        <w:rPr>
          <w:lang w:eastAsia="x-none"/>
        </w:rPr>
        <w:t>I</w:t>
      </w:r>
      <w:r w:rsidR="00F9282A">
        <w:rPr>
          <w:lang w:eastAsia="x-none"/>
        </w:rPr>
        <w:t>t is worth</w:t>
      </w:r>
      <w:r>
        <w:rPr>
          <w:lang w:eastAsia="x-none"/>
        </w:rPr>
        <w:t>while</w:t>
      </w:r>
      <w:r w:rsidR="00F9282A">
        <w:rPr>
          <w:lang w:eastAsia="x-none"/>
        </w:rPr>
        <w:t xml:space="preserve"> </w:t>
      </w:r>
      <w:r w:rsidR="006428A8">
        <w:rPr>
          <w:lang w:eastAsia="x-none"/>
        </w:rPr>
        <w:t>drawing attention to</w:t>
      </w:r>
      <w:r w:rsidR="00F9282A">
        <w:rPr>
          <w:lang w:eastAsia="x-none"/>
        </w:rPr>
        <w:t xml:space="preserve"> the issue of language and the definition of terms. The discussion of recycling requires </w:t>
      </w:r>
      <w:r w:rsidR="00AF5A5C">
        <w:rPr>
          <w:lang w:eastAsia="x-none"/>
        </w:rPr>
        <w:t>defining</w:t>
      </w:r>
      <w:r w:rsidR="00F9282A">
        <w:rPr>
          <w:lang w:eastAsia="x-none"/>
        </w:rPr>
        <w:t xml:space="preserve"> terms </w:t>
      </w:r>
      <w:r w:rsidR="00AF5A5C">
        <w:rPr>
          <w:lang w:eastAsia="x-none"/>
        </w:rPr>
        <w:t xml:space="preserve">which </w:t>
      </w:r>
      <w:r w:rsidR="00F9282A">
        <w:rPr>
          <w:lang w:eastAsia="x-none"/>
        </w:rPr>
        <w:t xml:space="preserve">are </w:t>
      </w:r>
      <w:r w:rsidR="00AF5A5C">
        <w:rPr>
          <w:lang w:eastAsia="x-none"/>
        </w:rPr>
        <w:t>often used inappropriately</w:t>
      </w:r>
      <w:r w:rsidR="006428A8">
        <w:rPr>
          <w:lang w:eastAsia="x-none"/>
        </w:rPr>
        <w:t xml:space="preserve">. </w:t>
      </w:r>
      <w:r w:rsidR="00AF5A5C">
        <w:rPr>
          <w:lang w:eastAsia="x-none"/>
        </w:rPr>
        <w:t>As an example, t</w:t>
      </w:r>
      <w:r w:rsidR="006428A8">
        <w:rPr>
          <w:lang w:eastAsia="x-none"/>
        </w:rPr>
        <w:t>he terms</w:t>
      </w:r>
      <w:r w:rsidR="00F9282A">
        <w:rPr>
          <w:lang w:eastAsia="x-none"/>
        </w:rPr>
        <w:t xml:space="preserve"> ‘recycling’</w:t>
      </w:r>
      <w:r w:rsidR="006428A8">
        <w:rPr>
          <w:lang w:eastAsia="x-none"/>
        </w:rPr>
        <w:t>, ‘recyclate’, ‘waste’ all mean slightly different things to different people. To avoid confusion in</w:t>
      </w:r>
      <w:r w:rsidR="00AF5A5C">
        <w:rPr>
          <w:lang w:eastAsia="x-none"/>
        </w:rPr>
        <w:t xml:space="preserve"> discussing recycling, glossarie</w:t>
      </w:r>
      <w:r w:rsidR="006428A8">
        <w:rPr>
          <w:lang w:eastAsia="x-none"/>
        </w:rPr>
        <w:t xml:space="preserve">s from key reports </w:t>
      </w:r>
      <w:r w:rsidR="006428A8">
        <w:rPr>
          <w:lang w:eastAsia="x-none"/>
        </w:rPr>
        <w:fldChar w:fldCharType="begin"/>
      </w:r>
      <w:r w:rsidR="00F40CE2">
        <w:rPr>
          <w:lang w:eastAsia="x-none"/>
        </w:rPr>
        <w:instrText xml:space="preserve"> ADDIN EN.CITE &lt;EndNote&gt;&lt;Cite&gt;&lt;Author&gt;DEWHA&lt;/Author&gt;&lt;Year&gt;2010&lt;/Year&gt;&lt;RecNum&gt;36&lt;/RecNum&gt;&lt;DisplayText&gt;(DEWHA and EPHC, 2010, Sustainability Victoria, 2012b)&lt;/DisplayText&gt;&lt;record&gt;&lt;rec-number&gt;36&lt;/rec-number&gt;&lt;foreign-keys&gt;&lt;key app="EN" db-id="tfpv5staxsvs2nexzpp5taewzsvpx0er5fap"&gt;36&lt;/key&gt;&lt;/foreign-keys&gt;&lt;ref-type name="Report"&gt;27&lt;/ref-type&gt;&lt;contributors&gt;&lt;authors&gt;&lt;author&gt;DEWHA&lt;/author&gt;&lt;author&gt;EPHC&lt;/author&gt;&lt;/authors&gt;&lt;tertiary-authors&gt;&lt;author&gt;Commonwealth of Australia&lt;/author&gt;&lt;/tertiary-authors&gt;&lt;/contributors&gt;&lt;titles&gt;&lt;title&gt;National Waste Report 2010&lt;/title&gt;&lt;/titles&gt;&lt;dates&gt;&lt;year&gt;2010&lt;/year&gt;&lt;/dates&gt;&lt;publisher&gt;Department of Environment Heritage and the Arts, Environment Protection and Heritage Council&lt;/publisher&gt;&lt;urls&gt;&lt;/urls&gt;&lt;/record&gt;&lt;/Cite&gt;&lt;Cite&gt;&lt;Author&gt;Sustainability Victoria&lt;/Author&gt;&lt;Year&gt;2012b&lt;/Year&gt;&lt;RecNum&gt;383&lt;/RecNum&gt;&lt;record&gt;&lt;rec-number&gt;383&lt;/rec-number&gt;&lt;foreign-keys&gt;&lt;key app="EN" db-id="tfpv5staxsvs2nexzpp5taewzsvpx0er5fap"&gt;383&lt;/key&gt;&lt;/foreign-keys&gt;&lt;ref-type name="Personal Communication"&gt;26&lt;/ref-type&gt;&lt;contributors&gt;&lt;authors&gt;&lt;author&gt;Sustainability Victoria,&lt;/author&gt;&lt;/authors&gt;&lt;secondary-authors&gt;&lt;author&gt;Stephen Clune&lt;/author&gt;&lt;/secondary-authors&gt;&lt;/contributors&gt;&lt;titles&gt;&lt;title&gt;LCA of MSW - Update&lt;/title&gt;&lt;/titles&gt;&lt;pages&gt;1&lt;/pages&gt;&lt;dates&gt;&lt;year&gt;2012b&lt;/year&gt;&lt;pub-dates&gt;&lt;date&gt;10/10/2012&lt;/date&gt;&lt;/pub-dates&gt;&lt;/dates&gt;&lt;pub-location&gt;Melbourne&lt;/pub-location&gt;&lt;publisher&gt;Sustainability Victoria&lt;/publisher&gt;&lt;urls&gt;&lt;/urls&gt;&lt;/record&gt;&lt;/Cite&gt;&lt;/EndNote&gt;</w:instrText>
      </w:r>
      <w:r w:rsidR="006428A8">
        <w:rPr>
          <w:lang w:eastAsia="x-none"/>
        </w:rPr>
        <w:fldChar w:fldCharType="separate"/>
      </w:r>
      <w:r w:rsidR="00F40CE2">
        <w:rPr>
          <w:noProof/>
          <w:lang w:eastAsia="x-none"/>
        </w:rPr>
        <w:t>(</w:t>
      </w:r>
      <w:hyperlink w:anchor="_ENREF_17" w:tooltip="DEWHA, 2010 #36" w:history="1">
        <w:r w:rsidR="00F40CE2">
          <w:rPr>
            <w:noProof/>
            <w:lang w:eastAsia="x-none"/>
          </w:rPr>
          <w:t>DEWHA and EPHC, 2010</w:t>
        </w:r>
      </w:hyperlink>
      <w:r w:rsidR="00F40CE2">
        <w:rPr>
          <w:noProof/>
          <w:lang w:eastAsia="x-none"/>
        </w:rPr>
        <w:t xml:space="preserve">, </w:t>
      </w:r>
      <w:hyperlink w:anchor="_ENREF_76" w:tooltip="Sustainability Victoria, 2012b #383" w:history="1">
        <w:r w:rsidR="00F40CE2">
          <w:rPr>
            <w:noProof/>
            <w:lang w:eastAsia="x-none"/>
          </w:rPr>
          <w:t>Sustainability Victoria, 2012b</w:t>
        </w:r>
      </w:hyperlink>
      <w:r w:rsidR="00F40CE2">
        <w:rPr>
          <w:noProof/>
          <w:lang w:eastAsia="x-none"/>
        </w:rPr>
        <w:t>)</w:t>
      </w:r>
      <w:r w:rsidR="006428A8">
        <w:rPr>
          <w:lang w:eastAsia="x-none"/>
        </w:rPr>
        <w:fldChar w:fldCharType="end"/>
      </w:r>
      <w:r w:rsidR="006428A8">
        <w:rPr>
          <w:lang w:eastAsia="x-none"/>
        </w:rPr>
        <w:t xml:space="preserve"> have been used to create a glossary of terms to be used in this report. In some cases, where conflict exists regarding a term, such as ‘recyclate’ a </w:t>
      </w:r>
      <w:r w:rsidR="00AF5A5C">
        <w:rPr>
          <w:lang w:eastAsia="x-none"/>
        </w:rPr>
        <w:t xml:space="preserve">base </w:t>
      </w:r>
      <w:r w:rsidR="006428A8">
        <w:rPr>
          <w:lang w:eastAsia="x-none"/>
        </w:rPr>
        <w:t>definition has been selected.</w:t>
      </w:r>
    </w:p>
    <w:p w14:paraId="0D49424B" w14:textId="77777777" w:rsidR="006428A8" w:rsidRDefault="006428A8" w:rsidP="006428A8">
      <w:pPr>
        <w:pStyle w:val="Heading2"/>
        <w:rPr>
          <w:lang w:val="en-AU"/>
        </w:rPr>
      </w:pPr>
      <w:bookmarkStart w:id="22" w:name="_Toc433964523"/>
      <w:r>
        <w:rPr>
          <w:lang w:val="en-AU"/>
        </w:rPr>
        <w:t>Recycling in Australia</w:t>
      </w:r>
      <w:r w:rsidR="00393BF2">
        <w:rPr>
          <w:lang w:val="en-AU"/>
        </w:rPr>
        <w:t xml:space="preserve"> and Victoria</w:t>
      </w:r>
      <w:bookmarkEnd w:id="22"/>
    </w:p>
    <w:p w14:paraId="0D49424C" w14:textId="76343704" w:rsidR="006428A8" w:rsidRDefault="0061520F" w:rsidP="0077229C">
      <w:pPr>
        <w:rPr>
          <w:lang w:eastAsia="x-none"/>
        </w:rPr>
      </w:pPr>
      <w:r>
        <w:rPr>
          <w:lang w:eastAsia="x-none"/>
        </w:rPr>
        <w:t>Waste disposal practices in Australia are effectively characterised in</w:t>
      </w:r>
      <w:r w:rsidR="00F91EBC">
        <w:rPr>
          <w:lang w:eastAsia="x-none"/>
        </w:rPr>
        <w:t xml:space="preserve"> </w:t>
      </w:r>
      <w:r w:rsidR="004B0F92" w:rsidRPr="004B0F92">
        <w:rPr>
          <w:lang w:eastAsia="x-none"/>
        </w:rPr>
        <w:t xml:space="preserve">Hyder Consulting </w:t>
      </w:r>
      <w:r w:rsidR="00F91EBC">
        <w:rPr>
          <w:lang w:eastAsia="x-none"/>
        </w:rPr>
        <w:fldChar w:fldCharType="begin"/>
      </w:r>
      <w:r w:rsidR="00284E17">
        <w:rPr>
          <w:lang w:eastAsia="x-none"/>
        </w:rPr>
        <w:instrText xml:space="preserve"> ADDIN EN.CITE &lt;EndNote&gt;&lt;Cite ExcludeAuth="1"&gt;&lt;Author&gt;Hyder Consulting&lt;/Author&gt;&lt;Year&gt;2009&lt;/Year&gt;&lt;RecNum&gt;37&lt;/RecNum&gt;&lt;DisplayText&gt;(2009)&lt;/DisplayText&gt;&lt;record&gt;&lt;rec-number&gt;37&lt;/rec-number&gt;&lt;foreign-keys&gt;&lt;key app="EN" db-id="tfpv5staxsvs2nexzpp5taewzsvpx0er5fap"&gt;37&lt;/key&gt;&lt;/foreign-keys&gt;&lt;ref-type name="Report"&gt;27&lt;/ref-type&gt;&lt;contributors&gt;&lt;authors&gt;&lt;author&gt;Hyder Consulting,&lt;/author&gt;&lt;/authors&gt;&lt;/contributors&gt;&lt;titles&gt;&lt;title&gt;Waste and Recycling in Australia - Ammended Report&lt;/title&gt;&lt;/titles&gt;&lt;dates&gt;&lt;year&gt;2009&lt;/year&gt;&lt;/dates&gt;&lt;pub-location&gt;Canberra&lt;/pub-location&gt;&lt;publisher&gt;Department of Environment, Heritage, Water and the Arts&lt;/publisher&gt;&lt;urls&gt;&lt;/urls&gt;&lt;/record&gt;&lt;/Cite&gt;&lt;/EndNote&gt;</w:instrText>
      </w:r>
      <w:r w:rsidR="00F91EBC">
        <w:rPr>
          <w:lang w:eastAsia="x-none"/>
        </w:rPr>
        <w:fldChar w:fldCharType="separate"/>
      </w:r>
      <w:r w:rsidR="004B0F92">
        <w:rPr>
          <w:noProof/>
          <w:lang w:eastAsia="x-none"/>
        </w:rPr>
        <w:t>(</w:t>
      </w:r>
      <w:hyperlink w:anchor="_ENREF_46" w:tooltip="Hyder Consulting, 2009 #37" w:history="1">
        <w:r w:rsidR="00F40CE2">
          <w:rPr>
            <w:noProof/>
            <w:lang w:eastAsia="x-none"/>
          </w:rPr>
          <w:t>2009</w:t>
        </w:r>
      </w:hyperlink>
      <w:r w:rsidR="004B0F92">
        <w:rPr>
          <w:noProof/>
          <w:lang w:eastAsia="x-none"/>
        </w:rPr>
        <w:t>)</w:t>
      </w:r>
      <w:r w:rsidR="00F91EBC">
        <w:rPr>
          <w:lang w:eastAsia="x-none"/>
        </w:rPr>
        <w:fldChar w:fldCharType="end"/>
      </w:r>
      <w:r w:rsidR="00AF2A95">
        <w:rPr>
          <w:lang w:eastAsia="x-none"/>
        </w:rPr>
        <w:t>, which incorporates data provided by state agencies such as SV</w:t>
      </w:r>
      <w:r w:rsidR="00F91EBC">
        <w:rPr>
          <w:lang w:eastAsia="x-none"/>
        </w:rPr>
        <w:t xml:space="preserve">. </w:t>
      </w:r>
      <w:r w:rsidR="00FE301A">
        <w:rPr>
          <w:lang w:eastAsia="x-none"/>
        </w:rPr>
        <w:fldChar w:fldCharType="begin"/>
      </w:r>
      <w:r w:rsidR="00FE301A">
        <w:rPr>
          <w:lang w:eastAsia="x-none"/>
        </w:rPr>
        <w:instrText xml:space="preserve"> REF _Ref337104172 \h </w:instrText>
      </w:r>
      <w:r w:rsidR="00FE301A">
        <w:rPr>
          <w:lang w:eastAsia="x-none"/>
        </w:rPr>
      </w:r>
      <w:r w:rsidR="00FE301A">
        <w:rPr>
          <w:lang w:eastAsia="x-none"/>
        </w:rPr>
        <w:fldChar w:fldCharType="separate"/>
      </w:r>
      <w:r w:rsidR="00564E5C">
        <w:t xml:space="preserve">Table </w:t>
      </w:r>
      <w:r w:rsidR="00564E5C">
        <w:rPr>
          <w:noProof/>
        </w:rPr>
        <w:t>5</w:t>
      </w:r>
      <w:r w:rsidR="00FE301A">
        <w:rPr>
          <w:lang w:eastAsia="x-none"/>
        </w:rPr>
        <w:fldChar w:fldCharType="end"/>
      </w:r>
      <w:r w:rsidR="00FE301A">
        <w:rPr>
          <w:lang w:eastAsia="x-none"/>
        </w:rPr>
        <w:t xml:space="preserve"> d</w:t>
      </w:r>
      <w:r>
        <w:rPr>
          <w:lang w:eastAsia="x-none"/>
        </w:rPr>
        <w:t xml:space="preserve">escribes </w:t>
      </w:r>
      <w:r w:rsidR="001073F7">
        <w:rPr>
          <w:lang w:eastAsia="x-none"/>
        </w:rPr>
        <w:t>per capita generation of municipal waste for Australia versus comparable countries.</w:t>
      </w:r>
      <w:r w:rsidR="00CC2B77">
        <w:rPr>
          <w:lang w:eastAsia="x-none"/>
        </w:rPr>
        <w:t xml:space="preserve"> </w:t>
      </w:r>
      <w:r w:rsidR="001073F7">
        <w:rPr>
          <w:lang w:eastAsia="x-none"/>
        </w:rPr>
        <w:t>The table illustrates that</w:t>
      </w:r>
      <w:r w:rsidR="004611BE">
        <w:rPr>
          <w:lang w:eastAsia="x-none"/>
        </w:rPr>
        <w:t>,</w:t>
      </w:r>
      <w:r w:rsidR="001073F7">
        <w:rPr>
          <w:lang w:eastAsia="x-none"/>
        </w:rPr>
        <w:t xml:space="preserve"> amongst the group selected</w:t>
      </w:r>
      <w:r w:rsidR="004611BE">
        <w:rPr>
          <w:lang w:eastAsia="x-none"/>
        </w:rPr>
        <w:t>,</w:t>
      </w:r>
      <w:r w:rsidR="001073F7">
        <w:rPr>
          <w:lang w:eastAsia="x-none"/>
        </w:rPr>
        <w:t xml:space="preserve"> Australia fairs better than some when it comes to diversion</w:t>
      </w:r>
      <w:r w:rsidR="004611BE">
        <w:rPr>
          <w:lang w:eastAsia="x-none"/>
        </w:rPr>
        <w:t xml:space="preserve"> of generated waste</w:t>
      </w:r>
      <w:r w:rsidR="001073F7">
        <w:rPr>
          <w:lang w:eastAsia="x-none"/>
        </w:rPr>
        <w:t>, however opportunity still exists to increase diversion rates</w:t>
      </w:r>
      <w:r w:rsidR="00301988">
        <w:rPr>
          <w:lang w:eastAsia="x-none"/>
        </w:rPr>
        <w:t xml:space="preserve"> (</w:t>
      </w:r>
      <w:r w:rsidR="004611BE">
        <w:rPr>
          <w:lang w:eastAsia="x-none"/>
        </w:rPr>
        <w:fldChar w:fldCharType="begin"/>
      </w:r>
      <w:r w:rsidR="004611BE">
        <w:rPr>
          <w:lang w:eastAsia="x-none"/>
        </w:rPr>
        <w:instrText xml:space="preserve"> REF _Ref337106085 \h </w:instrText>
      </w:r>
      <w:r w:rsidR="004611BE">
        <w:rPr>
          <w:lang w:eastAsia="x-none"/>
        </w:rPr>
      </w:r>
      <w:r w:rsidR="004611BE">
        <w:rPr>
          <w:lang w:eastAsia="x-none"/>
        </w:rPr>
        <w:fldChar w:fldCharType="separate"/>
      </w:r>
      <w:r w:rsidR="00564E5C">
        <w:t xml:space="preserve">Figure </w:t>
      </w:r>
      <w:r w:rsidR="00564E5C">
        <w:rPr>
          <w:noProof/>
        </w:rPr>
        <w:t>2</w:t>
      </w:r>
      <w:r w:rsidR="004611BE">
        <w:rPr>
          <w:lang w:eastAsia="x-none"/>
        </w:rPr>
        <w:fldChar w:fldCharType="end"/>
      </w:r>
      <w:r w:rsidR="00301988">
        <w:rPr>
          <w:lang w:eastAsia="x-none"/>
        </w:rPr>
        <w:t>)</w:t>
      </w:r>
      <w:r w:rsidR="001073F7">
        <w:rPr>
          <w:lang w:eastAsia="x-none"/>
        </w:rPr>
        <w:t>.</w:t>
      </w:r>
      <w:r w:rsidR="00F91EBC">
        <w:rPr>
          <w:lang w:eastAsia="x-none"/>
        </w:rPr>
        <w:t xml:space="preserve"> This table also provides an opportunity to illustrate the use of terms. The use of the term ‘recycled’ here actually means ‘recovered for recycling’ or ‘diverted from waste’ – the term ‘recycled’ infers that materials may have been reprocessed, which is not the intended meaning in this context.</w:t>
      </w:r>
    </w:p>
    <w:p w14:paraId="0D49424D" w14:textId="7A288ECC" w:rsidR="00AF2A95" w:rsidRDefault="00F91EBC" w:rsidP="00AF2A95">
      <w:pPr>
        <w:pStyle w:val="Caption"/>
        <w:keepNext/>
        <w:rPr>
          <w:lang w:val="en-AU"/>
        </w:rPr>
      </w:pPr>
      <w:bookmarkStart w:id="23" w:name="_Ref337104172"/>
      <w:r>
        <w:t xml:space="preserve">Table </w:t>
      </w:r>
      <w:r w:rsidR="00FC7DE2">
        <w:fldChar w:fldCharType="begin"/>
      </w:r>
      <w:r w:rsidR="00FC7DE2">
        <w:instrText xml:space="preserve"> SEQ Table \* ARABIC </w:instrText>
      </w:r>
      <w:r w:rsidR="00FC7DE2">
        <w:fldChar w:fldCharType="separate"/>
      </w:r>
      <w:r w:rsidR="00564E5C">
        <w:rPr>
          <w:noProof/>
        </w:rPr>
        <w:t>5</w:t>
      </w:r>
      <w:r w:rsidR="00FC7DE2">
        <w:rPr>
          <w:noProof/>
        </w:rPr>
        <w:fldChar w:fldCharType="end"/>
      </w:r>
      <w:bookmarkEnd w:id="23"/>
      <w:r>
        <w:rPr>
          <w:lang w:val="en-AU"/>
        </w:rPr>
        <w:t xml:space="preserve"> Per capital municipal </w:t>
      </w:r>
      <w:r w:rsidR="00CC2B77">
        <w:rPr>
          <w:lang w:val="en-AU"/>
        </w:rPr>
        <w:t xml:space="preserve">solid </w:t>
      </w:r>
      <w:r>
        <w:rPr>
          <w:lang w:val="en-AU"/>
        </w:rPr>
        <w:t>waste generated disposed of and recycled per annum</w:t>
      </w:r>
      <w:r w:rsidR="00644A18">
        <w:rPr>
          <w:lang w:val="en-AU"/>
        </w:rPr>
        <w:t xml:space="preserve"> 2006/07 </w:t>
      </w:r>
      <w:r w:rsidR="00CE3294">
        <w:rPr>
          <w:lang w:val="en-AU"/>
        </w:rPr>
        <w:fldChar w:fldCharType="begin"/>
      </w:r>
      <w:r w:rsidR="00F40CE2">
        <w:rPr>
          <w:lang w:val="en-AU"/>
        </w:rPr>
        <w:instrText xml:space="preserve"> ADDIN EN.CITE &lt;EndNote&gt;&lt;Cite&gt;&lt;Author&gt;Hyder Consulting&lt;/Author&gt;&lt;Year&gt;2009&lt;/Year&gt;&lt;RecNum&gt;37&lt;/RecNum&gt;&lt;DisplayText&gt;(Hyder Consulting, 2009)&lt;/DisplayText&gt;&lt;record&gt;&lt;rec-number&gt;37&lt;/rec-number&gt;&lt;foreign-keys&gt;&lt;key app="EN" db-id="tfpv5staxsvs2nexzpp5taewzsvpx0er5fap"&gt;37&lt;/key&gt;&lt;/foreign-keys&gt;&lt;ref-type name="Report"&gt;27&lt;/ref-type&gt;&lt;contributors&gt;&lt;authors&gt;&lt;author&gt;Hyder Consulting,&lt;/author&gt;&lt;/authors&gt;&lt;/contributors&gt;&lt;titles&gt;&lt;title&gt;Waste and Recycling in Australia - Ammended Report&lt;/title&gt;&lt;/titles&gt;&lt;dates&gt;&lt;year&gt;2009&lt;/year&gt;&lt;/dates&gt;&lt;pub-location&gt;Canberra&lt;/pub-location&gt;&lt;publisher&gt;Department of Environment, Heritage, Water and the Arts&lt;/publisher&gt;&lt;urls&gt;&lt;/urls&gt;&lt;/record&gt;&lt;/Cite&gt;&lt;/EndNote&gt;</w:instrText>
      </w:r>
      <w:r w:rsidR="00CE3294">
        <w:rPr>
          <w:lang w:val="en-AU"/>
        </w:rPr>
        <w:fldChar w:fldCharType="separate"/>
      </w:r>
      <w:r w:rsidR="00F40CE2">
        <w:rPr>
          <w:noProof/>
          <w:lang w:val="en-AU"/>
        </w:rPr>
        <w:t>(</w:t>
      </w:r>
      <w:hyperlink w:anchor="_ENREF_46" w:tooltip="Hyder Consulting, 2009 #37" w:history="1">
        <w:r w:rsidR="00F40CE2">
          <w:rPr>
            <w:noProof/>
            <w:lang w:val="en-AU"/>
          </w:rPr>
          <w:t>Hyder Consulting, 2009</w:t>
        </w:r>
      </w:hyperlink>
      <w:r w:rsidR="00F40CE2">
        <w:rPr>
          <w:noProof/>
          <w:lang w:val="en-AU"/>
        </w:rPr>
        <w:t>)</w:t>
      </w:r>
      <w:r w:rsidR="00CE3294">
        <w:rPr>
          <w:lang w:val="en-AU"/>
        </w:rPr>
        <w:fldChar w:fldCharType="end"/>
      </w:r>
      <w:r>
        <w:rPr>
          <w:lang w:val="en-AU"/>
        </w:rPr>
        <w:t>.</w:t>
      </w:r>
    </w:p>
    <w:tbl>
      <w:tblPr>
        <w:tblStyle w:val="TableGrid"/>
        <w:tblW w:w="0" w:type="auto"/>
        <w:tblLook w:val="04A0" w:firstRow="1" w:lastRow="0" w:firstColumn="1" w:lastColumn="0" w:noHBand="0" w:noVBand="1"/>
      </w:tblPr>
      <w:tblGrid>
        <w:gridCol w:w="1848"/>
        <w:gridCol w:w="1848"/>
        <w:gridCol w:w="1848"/>
        <w:gridCol w:w="1849"/>
        <w:gridCol w:w="1849"/>
      </w:tblGrid>
      <w:tr w:rsidR="00301988" w14:paraId="0A6F30B8" w14:textId="77777777" w:rsidTr="00301988">
        <w:tc>
          <w:tcPr>
            <w:tcW w:w="1848" w:type="dxa"/>
          </w:tcPr>
          <w:p w14:paraId="6FABA611" w14:textId="6B40204A" w:rsidR="00301988" w:rsidRPr="00301988" w:rsidRDefault="00301988" w:rsidP="00301988">
            <w:pPr>
              <w:spacing w:after="0"/>
              <w:rPr>
                <w:b/>
                <w:lang w:eastAsia="x-none"/>
              </w:rPr>
            </w:pPr>
            <w:r w:rsidRPr="00301988">
              <w:rPr>
                <w:b/>
                <w:lang w:eastAsia="x-none"/>
              </w:rPr>
              <w:t>Country</w:t>
            </w:r>
          </w:p>
        </w:tc>
        <w:tc>
          <w:tcPr>
            <w:tcW w:w="1848" w:type="dxa"/>
          </w:tcPr>
          <w:p w14:paraId="270ED19D" w14:textId="6BB812CE" w:rsidR="00301988" w:rsidRPr="00301988" w:rsidRDefault="00301988" w:rsidP="00301988">
            <w:pPr>
              <w:spacing w:after="0"/>
              <w:jc w:val="center"/>
              <w:rPr>
                <w:b/>
                <w:lang w:eastAsia="x-none"/>
              </w:rPr>
            </w:pPr>
            <w:r w:rsidRPr="00301988">
              <w:rPr>
                <w:b/>
                <w:lang w:eastAsia="x-none"/>
              </w:rPr>
              <w:t>Disposed (kg)</w:t>
            </w:r>
          </w:p>
        </w:tc>
        <w:tc>
          <w:tcPr>
            <w:tcW w:w="1848" w:type="dxa"/>
          </w:tcPr>
          <w:p w14:paraId="7E8C3C0A" w14:textId="0FB64E71" w:rsidR="00301988" w:rsidRPr="00301988" w:rsidRDefault="00301988" w:rsidP="00301988">
            <w:pPr>
              <w:spacing w:after="0"/>
              <w:jc w:val="center"/>
              <w:rPr>
                <w:b/>
                <w:lang w:eastAsia="x-none"/>
              </w:rPr>
            </w:pPr>
            <w:r w:rsidRPr="00301988">
              <w:rPr>
                <w:b/>
                <w:lang w:eastAsia="x-none"/>
              </w:rPr>
              <w:t>Recycled (kg)</w:t>
            </w:r>
          </w:p>
        </w:tc>
        <w:tc>
          <w:tcPr>
            <w:tcW w:w="1849" w:type="dxa"/>
          </w:tcPr>
          <w:p w14:paraId="64E83AD3" w14:textId="5FEC0437" w:rsidR="00301988" w:rsidRPr="00301988" w:rsidRDefault="00301988" w:rsidP="00301988">
            <w:pPr>
              <w:spacing w:after="0"/>
              <w:jc w:val="center"/>
              <w:rPr>
                <w:b/>
                <w:lang w:eastAsia="x-none"/>
              </w:rPr>
            </w:pPr>
            <w:r w:rsidRPr="00301988">
              <w:rPr>
                <w:b/>
                <w:lang w:eastAsia="x-none"/>
              </w:rPr>
              <w:t>Generated (kg)</w:t>
            </w:r>
          </w:p>
        </w:tc>
        <w:tc>
          <w:tcPr>
            <w:tcW w:w="1849" w:type="dxa"/>
          </w:tcPr>
          <w:p w14:paraId="3C259FC6" w14:textId="33B617B4" w:rsidR="00301988" w:rsidRPr="00301988" w:rsidRDefault="00301988" w:rsidP="00301988">
            <w:pPr>
              <w:spacing w:after="0"/>
              <w:jc w:val="center"/>
              <w:rPr>
                <w:b/>
                <w:lang w:eastAsia="x-none"/>
              </w:rPr>
            </w:pPr>
            <w:r w:rsidRPr="00301988">
              <w:rPr>
                <w:b/>
                <w:lang w:eastAsia="x-none"/>
              </w:rPr>
              <w:t>Diversion rate</w:t>
            </w:r>
          </w:p>
        </w:tc>
      </w:tr>
      <w:tr w:rsidR="00301988" w14:paraId="112541E8" w14:textId="77777777" w:rsidTr="00301988">
        <w:tc>
          <w:tcPr>
            <w:tcW w:w="1848" w:type="dxa"/>
          </w:tcPr>
          <w:p w14:paraId="66ACC8C0" w14:textId="1623AC26" w:rsidR="00301988" w:rsidRDefault="00301988" w:rsidP="00301988">
            <w:pPr>
              <w:spacing w:after="0"/>
              <w:rPr>
                <w:lang w:eastAsia="x-none"/>
              </w:rPr>
            </w:pPr>
            <w:r>
              <w:rPr>
                <w:lang w:eastAsia="x-none"/>
              </w:rPr>
              <w:t>Canada</w:t>
            </w:r>
          </w:p>
        </w:tc>
        <w:tc>
          <w:tcPr>
            <w:tcW w:w="1848" w:type="dxa"/>
          </w:tcPr>
          <w:p w14:paraId="0D9E59A6" w14:textId="7C6A9089" w:rsidR="00301988" w:rsidRDefault="00301988" w:rsidP="00301988">
            <w:pPr>
              <w:spacing w:after="0"/>
              <w:jc w:val="center"/>
              <w:rPr>
                <w:lang w:eastAsia="x-none"/>
              </w:rPr>
            </w:pPr>
            <w:r>
              <w:rPr>
                <w:lang w:eastAsia="x-none"/>
              </w:rPr>
              <w:t>292</w:t>
            </w:r>
          </w:p>
        </w:tc>
        <w:tc>
          <w:tcPr>
            <w:tcW w:w="1848" w:type="dxa"/>
          </w:tcPr>
          <w:p w14:paraId="0EE1FE5D" w14:textId="79E065B9" w:rsidR="00301988" w:rsidRDefault="00301988" w:rsidP="00301988">
            <w:pPr>
              <w:spacing w:after="0"/>
              <w:jc w:val="center"/>
              <w:rPr>
                <w:lang w:eastAsia="x-none"/>
              </w:rPr>
            </w:pPr>
            <w:r>
              <w:rPr>
                <w:lang w:eastAsia="x-none"/>
              </w:rPr>
              <w:t>118</w:t>
            </w:r>
          </w:p>
        </w:tc>
        <w:tc>
          <w:tcPr>
            <w:tcW w:w="1849" w:type="dxa"/>
          </w:tcPr>
          <w:p w14:paraId="0EE7ED16" w14:textId="6B0B175B" w:rsidR="00301988" w:rsidRDefault="00301988" w:rsidP="00301988">
            <w:pPr>
              <w:spacing w:after="0"/>
              <w:jc w:val="center"/>
              <w:rPr>
                <w:lang w:eastAsia="x-none"/>
              </w:rPr>
            </w:pPr>
            <w:r>
              <w:rPr>
                <w:lang w:eastAsia="x-none"/>
              </w:rPr>
              <w:t>411</w:t>
            </w:r>
          </w:p>
        </w:tc>
        <w:tc>
          <w:tcPr>
            <w:tcW w:w="1849" w:type="dxa"/>
          </w:tcPr>
          <w:p w14:paraId="727F1A6A" w14:textId="22C288E9" w:rsidR="00301988" w:rsidRDefault="00301988" w:rsidP="00301988">
            <w:pPr>
              <w:spacing w:after="0"/>
              <w:jc w:val="center"/>
              <w:rPr>
                <w:lang w:eastAsia="x-none"/>
              </w:rPr>
            </w:pPr>
            <w:r>
              <w:rPr>
                <w:lang w:eastAsia="x-none"/>
              </w:rPr>
              <w:t>29%</w:t>
            </w:r>
          </w:p>
        </w:tc>
      </w:tr>
      <w:tr w:rsidR="00301988" w14:paraId="78CB1102" w14:textId="77777777" w:rsidTr="00301988">
        <w:tc>
          <w:tcPr>
            <w:tcW w:w="1848" w:type="dxa"/>
          </w:tcPr>
          <w:p w14:paraId="5D5E1C40" w14:textId="718FEB9E" w:rsidR="00301988" w:rsidRDefault="00301988" w:rsidP="00301988">
            <w:pPr>
              <w:spacing w:after="0"/>
              <w:rPr>
                <w:lang w:eastAsia="x-none"/>
              </w:rPr>
            </w:pPr>
            <w:r>
              <w:rPr>
                <w:lang w:eastAsia="x-none"/>
              </w:rPr>
              <w:t>United States</w:t>
            </w:r>
          </w:p>
        </w:tc>
        <w:tc>
          <w:tcPr>
            <w:tcW w:w="1848" w:type="dxa"/>
          </w:tcPr>
          <w:p w14:paraId="7E6E9B36" w14:textId="1F37E0D1" w:rsidR="00301988" w:rsidRDefault="00301988" w:rsidP="00301988">
            <w:pPr>
              <w:spacing w:after="0"/>
              <w:jc w:val="center"/>
              <w:rPr>
                <w:lang w:eastAsia="x-none"/>
              </w:rPr>
            </w:pPr>
            <w:r>
              <w:rPr>
                <w:lang w:eastAsia="x-none"/>
              </w:rPr>
              <w:t>625</w:t>
            </w:r>
          </w:p>
        </w:tc>
        <w:tc>
          <w:tcPr>
            <w:tcW w:w="1848" w:type="dxa"/>
          </w:tcPr>
          <w:p w14:paraId="74457042" w14:textId="30AB70DB" w:rsidR="00301988" w:rsidRDefault="00301988" w:rsidP="00301988">
            <w:pPr>
              <w:spacing w:after="0"/>
              <w:jc w:val="center"/>
              <w:rPr>
                <w:lang w:eastAsia="x-none"/>
              </w:rPr>
            </w:pPr>
            <w:r>
              <w:rPr>
                <w:lang w:eastAsia="x-none"/>
              </w:rPr>
              <w:t>302</w:t>
            </w:r>
          </w:p>
        </w:tc>
        <w:tc>
          <w:tcPr>
            <w:tcW w:w="1849" w:type="dxa"/>
          </w:tcPr>
          <w:p w14:paraId="26F087BE" w14:textId="238BE589" w:rsidR="00301988" w:rsidRDefault="00301988" w:rsidP="00301988">
            <w:pPr>
              <w:spacing w:after="0"/>
              <w:jc w:val="center"/>
              <w:rPr>
                <w:lang w:eastAsia="x-none"/>
              </w:rPr>
            </w:pPr>
            <w:r>
              <w:rPr>
                <w:lang w:eastAsia="x-none"/>
              </w:rPr>
              <w:t>927</w:t>
            </w:r>
          </w:p>
        </w:tc>
        <w:tc>
          <w:tcPr>
            <w:tcW w:w="1849" w:type="dxa"/>
          </w:tcPr>
          <w:p w14:paraId="74944FEC" w14:textId="1C0B0526" w:rsidR="00301988" w:rsidRDefault="00301988" w:rsidP="00301988">
            <w:pPr>
              <w:spacing w:after="0"/>
              <w:jc w:val="center"/>
              <w:rPr>
                <w:lang w:eastAsia="x-none"/>
              </w:rPr>
            </w:pPr>
            <w:r>
              <w:rPr>
                <w:lang w:eastAsia="x-none"/>
              </w:rPr>
              <w:t>33%</w:t>
            </w:r>
          </w:p>
        </w:tc>
      </w:tr>
      <w:tr w:rsidR="00301988" w14:paraId="03D04736" w14:textId="77777777" w:rsidTr="00301988">
        <w:tc>
          <w:tcPr>
            <w:tcW w:w="1848" w:type="dxa"/>
          </w:tcPr>
          <w:p w14:paraId="215878BB" w14:textId="394F06FB" w:rsidR="00301988" w:rsidRDefault="00301988" w:rsidP="00301988">
            <w:pPr>
              <w:spacing w:after="0"/>
              <w:rPr>
                <w:lang w:eastAsia="x-none"/>
              </w:rPr>
            </w:pPr>
            <w:r>
              <w:rPr>
                <w:lang w:eastAsia="x-none"/>
              </w:rPr>
              <w:t>Germany</w:t>
            </w:r>
          </w:p>
        </w:tc>
        <w:tc>
          <w:tcPr>
            <w:tcW w:w="1848" w:type="dxa"/>
          </w:tcPr>
          <w:p w14:paraId="5A1C7347" w14:textId="3DB86DF2" w:rsidR="00301988" w:rsidRDefault="00301988" w:rsidP="00301988">
            <w:pPr>
              <w:spacing w:after="0"/>
              <w:jc w:val="center"/>
              <w:rPr>
                <w:lang w:eastAsia="x-none"/>
              </w:rPr>
            </w:pPr>
            <w:r>
              <w:rPr>
                <w:lang w:eastAsia="x-none"/>
              </w:rPr>
              <w:t>215</w:t>
            </w:r>
          </w:p>
        </w:tc>
        <w:tc>
          <w:tcPr>
            <w:tcW w:w="1848" w:type="dxa"/>
          </w:tcPr>
          <w:p w14:paraId="107F405D" w14:textId="3C1544C5" w:rsidR="00301988" w:rsidRDefault="00301988" w:rsidP="00301988">
            <w:pPr>
              <w:spacing w:after="0"/>
              <w:jc w:val="center"/>
              <w:rPr>
                <w:lang w:eastAsia="x-none"/>
              </w:rPr>
            </w:pPr>
            <w:r>
              <w:rPr>
                <w:lang w:eastAsia="x-none"/>
              </w:rPr>
              <w:t>341</w:t>
            </w:r>
          </w:p>
        </w:tc>
        <w:tc>
          <w:tcPr>
            <w:tcW w:w="1849" w:type="dxa"/>
          </w:tcPr>
          <w:p w14:paraId="7CD4F3E4" w14:textId="48F18CC4" w:rsidR="00301988" w:rsidRDefault="00301988" w:rsidP="00301988">
            <w:pPr>
              <w:spacing w:after="0"/>
              <w:jc w:val="center"/>
              <w:rPr>
                <w:lang w:eastAsia="x-none"/>
              </w:rPr>
            </w:pPr>
            <w:r>
              <w:rPr>
                <w:lang w:eastAsia="x-none"/>
              </w:rPr>
              <w:t>555</w:t>
            </w:r>
          </w:p>
        </w:tc>
        <w:tc>
          <w:tcPr>
            <w:tcW w:w="1849" w:type="dxa"/>
          </w:tcPr>
          <w:p w14:paraId="109D764E" w14:textId="6DD1469D" w:rsidR="00301988" w:rsidRDefault="00301988" w:rsidP="00301988">
            <w:pPr>
              <w:spacing w:after="0"/>
              <w:jc w:val="center"/>
              <w:rPr>
                <w:lang w:eastAsia="x-none"/>
              </w:rPr>
            </w:pPr>
            <w:r>
              <w:rPr>
                <w:lang w:eastAsia="x-none"/>
              </w:rPr>
              <w:t>61%</w:t>
            </w:r>
          </w:p>
        </w:tc>
      </w:tr>
      <w:tr w:rsidR="00301988" w14:paraId="4F8880AE" w14:textId="77777777" w:rsidTr="00301988">
        <w:tc>
          <w:tcPr>
            <w:tcW w:w="1848" w:type="dxa"/>
          </w:tcPr>
          <w:p w14:paraId="684890EC" w14:textId="27CBAB52" w:rsidR="00301988" w:rsidRDefault="00301988" w:rsidP="00301988">
            <w:pPr>
              <w:spacing w:after="0"/>
              <w:rPr>
                <w:lang w:eastAsia="x-none"/>
              </w:rPr>
            </w:pPr>
            <w:r>
              <w:rPr>
                <w:lang w:eastAsia="x-none"/>
              </w:rPr>
              <w:t>England</w:t>
            </w:r>
          </w:p>
        </w:tc>
        <w:tc>
          <w:tcPr>
            <w:tcW w:w="1848" w:type="dxa"/>
          </w:tcPr>
          <w:p w14:paraId="42EC9150" w14:textId="675EA358" w:rsidR="00301988" w:rsidRDefault="00301988" w:rsidP="00301988">
            <w:pPr>
              <w:spacing w:after="0"/>
              <w:jc w:val="center"/>
              <w:rPr>
                <w:lang w:eastAsia="x-none"/>
              </w:rPr>
            </w:pPr>
            <w:r>
              <w:rPr>
                <w:lang w:eastAsia="x-none"/>
              </w:rPr>
              <w:t>398</w:t>
            </w:r>
          </w:p>
        </w:tc>
        <w:tc>
          <w:tcPr>
            <w:tcW w:w="1848" w:type="dxa"/>
          </w:tcPr>
          <w:p w14:paraId="088F9344" w14:textId="16FC10C9" w:rsidR="00301988" w:rsidRDefault="00301988" w:rsidP="00301988">
            <w:pPr>
              <w:spacing w:after="0"/>
              <w:jc w:val="center"/>
              <w:rPr>
                <w:lang w:eastAsia="x-none"/>
              </w:rPr>
            </w:pPr>
            <w:r>
              <w:rPr>
                <w:lang w:eastAsia="x-none"/>
              </w:rPr>
              <w:t>176</w:t>
            </w:r>
          </w:p>
        </w:tc>
        <w:tc>
          <w:tcPr>
            <w:tcW w:w="1849" w:type="dxa"/>
          </w:tcPr>
          <w:p w14:paraId="07114C15" w14:textId="75B2066E" w:rsidR="00301988" w:rsidRDefault="00301988" w:rsidP="00301988">
            <w:pPr>
              <w:spacing w:after="0"/>
              <w:jc w:val="center"/>
              <w:rPr>
                <w:lang w:eastAsia="x-none"/>
              </w:rPr>
            </w:pPr>
            <w:r>
              <w:rPr>
                <w:lang w:eastAsia="x-none"/>
              </w:rPr>
              <w:t>574</w:t>
            </w:r>
          </w:p>
        </w:tc>
        <w:tc>
          <w:tcPr>
            <w:tcW w:w="1849" w:type="dxa"/>
          </w:tcPr>
          <w:p w14:paraId="3DA073D5" w14:textId="108EDDA3" w:rsidR="00301988" w:rsidRDefault="00301988" w:rsidP="00301988">
            <w:pPr>
              <w:spacing w:after="0"/>
              <w:jc w:val="center"/>
              <w:rPr>
                <w:lang w:eastAsia="x-none"/>
              </w:rPr>
            </w:pPr>
            <w:r>
              <w:rPr>
                <w:lang w:eastAsia="x-none"/>
              </w:rPr>
              <w:t>31%</w:t>
            </w:r>
          </w:p>
        </w:tc>
      </w:tr>
      <w:tr w:rsidR="00301988" w14:paraId="50B2A1ED" w14:textId="77777777" w:rsidTr="00301988">
        <w:tc>
          <w:tcPr>
            <w:tcW w:w="1848" w:type="dxa"/>
          </w:tcPr>
          <w:p w14:paraId="42BD65EF" w14:textId="4B781DFD" w:rsidR="00301988" w:rsidRDefault="00301988" w:rsidP="00301988">
            <w:pPr>
              <w:spacing w:after="0"/>
              <w:rPr>
                <w:lang w:eastAsia="x-none"/>
              </w:rPr>
            </w:pPr>
            <w:r>
              <w:rPr>
                <w:lang w:eastAsia="x-none"/>
              </w:rPr>
              <w:t>Australia</w:t>
            </w:r>
          </w:p>
        </w:tc>
        <w:tc>
          <w:tcPr>
            <w:tcW w:w="1848" w:type="dxa"/>
          </w:tcPr>
          <w:p w14:paraId="76FC49AD" w14:textId="34AD5D48" w:rsidR="00301988" w:rsidRDefault="00301988" w:rsidP="00301988">
            <w:pPr>
              <w:spacing w:after="0"/>
              <w:jc w:val="center"/>
              <w:rPr>
                <w:lang w:eastAsia="x-none"/>
              </w:rPr>
            </w:pPr>
            <w:r>
              <w:rPr>
                <w:lang w:eastAsia="x-none"/>
              </w:rPr>
              <w:t>364</w:t>
            </w:r>
          </w:p>
        </w:tc>
        <w:tc>
          <w:tcPr>
            <w:tcW w:w="1848" w:type="dxa"/>
          </w:tcPr>
          <w:p w14:paraId="47A37978" w14:textId="5F1CB2FA" w:rsidR="00301988" w:rsidRDefault="00301988" w:rsidP="00301988">
            <w:pPr>
              <w:spacing w:after="0"/>
              <w:jc w:val="center"/>
              <w:rPr>
                <w:lang w:eastAsia="x-none"/>
              </w:rPr>
            </w:pPr>
            <w:r>
              <w:rPr>
                <w:lang w:eastAsia="x-none"/>
              </w:rPr>
              <w:t>242</w:t>
            </w:r>
          </w:p>
        </w:tc>
        <w:tc>
          <w:tcPr>
            <w:tcW w:w="1849" w:type="dxa"/>
          </w:tcPr>
          <w:p w14:paraId="6577C197" w14:textId="49AD91E3" w:rsidR="00301988" w:rsidRDefault="00301988" w:rsidP="00301988">
            <w:pPr>
              <w:spacing w:after="0"/>
              <w:jc w:val="center"/>
              <w:rPr>
                <w:lang w:eastAsia="x-none"/>
              </w:rPr>
            </w:pPr>
            <w:r>
              <w:rPr>
                <w:lang w:eastAsia="x-none"/>
              </w:rPr>
              <w:t>606</w:t>
            </w:r>
          </w:p>
        </w:tc>
        <w:tc>
          <w:tcPr>
            <w:tcW w:w="1849" w:type="dxa"/>
          </w:tcPr>
          <w:p w14:paraId="3E4AA542" w14:textId="53D97F92" w:rsidR="00301988" w:rsidRDefault="00301988" w:rsidP="00301988">
            <w:pPr>
              <w:spacing w:after="0"/>
              <w:jc w:val="center"/>
              <w:rPr>
                <w:lang w:eastAsia="x-none"/>
              </w:rPr>
            </w:pPr>
            <w:r>
              <w:rPr>
                <w:lang w:eastAsia="x-none"/>
              </w:rPr>
              <w:t>40%</w:t>
            </w:r>
          </w:p>
        </w:tc>
      </w:tr>
    </w:tbl>
    <w:p w14:paraId="366327B0" w14:textId="77777777" w:rsidR="00301988" w:rsidRDefault="00301988" w:rsidP="0077229C">
      <w:pPr>
        <w:rPr>
          <w:lang w:eastAsia="x-none"/>
        </w:rPr>
      </w:pPr>
    </w:p>
    <w:p w14:paraId="0D49424F" w14:textId="77777777" w:rsidR="00F91EBC" w:rsidRDefault="00CE3294" w:rsidP="0077229C">
      <w:pPr>
        <w:rPr>
          <w:lang w:eastAsia="x-none"/>
        </w:rPr>
      </w:pPr>
      <w:r>
        <w:rPr>
          <w:lang w:eastAsia="x-none"/>
        </w:rPr>
        <w:t xml:space="preserve">Both </w:t>
      </w:r>
      <w:r w:rsidR="00FE301A">
        <w:rPr>
          <w:lang w:eastAsia="x-none"/>
        </w:rPr>
        <w:fldChar w:fldCharType="begin"/>
      </w:r>
      <w:r w:rsidR="00FE301A">
        <w:rPr>
          <w:lang w:eastAsia="x-none"/>
        </w:rPr>
        <w:instrText xml:space="preserve"> REF _Ref337104172 \h </w:instrText>
      </w:r>
      <w:r w:rsidR="00FE301A">
        <w:rPr>
          <w:lang w:eastAsia="x-none"/>
        </w:rPr>
      </w:r>
      <w:r w:rsidR="00FE301A">
        <w:rPr>
          <w:lang w:eastAsia="x-none"/>
        </w:rPr>
        <w:fldChar w:fldCharType="separate"/>
      </w:r>
      <w:r w:rsidR="00564E5C">
        <w:t xml:space="preserve">Table </w:t>
      </w:r>
      <w:r w:rsidR="00564E5C">
        <w:rPr>
          <w:noProof/>
        </w:rPr>
        <w:t>5</w:t>
      </w:r>
      <w:r w:rsidR="00FE301A">
        <w:rPr>
          <w:lang w:eastAsia="x-none"/>
        </w:rPr>
        <w:fldChar w:fldCharType="end"/>
      </w:r>
      <w:r>
        <w:rPr>
          <w:lang w:eastAsia="x-none"/>
        </w:rPr>
        <w:t xml:space="preserve"> and </w:t>
      </w:r>
      <w:r>
        <w:rPr>
          <w:lang w:eastAsia="x-none"/>
        </w:rPr>
        <w:fldChar w:fldCharType="begin"/>
      </w:r>
      <w:r>
        <w:rPr>
          <w:lang w:eastAsia="x-none"/>
        </w:rPr>
        <w:instrText xml:space="preserve"> REF _Ref337106085 \h </w:instrText>
      </w:r>
      <w:r>
        <w:rPr>
          <w:lang w:eastAsia="x-none"/>
        </w:rPr>
      </w:r>
      <w:r>
        <w:rPr>
          <w:lang w:eastAsia="x-none"/>
        </w:rPr>
        <w:fldChar w:fldCharType="separate"/>
      </w:r>
      <w:r w:rsidR="00564E5C">
        <w:t xml:space="preserve">Figure </w:t>
      </w:r>
      <w:r w:rsidR="00564E5C">
        <w:rPr>
          <w:noProof/>
        </w:rPr>
        <w:t>2</w:t>
      </w:r>
      <w:r>
        <w:rPr>
          <w:lang w:eastAsia="x-none"/>
        </w:rPr>
        <w:fldChar w:fldCharType="end"/>
      </w:r>
      <w:r>
        <w:rPr>
          <w:lang w:eastAsia="x-none"/>
        </w:rPr>
        <w:t xml:space="preserve"> below</w:t>
      </w:r>
      <w:r w:rsidR="00FE301A">
        <w:rPr>
          <w:lang w:eastAsia="x-none"/>
        </w:rPr>
        <w:t xml:space="preserve"> illustrate that </w:t>
      </w:r>
      <w:r>
        <w:rPr>
          <w:lang w:eastAsia="x-none"/>
        </w:rPr>
        <w:t xml:space="preserve">opportunity exists </w:t>
      </w:r>
      <w:r w:rsidR="00FE301A">
        <w:rPr>
          <w:lang w:eastAsia="x-none"/>
        </w:rPr>
        <w:t xml:space="preserve">to increase </w:t>
      </w:r>
      <w:r>
        <w:rPr>
          <w:lang w:eastAsia="x-none"/>
        </w:rPr>
        <w:t xml:space="preserve">municipal </w:t>
      </w:r>
      <w:r w:rsidR="00CC2B77">
        <w:rPr>
          <w:lang w:eastAsia="x-none"/>
        </w:rPr>
        <w:t xml:space="preserve">solid </w:t>
      </w:r>
      <w:r>
        <w:rPr>
          <w:lang w:eastAsia="x-none"/>
        </w:rPr>
        <w:t xml:space="preserve">waste </w:t>
      </w:r>
      <w:r w:rsidR="00CC2B77">
        <w:rPr>
          <w:lang w:eastAsia="x-none"/>
        </w:rPr>
        <w:t xml:space="preserve">(MSW) </w:t>
      </w:r>
      <w:r w:rsidR="00FE301A">
        <w:rPr>
          <w:lang w:eastAsia="x-none"/>
        </w:rPr>
        <w:t>diversi</w:t>
      </w:r>
      <w:r>
        <w:rPr>
          <w:lang w:eastAsia="x-none"/>
        </w:rPr>
        <w:t>ons from landfill in Australia.</w:t>
      </w:r>
    </w:p>
    <w:p w14:paraId="0D494251" w14:textId="426D2822" w:rsidR="00FE301A" w:rsidRDefault="00973B09" w:rsidP="00FE301A">
      <w:pPr>
        <w:keepNext/>
      </w:pPr>
      <w:r>
        <w:rPr>
          <w:noProof/>
        </w:rPr>
        <w:drawing>
          <wp:inline distT="0" distB="0" distL="0" distR="0" wp14:anchorId="70A980B5" wp14:editId="7AFAB58F">
            <wp:extent cx="5340626" cy="218660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22" t="19977" r="3699" b="18983"/>
                    <a:stretch/>
                  </pic:blipFill>
                  <pic:spPr bwMode="auto">
                    <a:xfrm>
                      <a:off x="0" y="0"/>
                      <a:ext cx="5340575" cy="2186587"/>
                    </a:xfrm>
                    <a:prstGeom prst="rect">
                      <a:avLst/>
                    </a:prstGeom>
                    <a:ln>
                      <a:noFill/>
                    </a:ln>
                    <a:extLst>
                      <a:ext uri="{53640926-AAD7-44D8-BBD7-CCE9431645EC}">
                        <a14:shadowObscured xmlns:a14="http://schemas.microsoft.com/office/drawing/2010/main"/>
                      </a:ext>
                    </a:extLst>
                  </pic:spPr>
                </pic:pic>
              </a:graphicData>
            </a:graphic>
          </wp:inline>
        </w:drawing>
      </w:r>
    </w:p>
    <w:p w14:paraId="0D494252" w14:textId="44A8E1D3" w:rsidR="00CC2B77" w:rsidRDefault="00FE301A" w:rsidP="00CC2B77">
      <w:pPr>
        <w:pStyle w:val="Caption"/>
      </w:pPr>
      <w:bookmarkStart w:id="24" w:name="_Ref337106085"/>
      <w:r>
        <w:t xml:space="preserve">Figure </w:t>
      </w:r>
      <w:r w:rsidR="00FC7DE2">
        <w:fldChar w:fldCharType="begin"/>
      </w:r>
      <w:r w:rsidR="00FC7DE2">
        <w:instrText xml:space="preserve"> SEQ Figure \* ARABIC </w:instrText>
      </w:r>
      <w:r w:rsidR="00FC7DE2">
        <w:fldChar w:fldCharType="separate"/>
      </w:r>
      <w:r w:rsidR="00564E5C">
        <w:rPr>
          <w:noProof/>
        </w:rPr>
        <w:t>2</w:t>
      </w:r>
      <w:r w:rsidR="00FC7DE2">
        <w:rPr>
          <w:noProof/>
        </w:rPr>
        <w:fldChar w:fldCharType="end"/>
      </w:r>
      <w:bookmarkEnd w:id="24"/>
      <w:r>
        <w:rPr>
          <w:lang w:val="en-AU"/>
        </w:rPr>
        <w:t xml:space="preserve"> Diversion rate for municipal waste </w:t>
      </w:r>
      <w:r w:rsidR="00644A18">
        <w:rPr>
          <w:lang w:val="en-AU"/>
        </w:rPr>
        <w:t xml:space="preserve">2006/07 </w:t>
      </w:r>
      <w:r w:rsidR="002F29C0">
        <w:rPr>
          <w:lang w:val="en-AU"/>
        </w:rPr>
        <w:fldChar w:fldCharType="begin"/>
      </w:r>
      <w:r w:rsidR="00F40CE2">
        <w:rPr>
          <w:lang w:val="en-AU"/>
        </w:rPr>
        <w:instrText xml:space="preserve"> ADDIN EN.CITE &lt;EndNote&gt;&lt;Cite&gt;&lt;Author&gt;Hyder Consulting&lt;/Author&gt;&lt;Year&gt;2009&lt;/Year&gt;&lt;RecNum&gt;37&lt;/RecNum&gt;&lt;DisplayText&gt;(Hyder Consulting, 2009)&lt;/DisplayText&gt;&lt;record&gt;&lt;rec-number&gt;37&lt;/rec-number&gt;&lt;foreign-keys&gt;&lt;key app="EN" db-id="tfpv5staxsvs2nexzpp5taewzsvpx0er5fap"&gt;37&lt;/key&gt;&lt;/foreign-keys&gt;&lt;ref-type name="Report"&gt;27&lt;/ref-type&gt;&lt;contributors&gt;&lt;authors&gt;&lt;author&gt;Hyder Consulting,&lt;/author&gt;&lt;/authors&gt;&lt;/contributors&gt;&lt;titles&gt;&lt;title&gt;Waste and Recycling in Australia - Ammended Report&lt;/title&gt;&lt;/titles&gt;&lt;dates&gt;&lt;year&gt;2009&lt;/year&gt;&lt;/dates&gt;&lt;pub-location&gt;Canberra&lt;/pub-location&gt;&lt;publisher&gt;Department of Environment, Heritage, Water and the Arts&lt;/publisher&gt;&lt;urls&gt;&lt;/urls&gt;&lt;/record&gt;&lt;/Cite&gt;&lt;/EndNote&gt;</w:instrText>
      </w:r>
      <w:r w:rsidR="002F29C0">
        <w:rPr>
          <w:lang w:val="en-AU"/>
        </w:rPr>
        <w:fldChar w:fldCharType="separate"/>
      </w:r>
      <w:r w:rsidR="00F40CE2">
        <w:rPr>
          <w:noProof/>
          <w:lang w:val="en-AU"/>
        </w:rPr>
        <w:t>(</w:t>
      </w:r>
      <w:hyperlink w:anchor="_ENREF_46" w:tooltip="Hyder Consulting, 2009 #37" w:history="1">
        <w:r w:rsidR="00F40CE2">
          <w:rPr>
            <w:noProof/>
            <w:lang w:val="en-AU"/>
          </w:rPr>
          <w:t>Hyder Consulting, 2009</w:t>
        </w:r>
      </w:hyperlink>
      <w:r w:rsidR="00F40CE2">
        <w:rPr>
          <w:noProof/>
          <w:lang w:val="en-AU"/>
        </w:rPr>
        <w:t>)</w:t>
      </w:r>
      <w:r w:rsidR="002F29C0">
        <w:rPr>
          <w:lang w:val="en-AU"/>
        </w:rPr>
        <w:fldChar w:fldCharType="end"/>
      </w:r>
      <w:r>
        <w:rPr>
          <w:lang w:val="en-AU"/>
        </w:rPr>
        <w:t>.</w:t>
      </w:r>
      <w:r w:rsidR="004611BE">
        <w:rPr>
          <w:lang w:val="en-AU"/>
        </w:rPr>
        <w:t xml:space="preserve"> Australia is highlighted in yellow.</w:t>
      </w:r>
    </w:p>
    <w:p w14:paraId="0D494253" w14:textId="47A0882C" w:rsidR="00CC2B77" w:rsidRDefault="004611BE" w:rsidP="00CC2B77">
      <w:pPr>
        <w:rPr>
          <w:lang w:eastAsia="x-none"/>
        </w:rPr>
      </w:pPr>
      <w:r>
        <w:rPr>
          <w:lang w:eastAsia="x-none"/>
        </w:rPr>
        <w:fldChar w:fldCharType="begin"/>
      </w:r>
      <w:r>
        <w:rPr>
          <w:lang w:eastAsia="x-none"/>
        </w:rPr>
        <w:instrText xml:space="preserve"> REF _Ref337108449 \h </w:instrText>
      </w:r>
      <w:r>
        <w:rPr>
          <w:lang w:eastAsia="x-none"/>
        </w:rPr>
      </w:r>
      <w:r>
        <w:rPr>
          <w:lang w:eastAsia="x-none"/>
        </w:rPr>
        <w:fldChar w:fldCharType="separate"/>
      </w:r>
      <w:r w:rsidR="00564E5C">
        <w:t xml:space="preserve">Table </w:t>
      </w:r>
      <w:r w:rsidR="00564E5C">
        <w:rPr>
          <w:noProof/>
        </w:rPr>
        <w:t>6</w:t>
      </w:r>
      <w:r>
        <w:rPr>
          <w:lang w:eastAsia="x-none"/>
        </w:rPr>
        <w:fldChar w:fldCharType="end"/>
      </w:r>
      <w:r>
        <w:rPr>
          <w:lang w:eastAsia="x-none"/>
        </w:rPr>
        <w:t xml:space="preserve"> </w:t>
      </w:r>
      <w:r w:rsidR="00CC2B77">
        <w:rPr>
          <w:lang w:eastAsia="x-none"/>
        </w:rPr>
        <w:t>describes national waste disposal, diversion (</w:t>
      </w:r>
      <w:r w:rsidR="00EB23FA">
        <w:rPr>
          <w:lang w:eastAsia="x-none"/>
        </w:rPr>
        <w:t>‘</w:t>
      </w:r>
      <w:r w:rsidR="00CC2B77">
        <w:rPr>
          <w:lang w:eastAsia="x-none"/>
        </w:rPr>
        <w:t>recycled</w:t>
      </w:r>
      <w:r w:rsidR="00EB23FA">
        <w:rPr>
          <w:lang w:eastAsia="x-none"/>
        </w:rPr>
        <w:t>’</w:t>
      </w:r>
      <w:r w:rsidR="00CC2B77">
        <w:rPr>
          <w:lang w:eastAsia="x-none"/>
        </w:rPr>
        <w:t xml:space="preserve"> in the table) and generation rates</w:t>
      </w:r>
      <w:r>
        <w:rPr>
          <w:lang w:eastAsia="x-none"/>
        </w:rPr>
        <w:t xml:space="preserve"> by state. The table shows that, in 2006/07, </w:t>
      </w:r>
      <w:r w:rsidR="00CC2B77">
        <w:rPr>
          <w:lang w:eastAsia="x-none"/>
        </w:rPr>
        <w:t>Victoria generated 10,285</w:t>
      </w:r>
      <w:r w:rsidR="00E82F90">
        <w:rPr>
          <w:lang w:eastAsia="x-none"/>
        </w:rPr>
        <w:t>,000</w:t>
      </w:r>
      <w:r>
        <w:rPr>
          <w:lang w:eastAsia="x-none"/>
        </w:rPr>
        <w:t xml:space="preserve"> </w:t>
      </w:r>
      <w:r w:rsidR="00E82F90">
        <w:rPr>
          <w:lang w:eastAsia="x-none"/>
        </w:rPr>
        <w:t>t</w:t>
      </w:r>
      <w:r w:rsidR="00CC2B77">
        <w:rPr>
          <w:lang w:eastAsia="x-none"/>
        </w:rPr>
        <w:t xml:space="preserve"> of waste, of which 6,360</w:t>
      </w:r>
      <w:r w:rsidR="00E82F90">
        <w:rPr>
          <w:lang w:eastAsia="x-none"/>
        </w:rPr>
        <w:t>,000</w:t>
      </w:r>
      <w:r w:rsidR="00CC2B77">
        <w:rPr>
          <w:lang w:eastAsia="x-none"/>
        </w:rPr>
        <w:t xml:space="preserve"> </w:t>
      </w:r>
      <w:r w:rsidR="00A94700">
        <w:rPr>
          <w:lang w:eastAsia="x-none"/>
        </w:rPr>
        <w:lastRenderedPageBreak/>
        <w:t>t</w:t>
      </w:r>
      <w:r w:rsidR="00E82F90">
        <w:rPr>
          <w:lang w:eastAsia="x-none"/>
        </w:rPr>
        <w:t xml:space="preserve"> </w:t>
      </w:r>
      <w:r w:rsidR="00CC2B77">
        <w:rPr>
          <w:lang w:eastAsia="x-none"/>
        </w:rPr>
        <w:t xml:space="preserve">were diverted from landfill. This equates to a diversion rate of 62% across all sectors. In their </w:t>
      </w:r>
      <w:r>
        <w:rPr>
          <w:lang w:eastAsia="x-none"/>
        </w:rPr>
        <w:t>2012</w:t>
      </w:r>
      <w:r w:rsidR="00CC2B77">
        <w:rPr>
          <w:lang w:eastAsia="x-none"/>
        </w:rPr>
        <w:t xml:space="preserve"> strategic plan Sustainability Victoria has committed to increase this diversion rate to 75% by 2015, as we</w:t>
      </w:r>
      <w:r w:rsidR="00C868A7">
        <w:rPr>
          <w:lang w:eastAsia="x-none"/>
        </w:rPr>
        <w:t xml:space="preserve">ll </w:t>
      </w:r>
      <w:r w:rsidR="00CC2B77">
        <w:rPr>
          <w:lang w:eastAsia="x-none"/>
        </w:rPr>
        <w:t>as committing to reduce total waste generated within the state</w:t>
      </w:r>
      <w:r>
        <w:rPr>
          <w:lang w:eastAsia="x-none"/>
        </w:rPr>
        <w:t xml:space="preserve">, </w:t>
      </w:r>
      <w:r>
        <w:rPr>
          <w:lang w:eastAsia="x-none"/>
        </w:rPr>
        <w:fldChar w:fldCharType="begin"/>
      </w:r>
      <w:r>
        <w:rPr>
          <w:lang w:eastAsia="x-none"/>
        </w:rPr>
        <w:instrText xml:space="preserve"> REF _Ref337721699 \h </w:instrText>
      </w:r>
      <w:r>
        <w:rPr>
          <w:lang w:eastAsia="x-none"/>
        </w:rPr>
      </w:r>
      <w:r>
        <w:rPr>
          <w:lang w:eastAsia="x-none"/>
        </w:rPr>
        <w:fldChar w:fldCharType="separate"/>
      </w:r>
      <w:r w:rsidR="00564E5C">
        <w:t xml:space="preserve">Figure </w:t>
      </w:r>
      <w:r w:rsidR="00564E5C">
        <w:rPr>
          <w:noProof/>
        </w:rPr>
        <w:t>3</w:t>
      </w:r>
      <w:r>
        <w:rPr>
          <w:lang w:eastAsia="x-none"/>
        </w:rPr>
        <w:fldChar w:fldCharType="end"/>
      </w:r>
      <w:r>
        <w:rPr>
          <w:lang w:eastAsia="x-none"/>
        </w:rPr>
        <w:t xml:space="preserve"> </w:t>
      </w:r>
      <w:r>
        <w:rPr>
          <w:lang w:eastAsia="x-none"/>
        </w:rPr>
        <w:fldChar w:fldCharType="begin"/>
      </w:r>
      <w:r w:rsidR="007625F3">
        <w:rPr>
          <w:lang w:eastAsia="x-none"/>
        </w:rPr>
        <w:instrText xml:space="preserve"> ADDIN EN.CITE &lt;EndNote&gt;&lt;Cite ExcludeAuth="1"&gt;&lt;Author&gt;Sustainability Victoria&lt;/Author&gt;&lt;Year&gt;2012&lt;/Year&gt;&lt;RecNum&gt;38&lt;/RecNum&gt;&lt;DisplayText&gt;(2012)&lt;/DisplayText&gt;&lt;record&gt;&lt;rec-number&gt;38&lt;/rec-number&gt;&lt;foreign-keys&gt;&lt;key app="EN" db-id="tfpv5staxsvs2nexzpp5taewzsvpx0er5fap"&gt;38&lt;/key&gt;&lt;/foreign-keys&gt;&lt;ref-type name="Report"&gt;27&lt;/ref-type&gt;&lt;contributors&gt;&lt;authors&gt;&lt;author&gt;Sustainability Victoria,&lt;/author&gt;&lt;/authors&gt;&lt;/contributors&gt;&lt;titles&gt;&lt;title&gt;Sustainability Victoria Strategic Plan 2012-15&lt;/title&gt;&lt;/titles&gt;&lt;dates&gt;&lt;year&gt;2012&lt;/year&gt;&lt;/dates&gt;&lt;pub-location&gt;Melbourne&lt;/pub-location&gt;&lt;urls&gt;&lt;/urls&gt;&lt;/record&gt;&lt;/Cite&gt;&lt;/EndNote&gt;</w:instrText>
      </w:r>
      <w:r>
        <w:rPr>
          <w:lang w:eastAsia="x-none"/>
        </w:rPr>
        <w:fldChar w:fldCharType="separate"/>
      </w:r>
      <w:r w:rsidR="0011459E">
        <w:rPr>
          <w:noProof/>
          <w:lang w:eastAsia="x-none"/>
        </w:rPr>
        <w:t>(</w:t>
      </w:r>
      <w:hyperlink w:anchor="_ENREF_75" w:tooltip="Sustainability Victoria, 2012 #38" w:history="1">
        <w:r w:rsidR="00F40CE2">
          <w:rPr>
            <w:noProof/>
            <w:lang w:eastAsia="x-none"/>
          </w:rPr>
          <w:t>2012</w:t>
        </w:r>
      </w:hyperlink>
      <w:r w:rsidR="0011459E">
        <w:rPr>
          <w:noProof/>
          <w:lang w:eastAsia="x-none"/>
        </w:rPr>
        <w:t>)</w:t>
      </w:r>
      <w:r>
        <w:rPr>
          <w:lang w:eastAsia="x-none"/>
        </w:rPr>
        <w:fldChar w:fldCharType="end"/>
      </w:r>
      <w:r w:rsidR="00CC2B77">
        <w:rPr>
          <w:lang w:eastAsia="x-none"/>
        </w:rPr>
        <w:t>.</w:t>
      </w:r>
    </w:p>
    <w:p w14:paraId="0D494254" w14:textId="77777777" w:rsidR="00CC2B77" w:rsidRDefault="00C20D75" w:rsidP="00CC2B77">
      <w:pPr>
        <w:keepNext/>
      </w:pPr>
      <w:r>
        <w:rPr>
          <w:noProof/>
        </w:rPr>
        <w:drawing>
          <wp:inline distT="0" distB="0" distL="0" distR="0" wp14:anchorId="0D4946D8" wp14:editId="66FE3916">
            <wp:extent cx="4592472" cy="994888"/>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287" cy="997014"/>
                    </a:xfrm>
                    <a:prstGeom prst="rect">
                      <a:avLst/>
                    </a:prstGeom>
                    <a:noFill/>
                    <a:ln>
                      <a:noFill/>
                    </a:ln>
                  </pic:spPr>
                </pic:pic>
              </a:graphicData>
            </a:graphic>
          </wp:inline>
        </w:drawing>
      </w:r>
    </w:p>
    <w:p w14:paraId="0D494255" w14:textId="4937A740" w:rsidR="00CC2B77" w:rsidRDefault="00CC2B77" w:rsidP="00CC2B77">
      <w:pPr>
        <w:pStyle w:val="Caption"/>
      </w:pPr>
      <w:bookmarkStart w:id="25" w:name="_Ref337721699"/>
      <w:bookmarkStart w:id="26" w:name="_Ref337107081"/>
      <w:r>
        <w:t xml:space="preserve">Figure </w:t>
      </w:r>
      <w:r w:rsidR="00FC7DE2">
        <w:fldChar w:fldCharType="begin"/>
      </w:r>
      <w:r w:rsidR="00FC7DE2">
        <w:instrText xml:space="preserve"> SEQ Figure \* ARABIC </w:instrText>
      </w:r>
      <w:r w:rsidR="00FC7DE2">
        <w:fldChar w:fldCharType="separate"/>
      </w:r>
      <w:r w:rsidR="00564E5C">
        <w:rPr>
          <w:noProof/>
        </w:rPr>
        <w:t>3</w:t>
      </w:r>
      <w:r w:rsidR="00FC7DE2">
        <w:rPr>
          <w:noProof/>
        </w:rPr>
        <w:fldChar w:fldCharType="end"/>
      </w:r>
      <w:bookmarkEnd w:id="25"/>
      <w:r>
        <w:rPr>
          <w:lang w:val="en-AU"/>
        </w:rPr>
        <w:t xml:space="preserve"> Sustainability Victoria's recovery objectives </w:t>
      </w:r>
      <w:r>
        <w:rPr>
          <w:lang w:val="en-AU"/>
        </w:rPr>
        <w:fldChar w:fldCharType="begin"/>
      </w:r>
      <w:r w:rsidR="00F40CE2">
        <w:rPr>
          <w:lang w:val="en-AU"/>
        </w:rPr>
        <w:instrText xml:space="preserve"> ADDIN EN.CITE &lt;EndNote&gt;&lt;Cite&gt;&lt;Author&gt;Sustainability Victoria&lt;/Author&gt;&lt;Year&gt;2012&lt;/Year&gt;&lt;RecNum&gt;38&lt;/RecNum&gt;&lt;DisplayText&gt;(Sustainability Victoria, 2012)&lt;/DisplayText&gt;&lt;record&gt;&lt;rec-number&gt;38&lt;/rec-number&gt;&lt;foreign-keys&gt;&lt;key app="EN" db-id="tfpv5staxsvs2nexzpp5taewzsvpx0er5fap"&gt;38&lt;/key&gt;&lt;/foreign-keys&gt;&lt;ref-type name="Report"&gt;27&lt;/ref-type&gt;&lt;contributors&gt;&lt;authors&gt;&lt;author&gt;Sustainability Victoria,&lt;/author&gt;&lt;/authors&gt;&lt;/contributors&gt;&lt;titles&gt;&lt;title&gt;Sustainability Victoria Strategic Plan 2012-15&lt;/title&gt;&lt;/titles&gt;&lt;dates&gt;&lt;year&gt;2012&lt;/year&gt;&lt;/dates&gt;&lt;pub-location&gt;Melbourne&lt;/pub-location&gt;&lt;urls&gt;&lt;/urls&gt;&lt;/record&gt;&lt;/Cite&gt;&lt;/EndNote&gt;</w:instrText>
      </w:r>
      <w:r>
        <w:rPr>
          <w:lang w:val="en-AU"/>
        </w:rPr>
        <w:fldChar w:fldCharType="separate"/>
      </w:r>
      <w:r w:rsidR="00F40CE2">
        <w:rPr>
          <w:noProof/>
          <w:lang w:val="en-AU"/>
        </w:rPr>
        <w:t>(</w:t>
      </w:r>
      <w:hyperlink w:anchor="_ENREF_75" w:tooltip="Sustainability Victoria, 2012 #38" w:history="1">
        <w:r w:rsidR="00F40CE2">
          <w:rPr>
            <w:noProof/>
            <w:lang w:val="en-AU"/>
          </w:rPr>
          <w:t>Sustainability Victoria, 2012</w:t>
        </w:r>
      </w:hyperlink>
      <w:r w:rsidR="00F40CE2">
        <w:rPr>
          <w:noProof/>
          <w:lang w:val="en-AU"/>
        </w:rPr>
        <w:t>)</w:t>
      </w:r>
      <w:r>
        <w:rPr>
          <w:lang w:val="en-AU"/>
        </w:rPr>
        <w:fldChar w:fldCharType="end"/>
      </w:r>
      <w:r>
        <w:rPr>
          <w:lang w:val="en-AU"/>
        </w:rPr>
        <w:t>.</w:t>
      </w:r>
      <w:bookmarkEnd w:id="26"/>
    </w:p>
    <w:p w14:paraId="0D494256" w14:textId="006293CB" w:rsidR="0061520F" w:rsidRDefault="00CC2B77" w:rsidP="0077229C">
      <w:pPr>
        <w:rPr>
          <w:lang w:eastAsia="x-none"/>
        </w:rPr>
      </w:pPr>
      <w:r>
        <w:rPr>
          <w:lang w:eastAsia="x-none"/>
        </w:rPr>
        <w:t>As the focus of this study is on kerbside recycling, it is worth considering the municipal waste sector which is composed predominantly of collected kerbside waste</w:t>
      </w:r>
      <w:r>
        <w:rPr>
          <w:rStyle w:val="FootnoteReference"/>
          <w:lang w:eastAsia="x-none"/>
        </w:rPr>
        <w:footnoteReference w:id="2"/>
      </w:r>
      <w:r>
        <w:rPr>
          <w:lang w:eastAsia="x-none"/>
        </w:rPr>
        <w:t>. In Victoria, in 2006/07, 1,056</w:t>
      </w:r>
      <w:r w:rsidR="00E82F90">
        <w:rPr>
          <w:lang w:eastAsia="x-none"/>
        </w:rPr>
        <w:t>,000 t</w:t>
      </w:r>
      <w:r>
        <w:rPr>
          <w:lang w:eastAsia="x-none"/>
        </w:rPr>
        <w:t xml:space="preserve"> of municipal waste were diverted from landfill of a total of 2</w:t>
      </w:r>
      <w:r w:rsidR="00C868A7">
        <w:rPr>
          <w:lang w:eastAsia="x-none"/>
        </w:rPr>
        <w:t>,</w:t>
      </w:r>
      <w:r>
        <w:rPr>
          <w:lang w:eastAsia="x-none"/>
        </w:rPr>
        <w:t>783</w:t>
      </w:r>
      <w:r w:rsidR="00E82F90">
        <w:rPr>
          <w:lang w:eastAsia="x-none"/>
        </w:rPr>
        <w:t>,000</w:t>
      </w:r>
      <w:r>
        <w:rPr>
          <w:lang w:eastAsia="x-none"/>
        </w:rPr>
        <w:t xml:space="preserve"> </w:t>
      </w:r>
      <w:r w:rsidR="00A94700">
        <w:rPr>
          <w:lang w:eastAsia="x-none"/>
        </w:rPr>
        <w:t>t</w:t>
      </w:r>
      <w:r>
        <w:rPr>
          <w:lang w:eastAsia="x-none"/>
        </w:rPr>
        <w:t xml:space="preserve"> generated, equating to a 38% diversion rate, slightly lower than the national diversion rate of 40%</w:t>
      </w:r>
      <w:r w:rsidR="00DE4755">
        <w:rPr>
          <w:lang w:eastAsia="x-none"/>
        </w:rPr>
        <w:t xml:space="preserve"> </w:t>
      </w:r>
      <w:r w:rsidR="00DE4755">
        <w:rPr>
          <w:lang w:eastAsia="x-none"/>
        </w:rPr>
        <w:fldChar w:fldCharType="begin"/>
      </w:r>
      <w:r w:rsidR="00DE4755">
        <w:rPr>
          <w:lang w:eastAsia="x-none"/>
        </w:rPr>
        <w:instrText xml:space="preserve"> REF _Ref337108449 \h </w:instrText>
      </w:r>
      <w:r w:rsidR="00DE4755">
        <w:rPr>
          <w:lang w:eastAsia="x-none"/>
        </w:rPr>
      </w:r>
      <w:r w:rsidR="00DE4755">
        <w:rPr>
          <w:lang w:eastAsia="x-none"/>
        </w:rPr>
        <w:fldChar w:fldCharType="separate"/>
      </w:r>
      <w:r w:rsidR="00564E5C">
        <w:t xml:space="preserve">Table </w:t>
      </w:r>
      <w:r w:rsidR="00564E5C">
        <w:rPr>
          <w:noProof/>
        </w:rPr>
        <w:t>6</w:t>
      </w:r>
      <w:r w:rsidR="00DE4755">
        <w:rPr>
          <w:lang w:eastAsia="x-none"/>
        </w:rPr>
        <w:fldChar w:fldCharType="end"/>
      </w:r>
      <w:r w:rsidR="00DE4755">
        <w:rPr>
          <w:lang w:eastAsia="x-none"/>
        </w:rPr>
        <w:t xml:space="preserve"> (Victorian and municipal sectors highlighted)</w:t>
      </w:r>
      <w:r>
        <w:rPr>
          <w:lang w:eastAsia="x-none"/>
        </w:rPr>
        <w:t>.</w:t>
      </w:r>
    </w:p>
    <w:p w14:paraId="0D494257" w14:textId="2CE0C9AB" w:rsidR="00DE4755" w:rsidRDefault="00DE4755" w:rsidP="00DE4755">
      <w:pPr>
        <w:pStyle w:val="Caption"/>
        <w:keepNext/>
      </w:pPr>
      <w:bookmarkStart w:id="27" w:name="_Ref337108449"/>
      <w:bookmarkStart w:id="28" w:name="_Ref337721621"/>
      <w:r>
        <w:t xml:space="preserve">Table </w:t>
      </w:r>
      <w:r w:rsidR="00FC7DE2">
        <w:fldChar w:fldCharType="begin"/>
      </w:r>
      <w:r w:rsidR="00FC7DE2">
        <w:instrText xml:space="preserve"> SEQ Table \* ARABIC </w:instrText>
      </w:r>
      <w:r w:rsidR="00FC7DE2">
        <w:fldChar w:fldCharType="separate"/>
      </w:r>
      <w:r w:rsidR="00564E5C">
        <w:rPr>
          <w:noProof/>
        </w:rPr>
        <w:t>6</w:t>
      </w:r>
      <w:r w:rsidR="00FC7DE2">
        <w:rPr>
          <w:noProof/>
        </w:rPr>
        <w:fldChar w:fldCharType="end"/>
      </w:r>
      <w:bookmarkEnd w:id="27"/>
      <w:r>
        <w:rPr>
          <w:lang w:val="en-AU"/>
        </w:rPr>
        <w:t xml:space="preserve"> Waste </w:t>
      </w:r>
      <w:r>
        <w:rPr>
          <w:noProof/>
          <w:lang w:val="en-AU"/>
        </w:rPr>
        <w:t>generation by sector across the states of Australia</w:t>
      </w:r>
      <w:r w:rsidR="00644A18">
        <w:rPr>
          <w:noProof/>
          <w:lang w:val="en-AU"/>
        </w:rPr>
        <w:t xml:space="preserve"> 2006/07</w:t>
      </w:r>
      <w:r>
        <w:rPr>
          <w:noProof/>
          <w:lang w:val="en-AU"/>
        </w:rPr>
        <w:t xml:space="preserve"> </w:t>
      </w:r>
      <w:r>
        <w:rPr>
          <w:noProof/>
          <w:lang w:val="en-AU"/>
        </w:rPr>
        <w:fldChar w:fldCharType="begin"/>
      </w:r>
      <w:r w:rsidR="00F40CE2">
        <w:rPr>
          <w:noProof/>
          <w:lang w:val="en-AU"/>
        </w:rPr>
        <w:instrText xml:space="preserve"> ADDIN EN.CITE &lt;EndNote&gt;&lt;Cite&gt;&lt;Author&gt;Hyder Consulting&lt;/Author&gt;&lt;Year&gt;2009&lt;/Year&gt;&lt;RecNum&gt;37&lt;/RecNum&gt;&lt;DisplayText&gt;(Hyder Consulting, 2009)&lt;/DisplayText&gt;&lt;record&gt;&lt;rec-number&gt;37&lt;/rec-number&gt;&lt;foreign-keys&gt;&lt;key app="EN" db-id="tfpv5staxsvs2nexzpp5taewzsvpx0er5fap"&gt;37&lt;/key&gt;&lt;/foreign-keys&gt;&lt;ref-type name="Report"&gt;27&lt;/ref-type&gt;&lt;contributors&gt;&lt;authors&gt;&lt;author&gt;Hyder Consulting,&lt;/author&gt;&lt;/authors&gt;&lt;/contributors&gt;&lt;titles&gt;&lt;title&gt;Waste and Recycling in Australia - Ammended Report&lt;/title&gt;&lt;/titles&gt;&lt;dates&gt;&lt;year&gt;2009&lt;/year&gt;&lt;/dates&gt;&lt;pub-location&gt;Canberra&lt;/pub-location&gt;&lt;publisher&gt;Department of Environment, Heritage, Water and the Arts&lt;/publisher&gt;&lt;urls&gt;&lt;/urls&gt;&lt;/record&gt;&lt;/Cite&gt;&lt;/EndNote&gt;</w:instrText>
      </w:r>
      <w:r>
        <w:rPr>
          <w:noProof/>
          <w:lang w:val="en-AU"/>
        </w:rPr>
        <w:fldChar w:fldCharType="separate"/>
      </w:r>
      <w:r w:rsidR="00F40CE2">
        <w:rPr>
          <w:noProof/>
          <w:lang w:val="en-AU"/>
        </w:rPr>
        <w:t>(</w:t>
      </w:r>
      <w:hyperlink w:anchor="_ENREF_46" w:tooltip="Hyder Consulting, 2009 #37" w:history="1">
        <w:r w:rsidR="00F40CE2">
          <w:rPr>
            <w:noProof/>
            <w:lang w:val="en-AU"/>
          </w:rPr>
          <w:t>Hyder Consulting, 2009</w:t>
        </w:r>
      </w:hyperlink>
      <w:r w:rsidR="00F40CE2">
        <w:rPr>
          <w:noProof/>
          <w:lang w:val="en-AU"/>
        </w:rPr>
        <w:t>)</w:t>
      </w:r>
      <w:r>
        <w:rPr>
          <w:noProof/>
          <w:lang w:val="en-AU"/>
        </w:rPr>
        <w:fldChar w:fldCharType="end"/>
      </w:r>
      <w:r>
        <w:rPr>
          <w:noProof/>
          <w:lang w:val="en-AU"/>
        </w:rPr>
        <w:t>. Victorian state results, and municipal sector results highlighted.</w:t>
      </w:r>
      <w:bookmarkEnd w:id="28"/>
    </w:p>
    <w:p w14:paraId="0D494258" w14:textId="77777777" w:rsidR="00DE4755" w:rsidRDefault="00C20D75" w:rsidP="00DE4755">
      <w:pPr>
        <w:rPr>
          <w:lang w:eastAsia="x-none"/>
        </w:rPr>
      </w:pPr>
      <w:r>
        <w:rPr>
          <w:noProof/>
        </w:rPr>
        <mc:AlternateContent>
          <mc:Choice Requires="wps">
            <w:drawing>
              <wp:anchor distT="0" distB="0" distL="114300" distR="114300" simplePos="0" relativeHeight="251759616" behindDoc="0" locked="0" layoutInCell="1" allowOverlap="1" wp14:anchorId="0D4946DA" wp14:editId="0D4946DB">
                <wp:simplePos x="0" y="0"/>
                <wp:positionH relativeFrom="column">
                  <wp:posOffset>26035</wp:posOffset>
                </wp:positionH>
                <wp:positionV relativeFrom="paragraph">
                  <wp:posOffset>478155</wp:posOffset>
                </wp:positionV>
                <wp:extent cx="5676265" cy="172720"/>
                <wp:effectExtent l="6985" t="11430" r="12700" b="635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727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05pt;margin-top:37.65pt;width:446.95pt;height:1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" filled="f" strokecolor="red"/>
            </w:pict>
          </mc:Fallback>
        </mc:AlternateContent>
      </w:r>
      <w:r>
        <w:rPr>
          <w:noProof/>
        </w:rPr>
        <mc:AlternateContent>
          <mc:Choice Requires="wps">
            <w:drawing>
              <wp:anchor distT="0" distB="0" distL="114300" distR="114300" simplePos="0" relativeHeight="251724800" behindDoc="0" locked="0" layoutInCell="1" allowOverlap="1" wp14:anchorId="0D4946DC" wp14:editId="0D4946DD">
                <wp:simplePos x="0" y="0"/>
                <wp:positionH relativeFrom="column">
                  <wp:posOffset>419735</wp:posOffset>
                </wp:positionH>
                <wp:positionV relativeFrom="paragraph">
                  <wp:posOffset>148590</wp:posOffset>
                </wp:positionV>
                <wp:extent cx="414655" cy="1725295"/>
                <wp:effectExtent l="10160" t="5715" r="13335" b="12065"/>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17252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3.05pt;margin-top:11.7pt;width:32.65pt;height:13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" filled="f" strokecolor="red"/>
            </w:pict>
          </mc:Fallback>
        </mc:AlternateContent>
      </w:r>
      <w:r>
        <w:rPr>
          <w:noProof/>
        </w:rPr>
        <mc:AlternateContent>
          <mc:Choice Requires="wps">
            <w:drawing>
              <wp:anchor distT="0" distB="0" distL="114300" distR="114300" simplePos="0" relativeHeight="251534336" behindDoc="0" locked="0" layoutInCell="1" allowOverlap="1" wp14:anchorId="0D4946DE" wp14:editId="0D4946DF">
                <wp:simplePos x="0" y="0"/>
                <wp:positionH relativeFrom="column">
                  <wp:posOffset>2130425</wp:posOffset>
                </wp:positionH>
                <wp:positionV relativeFrom="paragraph">
                  <wp:posOffset>148590</wp:posOffset>
                </wp:positionV>
                <wp:extent cx="414655" cy="1725295"/>
                <wp:effectExtent l="6350" t="5715" r="7620" b="12065"/>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17252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67.75pt;margin-top:11.7pt;width:32.65pt;height:13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" filled="f" strokecolor="red"/>
            </w:pict>
          </mc:Fallback>
        </mc:AlternateContent>
      </w:r>
      <w:r>
        <w:rPr>
          <w:noProof/>
        </w:rPr>
        <mc:AlternateContent>
          <mc:Choice Requires="wps">
            <w:drawing>
              <wp:anchor distT="0" distB="0" distL="114300" distR="114300" simplePos="0" relativeHeight="251603968" behindDoc="0" locked="0" layoutInCell="1" allowOverlap="1" wp14:anchorId="0D4946E0" wp14:editId="0D4946E1">
                <wp:simplePos x="0" y="0"/>
                <wp:positionH relativeFrom="column">
                  <wp:posOffset>3881120</wp:posOffset>
                </wp:positionH>
                <wp:positionV relativeFrom="paragraph">
                  <wp:posOffset>148590</wp:posOffset>
                </wp:positionV>
                <wp:extent cx="414655" cy="1725295"/>
                <wp:effectExtent l="13970" t="5715" r="9525" b="12065"/>
                <wp:wrapNone/>
                <wp:docPr id="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17252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5.6pt;margin-top:11.7pt;width:32.65pt;height:13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" filled="f" strokecolor="red"/>
            </w:pict>
          </mc:Fallback>
        </mc:AlternateContent>
      </w:r>
      <w:r>
        <w:rPr>
          <w:noProof/>
        </w:rPr>
        <w:drawing>
          <wp:inline distT="0" distB="0" distL="0" distR="0" wp14:anchorId="0D4946E2" wp14:editId="0D4946E3">
            <wp:extent cx="5724525" cy="18573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1857375"/>
                    </a:xfrm>
                    <a:prstGeom prst="rect">
                      <a:avLst/>
                    </a:prstGeom>
                    <a:noFill/>
                    <a:ln>
                      <a:noFill/>
                    </a:ln>
                  </pic:spPr>
                </pic:pic>
              </a:graphicData>
            </a:graphic>
          </wp:inline>
        </w:drawing>
      </w:r>
    </w:p>
    <w:p w14:paraId="0D494259" w14:textId="77777777" w:rsidR="00CC2B77" w:rsidRDefault="009365CD" w:rsidP="0077229C">
      <w:pPr>
        <w:rPr>
          <w:lang w:eastAsia="x-none"/>
        </w:rPr>
      </w:pPr>
      <w:r>
        <w:rPr>
          <w:lang w:eastAsia="x-none"/>
        </w:rPr>
        <w:t xml:space="preserve">From a Victorian perspective, </w:t>
      </w:r>
      <w:r w:rsidR="00CC2B77">
        <w:rPr>
          <w:lang w:eastAsia="x-none"/>
        </w:rPr>
        <w:t>S</w:t>
      </w:r>
      <w:r w:rsidR="00862889">
        <w:rPr>
          <w:lang w:eastAsia="x-none"/>
        </w:rPr>
        <w:t>V</w:t>
      </w:r>
      <w:r w:rsidR="00CC2B77">
        <w:rPr>
          <w:lang w:eastAsia="x-none"/>
        </w:rPr>
        <w:t xml:space="preserve"> has undertaken its own reporting that shows that waste diversion rates have increased from 62% in the 2006/07 timeframe to 66% in the 2009/10 timeframe </w:t>
      </w:r>
      <w:r w:rsidR="00DE4755">
        <w:rPr>
          <w:lang w:eastAsia="x-none"/>
        </w:rPr>
        <w:t>(</w:t>
      </w:r>
      <w:r w:rsidR="00DE4755">
        <w:rPr>
          <w:lang w:eastAsia="x-none"/>
        </w:rPr>
        <w:fldChar w:fldCharType="begin"/>
      </w:r>
      <w:r w:rsidR="00DE4755">
        <w:rPr>
          <w:lang w:eastAsia="x-none"/>
        </w:rPr>
        <w:instrText xml:space="preserve"> REF _Ref337108633 \h </w:instrText>
      </w:r>
      <w:r w:rsidR="00DE4755">
        <w:rPr>
          <w:lang w:eastAsia="x-none"/>
        </w:rPr>
      </w:r>
      <w:r w:rsidR="00DE4755">
        <w:rPr>
          <w:lang w:eastAsia="x-none"/>
        </w:rPr>
        <w:fldChar w:fldCharType="separate"/>
      </w:r>
      <w:r w:rsidR="00564E5C">
        <w:t xml:space="preserve">Figure </w:t>
      </w:r>
      <w:r w:rsidR="00564E5C">
        <w:rPr>
          <w:noProof/>
        </w:rPr>
        <w:t>4</w:t>
      </w:r>
      <w:r w:rsidR="00DE4755">
        <w:rPr>
          <w:lang w:eastAsia="x-none"/>
        </w:rPr>
        <w:fldChar w:fldCharType="end"/>
      </w:r>
      <w:r w:rsidR="00DE4755">
        <w:rPr>
          <w:lang w:eastAsia="x-none"/>
        </w:rPr>
        <w:t>).</w:t>
      </w:r>
    </w:p>
    <w:p w14:paraId="0D49425A" w14:textId="77777777" w:rsidR="00862889" w:rsidRDefault="00C20D75" w:rsidP="00862889">
      <w:pPr>
        <w:spacing w:after="0"/>
        <w:rPr>
          <w:lang w:eastAsia="x-none"/>
        </w:rPr>
      </w:pPr>
      <w:r>
        <w:rPr>
          <w:noProof/>
        </w:rPr>
        <w:drawing>
          <wp:inline distT="0" distB="0" distL="0" distR="0" wp14:anchorId="0D4946E4" wp14:editId="152AE034">
            <wp:extent cx="4923183" cy="2408271"/>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503" cy="2409406"/>
                    </a:xfrm>
                    <a:prstGeom prst="rect">
                      <a:avLst/>
                    </a:prstGeom>
                    <a:noFill/>
                    <a:ln>
                      <a:noFill/>
                    </a:ln>
                  </pic:spPr>
                </pic:pic>
              </a:graphicData>
            </a:graphic>
          </wp:inline>
        </w:drawing>
      </w:r>
    </w:p>
    <w:p w14:paraId="0D49425B" w14:textId="2FDDF393" w:rsidR="00CC2B77" w:rsidRDefault="00CC2B77" w:rsidP="00CC2B77">
      <w:pPr>
        <w:pStyle w:val="Caption"/>
      </w:pPr>
      <w:bookmarkStart w:id="29" w:name="_Ref337108633"/>
      <w:r>
        <w:t xml:space="preserve">Figure </w:t>
      </w:r>
      <w:r w:rsidR="00FC7DE2">
        <w:fldChar w:fldCharType="begin"/>
      </w:r>
      <w:r w:rsidR="00FC7DE2">
        <w:instrText xml:space="preserve"> SEQ Figure \* ARABIC </w:instrText>
      </w:r>
      <w:r w:rsidR="00FC7DE2">
        <w:fldChar w:fldCharType="separate"/>
      </w:r>
      <w:r w:rsidR="00564E5C">
        <w:rPr>
          <w:noProof/>
        </w:rPr>
        <w:t>4</w:t>
      </w:r>
      <w:r w:rsidR="00FC7DE2">
        <w:rPr>
          <w:noProof/>
        </w:rPr>
        <w:fldChar w:fldCharType="end"/>
      </w:r>
      <w:bookmarkEnd w:id="29"/>
      <w:r>
        <w:rPr>
          <w:lang w:val="en-AU"/>
        </w:rPr>
        <w:t xml:space="preserve"> Resource recovery rate of solid waste</w:t>
      </w:r>
      <w:r w:rsidR="00DE4755">
        <w:rPr>
          <w:lang w:val="en-AU"/>
        </w:rPr>
        <w:t xml:space="preserve"> </w:t>
      </w:r>
      <w:r w:rsidR="00DE4755">
        <w:rPr>
          <w:lang w:val="en-AU"/>
        </w:rPr>
        <w:fldChar w:fldCharType="begin"/>
      </w:r>
      <w:r w:rsidR="00F40CE2">
        <w:rPr>
          <w:lang w:val="en-AU"/>
        </w:rPr>
        <w:instrText xml:space="preserve"> ADDIN EN.CITE &lt;EndNote&gt;&lt;Cite&gt;&lt;Author&gt;Sustainability Victoria&lt;/Author&gt;&lt;Year&gt;2011&lt;/Year&gt;&lt;RecNum&gt;35&lt;/RecNum&gt;&lt;DisplayText&gt;(Sustainability Victoria, 2011b)&lt;/DisplayText&gt;&lt;record&gt;&lt;rec-number&gt;35&lt;/rec-number&gt;&lt;foreign-keys&gt;&lt;key app="EN" db-id="tfpv5staxsvs2nexzpp5taewzsvpx0er5fap"&gt;35&lt;/key&gt;&lt;/foreign-keys&gt;&lt;ref-type name="Report"&gt;27&lt;/ref-type&gt;&lt;contributors&gt;&lt;authors&gt;&lt;author&gt;Sustainability Victoria,&lt;/author&gt;&lt;/authors&gt;&lt;/contributors&gt;&lt;titles&gt;&lt;title&gt;Victorian Recycling Industries Annual Survey 2009-10&lt;/title&gt;&lt;/titles&gt;&lt;dates&gt;&lt;year&gt;2011&lt;/year&gt;&lt;/dates&gt;&lt;urls&gt;&lt;/urls&gt;&lt;/record&gt;&lt;/Cite&gt;&lt;/EndNote&gt;</w:instrText>
      </w:r>
      <w:r w:rsidR="00DE4755">
        <w:rPr>
          <w:lang w:val="en-AU"/>
        </w:rPr>
        <w:fldChar w:fldCharType="separate"/>
      </w:r>
      <w:r w:rsidR="00F40CE2">
        <w:rPr>
          <w:noProof/>
          <w:lang w:val="en-AU"/>
        </w:rPr>
        <w:t>(</w:t>
      </w:r>
      <w:hyperlink w:anchor="_ENREF_74" w:tooltip="Sustainability Victoria, 2011 #35" w:history="1">
        <w:r w:rsidR="00F40CE2">
          <w:rPr>
            <w:noProof/>
            <w:lang w:val="en-AU"/>
          </w:rPr>
          <w:t>Sustainability Victoria, 2011b</w:t>
        </w:r>
      </w:hyperlink>
      <w:r w:rsidR="00F40CE2">
        <w:rPr>
          <w:noProof/>
          <w:lang w:val="en-AU"/>
        </w:rPr>
        <w:t>)</w:t>
      </w:r>
      <w:r w:rsidR="00DE4755">
        <w:rPr>
          <w:lang w:val="en-AU"/>
        </w:rPr>
        <w:fldChar w:fldCharType="end"/>
      </w:r>
      <w:r>
        <w:rPr>
          <w:lang w:val="en-AU"/>
        </w:rPr>
        <w:t>.</w:t>
      </w:r>
    </w:p>
    <w:p w14:paraId="0D49425C" w14:textId="4BB1A258" w:rsidR="00CE3294" w:rsidRDefault="004B0F92" w:rsidP="009C5EB2">
      <w:r w:rsidRPr="004B0F92">
        <w:lastRenderedPageBreak/>
        <w:t xml:space="preserve">Sustainability Victoria </w:t>
      </w:r>
      <w:r w:rsidR="009A08F4">
        <w:fldChar w:fldCharType="begin"/>
      </w:r>
      <w:r w:rsidR="007625F3">
        <w:instrText xml:space="preserve"> ADDIN EN.CITE &lt;EndNote&gt;&lt;Cite ExcludeAuth="1"&gt;&lt;Author&gt;Sustainability Victoria&lt;/Author&gt;&lt;Year&gt;2011&lt;/Year&gt;&lt;RecNum&gt;35&lt;/RecNum&gt;&lt;DisplayText&gt;(2011b)&lt;/DisplayText&gt;&lt;record&gt;&lt;rec-number&gt;35&lt;/rec-number&gt;&lt;foreign-keys&gt;&lt;key app="EN" db-id="tfpv5staxsvs2nexzpp5taewzsvpx0er5fap"&gt;35&lt;/key&gt;&lt;/foreign-keys&gt;&lt;ref-type name="Report"&gt;27&lt;/ref-type&gt;&lt;contributors&gt;&lt;authors&gt;&lt;author&gt;Sustainability Victoria,&lt;/author&gt;&lt;/authors&gt;&lt;/contributors&gt;&lt;titles&gt;&lt;title&gt;Victorian Recycling Industries Annual Survey 2009-10&lt;/title&gt;&lt;/titles&gt;&lt;dates&gt;&lt;year&gt;2011&lt;/year&gt;&lt;/dates&gt;&lt;urls&gt;&lt;/urls&gt;&lt;/record&gt;&lt;/Cite&gt;&lt;/EndNote&gt;</w:instrText>
      </w:r>
      <w:r w:rsidR="009A08F4">
        <w:fldChar w:fldCharType="separate"/>
      </w:r>
      <w:r>
        <w:rPr>
          <w:noProof/>
        </w:rPr>
        <w:t>(</w:t>
      </w:r>
      <w:hyperlink w:anchor="_ENREF_74" w:tooltip="Sustainability Victoria, 2011 #35" w:history="1">
        <w:r w:rsidR="00F40CE2">
          <w:rPr>
            <w:noProof/>
          </w:rPr>
          <w:t>2011b</w:t>
        </w:r>
      </w:hyperlink>
      <w:r>
        <w:rPr>
          <w:noProof/>
        </w:rPr>
        <w:t>)</w:t>
      </w:r>
      <w:r w:rsidR="009A08F4">
        <w:fldChar w:fldCharType="end"/>
      </w:r>
      <w:r w:rsidR="009A08F4">
        <w:t xml:space="preserve"> presents the breakdown of the total waste diversion rate in a manner that makes it difficult to discern the total waste disposed of by the municipal sector, making it impossible to calculate a municipal diversion rate comparable to the 38% rate described in </w:t>
      </w:r>
      <w:r w:rsidR="009A08F4">
        <w:fldChar w:fldCharType="begin"/>
      </w:r>
      <w:r w:rsidR="00F40CE2">
        <w:instrText xml:space="preserve"> ADDIN EN.CITE &lt;EndNote&gt;&lt;Cite&gt;&lt;Author&gt;Hyder Consulting&lt;/Author&gt;&lt;Year&gt;2009&lt;/Year&gt;&lt;RecNum&gt;37&lt;/RecNum&gt;&lt;DisplayText&gt;(Hyder Consulting, 2009)&lt;/DisplayText&gt;&lt;record&gt;&lt;rec-number&gt;37&lt;/rec-number&gt;&lt;foreign-keys&gt;&lt;key app="EN" db-id="tfpv5staxsvs2nexzpp5taewzsvpx0er5fap"&gt;37&lt;/key&gt;&lt;/foreign-keys&gt;&lt;ref-type name="Report"&gt;27&lt;/ref-type&gt;&lt;contributors&gt;&lt;authors&gt;&lt;author&gt;Hyder Consulting,&lt;/author&gt;&lt;/authors&gt;&lt;/contributors&gt;&lt;titles&gt;&lt;title&gt;Waste and Recycling in Australia - Ammended Report&lt;/title&gt;&lt;/titles&gt;&lt;dates&gt;&lt;year&gt;2009&lt;/year&gt;&lt;/dates&gt;&lt;pub-location&gt;Canberra&lt;/pub-location&gt;&lt;publisher&gt;Department of Environment, Heritage, Water and the Arts&lt;/publisher&gt;&lt;urls&gt;&lt;/urls&gt;&lt;/record&gt;&lt;/Cite&gt;&lt;/EndNote&gt;</w:instrText>
      </w:r>
      <w:r w:rsidR="009A08F4">
        <w:fldChar w:fldCharType="separate"/>
      </w:r>
      <w:r w:rsidR="00F40CE2">
        <w:rPr>
          <w:noProof/>
        </w:rPr>
        <w:t>(</w:t>
      </w:r>
      <w:hyperlink w:anchor="_ENREF_46" w:tooltip="Hyder Consulting, 2009 #37" w:history="1">
        <w:r w:rsidR="00F40CE2">
          <w:rPr>
            <w:noProof/>
          </w:rPr>
          <w:t>Hyder Consulting, 2009</w:t>
        </w:r>
      </w:hyperlink>
      <w:r w:rsidR="00F40CE2">
        <w:rPr>
          <w:noProof/>
        </w:rPr>
        <w:t>)</w:t>
      </w:r>
      <w:r w:rsidR="009A08F4">
        <w:fldChar w:fldCharType="end"/>
      </w:r>
      <w:r w:rsidR="009A08F4">
        <w:t>.</w:t>
      </w:r>
    </w:p>
    <w:p w14:paraId="0D49425D" w14:textId="2B889620" w:rsidR="00E878CF" w:rsidRDefault="00FE08D6" w:rsidP="009C5EB2">
      <w:r>
        <w:t>Utilising</w:t>
      </w:r>
      <w:r w:rsidR="004B0F92">
        <w:t xml:space="preserve"> </w:t>
      </w:r>
      <w:r w:rsidR="004B0F92" w:rsidRPr="004B0F92">
        <w:t>Sustainability Victoria</w:t>
      </w:r>
      <w:r>
        <w:t xml:space="preserve"> </w:t>
      </w:r>
      <w:r w:rsidR="001D5D71">
        <w:fldChar w:fldCharType="begin"/>
      </w:r>
      <w:r w:rsidR="007625F3">
        <w:instrText xml:space="preserve"> ADDIN EN.CITE &lt;EndNote&gt;&lt;Cite ExcludeAuth="1"&gt;&lt;Author&gt;Sustainability Victoria&lt;/Author&gt;&lt;Year&gt;2011&lt;/Year&gt;&lt;RecNum&gt;39&lt;/RecNum&gt;&lt;DisplayText&gt;(2011a)&lt;/DisplayText&gt;&lt;record&gt;&lt;rec-number&gt;39&lt;/rec-number&gt;&lt;foreign-keys&gt;&lt;key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1D5D71">
        <w:fldChar w:fldCharType="separate"/>
      </w:r>
      <w:r w:rsidR="004B0F92">
        <w:rPr>
          <w:noProof/>
        </w:rPr>
        <w:t>(</w:t>
      </w:r>
      <w:hyperlink w:anchor="_ENREF_73" w:tooltip="Sustainability Victoria, 2011 #39" w:history="1">
        <w:r w:rsidR="00F40CE2">
          <w:rPr>
            <w:noProof/>
          </w:rPr>
          <w:t>2011a</w:t>
        </w:r>
      </w:hyperlink>
      <w:r w:rsidR="004B0F92">
        <w:rPr>
          <w:noProof/>
        </w:rPr>
        <w:t>)</w:t>
      </w:r>
      <w:r w:rsidR="001D5D71">
        <w:fldChar w:fldCharType="end"/>
      </w:r>
      <w:r w:rsidR="004B0F92">
        <w:t xml:space="preserve"> data</w:t>
      </w:r>
      <w:r w:rsidR="001D5D71">
        <w:t xml:space="preserve">, it is possible to </w:t>
      </w:r>
      <w:r w:rsidR="00644A18">
        <w:t xml:space="preserve">directly calculate a diversion rate for kerbside services provided </w:t>
      </w:r>
      <w:r w:rsidR="006D454C">
        <w:t>state-wide</w:t>
      </w:r>
      <w:r w:rsidR="009876E0">
        <w:t xml:space="preserve"> in 2009/10</w:t>
      </w:r>
      <w:r w:rsidR="00644A18">
        <w:t xml:space="preserve">. This shows that 44% of waste disposed of at the kerbside is currently </w:t>
      </w:r>
      <w:r w:rsidR="009876E0">
        <w:t>diverted from landfill. This figure includes organic materials. It is unclear if the reported total kerbside waste of 1,987,618</w:t>
      </w:r>
      <w:r w:rsidR="004611BE">
        <w:t xml:space="preserve"> </w:t>
      </w:r>
      <w:r w:rsidR="00E82F90">
        <w:t xml:space="preserve">t </w:t>
      </w:r>
      <w:r w:rsidR="009876E0">
        <w:t xml:space="preserve">includes hard rubbish disposal (external to provided bins) of 71,000 </w:t>
      </w:r>
      <w:r w:rsidR="00E82F90">
        <w:t>t</w:t>
      </w:r>
      <w:r w:rsidR="009876E0">
        <w:t xml:space="preserve"> (potential</w:t>
      </w:r>
      <w:r w:rsidR="004611BE">
        <w:t>ly 3.5% of total waste disposed-</w:t>
      </w:r>
      <w:r w:rsidR="009876E0">
        <w:t>of at the kerbside).</w:t>
      </w:r>
    </w:p>
    <w:p w14:paraId="0D494260" w14:textId="26E4EFA0" w:rsidR="00E878CF" w:rsidRDefault="00E878CF" w:rsidP="00E878CF">
      <w:pPr>
        <w:pStyle w:val="Caption"/>
      </w:pPr>
      <w:r>
        <w:t xml:space="preserve">Table </w:t>
      </w:r>
      <w:r w:rsidR="00FC7DE2">
        <w:fldChar w:fldCharType="begin"/>
      </w:r>
      <w:r w:rsidR="00FC7DE2">
        <w:instrText xml:space="preserve"> SEQ Table \* ARABIC </w:instrText>
      </w:r>
      <w:r w:rsidR="00FC7DE2">
        <w:fldChar w:fldCharType="separate"/>
      </w:r>
      <w:r w:rsidR="00564E5C">
        <w:rPr>
          <w:noProof/>
        </w:rPr>
        <w:t>7</w:t>
      </w:r>
      <w:r w:rsidR="00FC7DE2">
        <w:rPr>
          <w:noProof/>
        </w:rPr>
        <w:fldChar w:fldCharType="end"/>
      </w:r>
      <w:r>
        <w:rPr>
          <w:lang w:val="en-AU"/>
        </w:rPr>
        <w:t xml:space="preserve"> Kerbside waste collected by local government 2009/10 </w:t>
      </w:r>
      <w:r>
        <w:rPr>
          <w:lang w:val="en-AU"/>
        </w:rPr>
        <w:fldChar w:fldCharType="begin"/>
      </w:r>
      <w:r w:rsidR="00F40CE2">
        <w:rPr>
          <w:lang w:val="en-AU"/>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Pr>
          <w:lang w:val="en-AU"/>
        </w:rPr>
        <w:fldChar w:fldCharType="separate"/>
      </w:r>
      <w:r w:rsidR="00F40CE2">
        <w:rPr>
          <w:noProof/>
          <w:lang w:val="en-AU"/>
        </w:rPr>
        <w:t>(</w:t>
      </w:r>
      <w:hyperlink w:anchor="_ENREF_73" w:tooltip="Sustainability Victoria, 2011 #39" w:history="1">
        <w:r w:rsidR="00F40CE2">
          <w:rPr>
            <w:noProof/>
            <w:lang w:val="en-AU"/>
          </w:rPr>
          <w:t>Sustainability Victoria, 2011a</w:t>
        </w:r>
      </w:hyperlink>
      <w:r w:rsidR="00F40CE2">
        <w:rPr>
          <w:noProof/>
          <w:lang w:val="en-AU"/>
        </w:rPr>
        <w:t>)</w:t>
      </w:r>
      <w:r>
        <w:rPr>
          <w:lang w:val="en-AU"/>
        </w:rPr>
        <w:fldChar w:fldCharType="end"/>
      </w:r>
      <w:r>
        <w:rPr>
          <w:lang w:val="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540"/>
        <w:gridCol w:w="1050"/>
        <w:gridCol w:w="1158"/>
      </w:tblGrid>
      <w:tr w:rsidR="009876E0" w14:paraId="0D494269" w14:textId="77777777" w:rsidTr="00421922">
        <w:tc>
          <w:tcPr>
            <w:tcW w:w="2940" w:type="dxa"/>
            <w:shd w:val="clear" w:color="auto" w:fill="D9D9D9"/>
          </w:tcPr>
          <w:p w14:paraId="0D494261" w14:textId="77777777" w:rsidR="009876E0" w:rsidRDefault="009C5EB2" w:rsidP="00CE4966">
            <w:pPr>
              <w:spacing w:after="0"/>
              <w:rPr>
                <w:lang w:eastAsia="x-none"/>
              </w:rPr>
            </w:pPr>
            <w:r>
              <w:rPr>
                <w:lang w:eastAsia="x-none"/>
              </w:rPr>
              <w:t>Stream</w:t>
            </w:r>
          </w:p>
        </w:tc>
        <w:tc>
          <w:tcPr>
            <w:tcW w:w="1540" w:type="dxa"/>
            <w:shd w:val="clear" w:color="auto" w:fill="D9D9D9"/>
          </w:tcPr>
          <w:p w14:paraId="6A107ABE" w14:textId="3728DC14" w:rsidR="00E82F90" w:rsidRDefault="00E82F90" w:rsidP="00CE4966">
            <w:pPr>
              <w:spacing w:after="0"/>
              <w:jc w:val="center"/>
              <w:rPr>
                <w:lang w:eastAsia="x-none"/>
              </w:rPr>
            </w:pPr>
            <w:r>
              <w:rPr>
                <w:lang w:eastAsia="x-none"/>
              </w:rPr>
              <w:t>Mass</w:t>
            </w:r>
          </w:p>
          <w:p w14:paraId="0D494262" w14:textId="1522079A" w:rsidR="009876E0" w:rsidRDefault="00E82F90" w:rsidP="00CE4966">
            <w:pPr>
              <w:spacing w:after="0"/>
              <w:jc w:val="center"/>
              <w:rPr>
                <w:lang w:eastAsia="x-none"/>
              </w:rPr>
            </w:pPr>
            <w:r>
              <w:rPr>
                <w:lang w:eastAsia="x-none"/>
              </w:rPr>
              <w:t>(t)</w:t>
            </w:r>
            <w:r w:rsidR="007C604A">
              <w:rPr>
                <w:lang w:eastAsia="x-none"/>
              </w:rPr>
              <w:t>*</w:t>
            </w:r>
          </w:p>
          <w:p w14:paraId="0D494263" w14:textId="77777777" w:rsidR="009876E0" w:rsidRDefault="009876E0" w:rsidP="00CE4966">
            <w:pPr>
              <w:spacing w:after="0"/>
              <w:jc w:val="center"/>
              <w:rPr>
                <w:lang w:eastAsia="x-none"/>
              </w:rPr>
            </w:pPr>
          </w:p>
          <w:p w14:paraId="0D494264" w14:textId="77777777" w:rsidR="009876E0" w:rsidRDefault="009876E0" w:rsidP="00CE4966">
            <w:pPr>
              <w:spacing w:after="0"/>
              <w:jc w:val="center"/>
              <w:rPr>
                <w:lang w:eastAsia="x-none"/>
              </w:rPr>
            </w:pPr>
            <w:r>
              <w:rPr>
                <w:lang w:eastAsia="x-none"/>
              </w:rPr>
              <w:t>2009/10</w:t>
            </w:r>
          </w:p>
        </w:tc>
        <w:tc>
          <w:tcPr>
            <w:tcW w:w="1050" w:type="dxa"/>
            <w:shd w:val="clear" w:color="auto" w:fill="D9D9D9"/>
          </w:tcPr>
          <w:p w14:paraId="0D494265" w14:textId="77777777" w:rsidR="009876E0" w:rsidRDefault="009876E0" w:rsidP="00CE4966">
            <w:pPr>
              <w:spacing w:after="0"/>
              <w:jc w:val="center"/>
              <w:rPr>
                <w:lang w:eastAsia="x-none"/>
              </w:rPr>
            </w:pPr>
            <w:r>
              <w:rPr>
                <w:lang w:eastAsia="x-none"/>
              </w:rPr>
              <w:t xml:space="preserve">Diversion </w:t>
            </w:r>
          </w:p>
          <w:p w14:paraId="0D494266" w14:textId="77777777" w:rsidR="009876E0" w:rsidRDefault="009876E0" w:rsidP="00CE4966">
            <w:pPr>
              <w:spacing w:after="0"/>
              <w:jc w:val="center"/>
              <w:rPr>
                <w:lang w:eastAsia="x-none"/>
              </w:rPr>
            </w:pPr>
          </w:p>
          <w:p w14:paraId="0D494267" w14:textId="77777777" w:rsidR="009876E0" w:rsidRDefault="009876E0" w:rsidP="00CE4966">
            <w:pPr>
              <w:spacing w:after="0"/>
              <w:jc w:val="center"/>
              <w:rPr>
                <w:lang w:eastAsia="x-none"/>
              </w:rPr>
            </w:pPr>
            <w:r>
              <w:rPr>
                <w:lang w:eastAsia="x-none"/>
              </w:rPr>
              <w:t>2009/10</w:t>
            </w:r>
          </w:p>
        </w:tc>
        <w:tc>
          <w:tcPr>
            <w:tcW w:w="1158" w:type="dxa"/>
            <w:shd w:val="clear" w:color="auto" w:fill="D9D9D9"/>
          </w:tcPr>
          <w:p w14:paraId="0D494268" w14:textId="77777777" w:rsidR="009876E0" w:rsidRPr="00CE4966" w:rsidRDefault="009876E0" w:rsidP="00CE4966">
            <w:pPr>
              <w:spacing w:after="0"/>
              <w:jc w:val="center"/>
              <w:rPr>
                <w:i/>
                <w:lang w:eastAsia="x-none"/>
              </w:rPr>
            </w:pPr>
            <w:r w:rsidRPr="00CE4966">
              <w:rPr>
                <w:i/>
                <w:lang w:eastAsia="x-none"/>
              </w:rPr>
              <w:t>Memo: Diversion 2006/07</w:t>
            </w:r>
          </w:p>
        </w:tc>
      </w:tr>
      <w:tr w:rsidR="009876E0" w14:paraId="0D49426E" w14:textId="77777777" w:rsidTr="009C5EB2">
        <w:tc>
          <w:tcPr>
            <w:tcW w:w="2940" w:type="dxa"/>
          </w:tcPr>
          <w:p w14:paraId="0D49426A" w14:textId="77777777" w:rsidR="009876E0" w:rsidRDefault="009876E0" w:rsidP="00CE4966">
            <w:pPr>
              <w:spacing w:after="0"/>
              <w:jc w:val="left"/>
              <w:rPr>
                <w:lang w:eastAsia="x-none"/>
              </w:rPr>
            </w:pPr>
            <w:r>
              <w:rPr>
                <w:lang w:eastAsia="x-none"/>
              </w:rPr>
              <w:t>Garbage (disposed to landfill)</w:t>
            </w:r>
          </w:p>
        </w:tc>
        <w:tc>
          <w:tcPr>
            <w:tcW w:w="1540" w:type="dxa"/>
          </w:tcPr>
          <w:p w14:paraId="0D49426B" w14:textId="77777777" w:rsidR="009876E0" w:rsidRDefault="009876E0" w:rsidP="00CE4966">
            <w:pPr>
              <w:spacing w:after="0"/>
              <w:jc w:val="center"/>
              <w:rPr>
                <w:lang w:eastAsia="x-none"/>
              </w:rPr>
            </w:pPr>
            <w:r>
              <w:rPr>
                <w:lang w:eastAsia="x-none"/>
              </w:rPr>
              <w:t>1,056,641</w:t>
            </w:r>
          </w:p>
        </w:tc>
        <w:tc>
          <w:tcPr>
            <w:tcW w:w="1050" w:type="dxa"/>
          </w:tcPr>
          <w:p w14:paraId="0D49426C" w14:textId="77777777" w:rsidR="009876E0" w:rsidRDefault="009876E0" w:rsidP="00CE4966">
            <w:pPr>
              <w:spacing w:after="0"/>
              <w:jc w:val="center"/>
              <w:rPr>
                <w:lang w:eastAsia="x-none"/>
              </w:rPr>
            </w:pPr>
            <w:r>
              <w:rPr>
                <w:lang w:eastAsia="x-none"/>
              </w:rPr>
              <w:t>NA</w:t>
            </w:r>
          </w:p>
        </w:tc>
        <w:tc>
          <w:tcPr>
            <w:tcW w:w="1158" w:type="dxa"/>
          </w:tcPr>
          <w:p w14:paraId="0D49426D" w14:textId="79857AB5" w:rsidR="009876E0" w:rsidRPr="00CE4966" w:rsidRDefault="00555F0A" w:rsidP="00CE4966">
            <w:pPr>
              <w:spacing w:after="0"/>
              <w:jc w:val="center"/>
              <w:rPr>
                <w:i/>
                <w:lang w:eastAsia="x-none"/>
              </w:rPr>
            </w:pPr>
            <w:r>
              <w:rPr>
                <w:i/>
                <w:lang w:eastAsia="x-none"/>
              </w:rPr>
              <w:t>NA</w:t>
            </w:r>
          </w:p>
        </w:tc>
      </w:tr>
      <w:tr w:rsidR="009876E0" w14:paraId="0D494273" w14:textId="77777777" w:rsidTr="009C5EB2">
        <w:tc>
          <w:tcPr>
            <w:tcW w:w="2940" w:type="dxa"/>
          </w:tcPr>
          <w:p w14:paraId="0D49426F" w14:textId="77777777" w:rsidR="009876E0" w:rsidRDefault="009876E0" w:rsidP="00CE4966">
            <w:pPr>
              <w:spacing w:after="0"/>
              <w:jc w:val="left"/>
              <w:rPr>
                <w:lang w:eastAsia="x-none"/>
              </w:rPr>
            </w:pPr>
            <w:r>
              <w:rPr>
                <w:lang w:eastAsia="x-none"/>
              </w:rPr>
              <w:t>Recyclables</w:t>
            </w:r>
          </w:p>
        </w:tc>
        <w:tc>
          <w:tcPr>
            <w:tcW w:w="1540" w:type="dxa"/>
          </w:tcPr>
          <w:p w14:paraId="0D494270" w14:textId="77777777" w:rsidR="009876E0" w:rsidRDefault="007C604A" w:rsidP="00CE4966">
            <w:pPr>
              <w:spacing w:after="0"/>
              <w:jc w:val="center"/>
              <w:rPr>
                <w:lang w:eastAsia="x-none"/>
              </w:rPr>
            </w:pPr>
            <w:r>
              <w:rPr>
                <w:lang w:eastAsia="x-none"/>
              </w:rPr>
              <w:t>613,141</w:t>
            </w:r>
          </w:p>
        </w:tc>
        <w:tc>
          <w:tcPr>
            <w:tcW w:w="1050" w:type="dxa"/>
            <w:vMerge w:val="restart"/>
            <w:vAlign w:val="center"/>
          </w:tcPr>
          <w:p w14:paraId="0D494271" w14:textId="77777777" w:rsidR="009876E0" w:rsidRDefault="009876E0" w:rsidP="00CE4966">
            <w:pPr>
              <w:spacing w:after="0"/>
              <w:jc w:val="center"/>
              <w:rPr>
                <w:lang w:eastAsia="x-none"/>
              </w:rPr>
            </w:pPr>
            <w:r>
              <w:rPr>
                <w:lang w:eastAsia="x-none"/>
              </w:rPr>
              <w:t>44%</w:t>
            </w:r>
          </w:p>
        </w:tc>
        <w:tc>
          <w:tcPr>
            <w:tcW w:w="1158" w:type="dxa"/>
            <w:vMerge w:val="restart"/>
            <w:vAlign w:val="center"/>
          </w:tcPr>
          <w:p w14:paraId="0D494272" w14:textId="77777777" w:rsidR="009876E0" w:rsidRPr="00CE4966" w:rsidRDefault="009876E0" w:rsidP="00CE4966">
            <w:pPr>
              <w:spacing w:after="0"/>
              <w:jc w:val="center"/>
              <w:rPr>
                <w:i/>
                <w:lang w:eastAsia="x-none"/>
              </w:rPr>
            </w:pPr>
            <w:r w:rsidRPr="00CE4966">
              <w:rPr>
                <w:i/>
                <w:lang w:eastAsia="x-none"/>
              </w:rPr>
              <w:t>42%</w:t>
            </w:r>
          </w:p>
        </w:tc>
      </w:tr>
      <w:tr w:rsidR="009876E0" w14:paraId="0D494278" w14:textId="77777777" w:rsidTr="009C5EB2">
        <w:tc>
          <w:tcPr>
            <w:tcW w:w="2940" w:type="dxa"/>
          </w:tcPr>
          <w:p w14:paraId="0D494274" w14:textId="77777777" w:rsidR="009876E0" w:rsidRDefault="009876E0" w:rsidP="00CE4966">
            <w:pPr>
              <w:spacing w:after="0"/>
              <w:jc w:val="left"/>
              <w:rPr>
                <w:lang w:eastAsia="x-none"/>
              </w:rPr>
            </w:pPr>
            <w:r>
              <w:rPr>
                <w:lang w:eastAsia="x-none"/>
              </w:rPr>
              <w:t>Organic waste</w:t>
            </w:r>
          </w:p>
        </w:tc>
        <w:tc>
          <w:tcPr>
            <w:tcW w:w="1540" w:type="dxa"/>
          </w:tcPr>
          <w:p w14:paraId="0D494275" w14:textId="77777777" w:rsidR="009876E0" w:rsidRDefault="007C604A" w:rsidP="00CE4966">
            <w:pPr>
              <w:spacing w:after="0"/>
              <w:jc w:val="center"/>
              <w:rPr>
                <w:lang w:eastAsia="x-none"/>
              </w:rPr>
            </w:pPr>
            <w:r>
              <w:rPr>
                <w:lang w:eastAsia="x-none"/>
              </w:rPr>
              <w:t>317,836</w:t>
            </w:r>
          </w:p>
        </w:tc>
        <w:tc>
          <w:tcPr>
            <w:tcW w:w="1050" w:type="dxa"/>
            <w:vMerge/>
          </w:tcPr>
          <w:p w14:paraId="0D494276" w14:textId="77777777" w:rsidR="009876E0" w:rsidRDefault="009876E0" w:rsidP="00CE4966">
            <w:pPr>
              <w:spacing w:after="0"/>
              <w:jc w:val="center"/>
              <w:rPr>
                <w:lang w:eastAsia="x-none"/>
              </w:rPr>
            </w:pPr>
          </w:p>
        </w:tc>
        <w:tc>
          <w:tcPr>
            <w:tcW w:w="1158" w:type="dxa"/>
            <w:vMerge/>
          </w:tcPr>
          <w:p w14:paraId="0D494277" w14:textId="77777777" w:rsidR="009876E0" w:rsidRDefault="009876E0" w:rsidP="00CE4966">
            <w:pPr>
              <w:spacing w:after="0"/>
              <w:jc w:val="center"/>
              <w:rPr>
                <w:lang w:eastAsia="x-none"/>
              </w:rPr>
            </w:pPr>
          </w:p>
        </w:tc>
      </w:tr>
      <w:tr w:rsidR="009876E0" w14:paraId="0D49427D" w14:textId="77777777" w:rsidTr="009C5EB2">
        <w:tc>
          <w:tcPr>
            <w:tcW w:w="2940" w:type="dxa"/>
          </w:tcPr>
          <w:p w14:paraId="0D494279" w14:textId="77777777" w:rsidR="009876E0" w:rsidRDefault="007C604A" w:rsidP="00CE4966">
            <w:pPr>
              <w:spacing w:after="0"/>
              <w:jc w:val="left"/>
              <w:rPr>
                <w:lang w:eastAsia="x-none"/>
              </w:rPr>
            </w:pPr>
            <w:r>
              <w:rPr>
                <w:lang w:eastAsia="x-none"/>
              </w:rPr>
              <w:t>Total</w:t>
            </w:r>
          </w:p>
        </w:tc>
        <w:tc>
          <w:tcPr>
            <w:tcW w:w="1540" w:type="dxa"/>
          </w:tcPr>
          <w:p w14:paraId="0D49427A" w14:textId="77777777" w:rsidR="009876E0" w:rsidRDefault="009876E0" w:rsidP="00CE4966">
            <w:pPr>
              <w:spacing w:after="0"/>
              <w:jc w:val="center"/>
              <w:rPr>
                <w:lang w:eastAsia="x-none"/>
              </w:rPr>
            </w:pPr>
            <w:r>
              <w:rPr>
                <w:lang w:eastAsia="x-none"/>
              </w:rPr>
              <w:t>1,987,618</w:t>
            </w:r>
          </w:p>
        </w:tc>
        <w:tc>
          <w:tcPr>
            <w:tcW w:w="1050" w:type="dxa"/>
          </w:tcPr>
          <w:p w14:paraId="0D49427B" w14:textId="77777777" w:rsidR="009876E0" w:rsidRDefault="009876E0" w:rsidP="00CE4966">
            <w:pPr>
              <w:spacing w:after="0"/>
              <w:jc w:val="center"/>
              <w:rPr>
                <w:lang w:eastAsia="x-none"/>
              </w:rPr>
            </w:pPr>
            <w:r>
              <w:rPr>
                <w:lang w:eastAsia="x-none"/>
              </w:rPr>
              <w:t>NA</w:t>
            </w:r>
          </w:p>
        </w:tc>
        <w:tc>
          <w:tcPr>
            <w:tcW w:w="1158" w:type="dxa"/>
          </w:tcPr>
          <w:p w14:paraId="0D49427C" w14:textId="065EB275" w:rsidR="009876E0" w:rsidRPr="00555F0A" w:rsidRDefault="00555F0A" w:rsidP="00CE4966">
            <w:pPr>
              <w:spacing w:after="0"/>
              <w:jc w:val="center"/>
              <w:rPr>
                <w:i/>
                <w:lang w:eastAsia="x-none"/>
              </w:rPr>
            </w:pPr>
            <w:r w:rsidRPr="00555F0A">
              <w:rPr>
                <w:i/>
                <w:lang w:eastAsia="x-none"/>
              </w:rPr>
              <w:t>NA</w:t>
            </w:r>
          </w:p>
        </w:tc>
      </w:tr>
    </w:tbl>
    <w:p w14:paraId="0D49427E" w14:textId="2877C97B" w:rsidR="0028646C" w:rsidRDefault="007C604A" w:rsidP="00FE08D6">
      <w:pPr>
        <w:spacing w:after="0"/>
        <w:rPr>
          <w:lang w:eastAsia="x-none"/>
        </w:rPr>
      </w:pPr>
      <w:r>
        <w:rPr>
          <w:lang w:eastAsia="x-none"/>
        </w:rPr>
        <w:t xml:space="preserve">*Figures shown taken from </w:t>
      </w:r>
      <w:r w:rsidR="00555F0A">
        <w:fldChar w:fldCharType="begin"/>
      </w:r>
      <w:r w:rsidR="00F40CE2">
        <w:instrText xml:space="preserve"> ADDIN EN.CITE &lt;EndNote&gt;&lt;Cite&gt;&lt;Author&gt;Sustainability Victoria&lt;/Author&gt;&lt;Year&gt;2011&lt;/Year&gt;&lt;RecNum&gt;39&lt;/RecNum&gt;&lt;Suffix&gt; p.17&lt;/Suffix&gt;&lt;DisplayText&gt;(Sustainability Victoria, 2011a p.17)&lt;/DisplayText&gt;&lt;record&gt;&lt;rec-number&gt;39&lt;/rec-number&gt;&lt;foreign-keys&gt;&lt;key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555F0A">
        <w:fldChar w:fldCharType="separate"/>
      </w:r>
      <w:r w:rsidR="00F40CE2">
        <w:rPr>
          <w:noProof/>
        </w:rPr>
        <w:t>(</w:t>
      </w:r>
      <w:hyperlink w:anchor="_ENREF_73" w:tooltip="Sustainability Victoria, 2011 #39" w:history="1">
        <w:r w:rsidR="00F40CE2">
          <w:rPr>
            <w:noProof/>
          </w:rPr>
          <w:t>Sustainability Victoria, 2011a p.17</w:t>
        </w:r>
      </w:hyperlink>
      <w:r w:rsidR="00F40CE2">
        <w:rPr>
          <w:noProof/>
        </w:rPr>
        <w:t>)</w:t>
      </w:r>
      <w:r w:rsidR="00555F0A">
        <w:fldChar w:fldCharType="end"/>
      </w:r>
      <w:r w:rsidR="00555F0A">
        <w:rPr>
          <w:lang w:eastAsia="x-none"/>
        </w:rPr>
        <w:t>.</w:t>
      </w:r>
    </w:p>
    <w:p w14:paraId="0D67B81B" w14:textId="77777777" w:rsidR="00555F0A" w:rsidRDefault="00555F0A" w:rsidP="00555F0A">
      <w:pPr>
        <w:spacing w:after="0"/>
        <w:rPr>
          <w:lang w:eastAsia="x-none"/>
        </w:rPr>
      </w:pPr>
    </w:p>
    <w:p w14:paraId="0D49427F" w14:textId="1EFA65F0" w:rsidR="005E65A9" w:rsidRDefault="005E65A9" w:rsidP="0077229C">
      <w:pPr>
        <w:rPr>
          <w:lang w:eastAsia="x-none"/>
        </w:rPr>
      </w:pPr>
      <w:r>
        <w:rPr>
          <w:lang w:eastAsia="x-none"/>
        </w:rPr>
        <w:t>The total yield of recyclables is stated as 283</w:t>
      </w:r>
      <w:r w:rsidR="004611BE">
        <w:rPr>
          <w:lang w:eastAsia="x-none"/>
        </w:rPr>
        <w:t xml:space="preserve"> </w:t>
      </w:r>
      <w:r>
        <w:rPr>
          <w:lang w:eastAsia="x-none"/>
        </w:rPr>
        <w:t xml:space="preserve">kg per household per </w:t>
      </w:r>
      <w:r w:rsidRPr="00EB23FA">
        <w:rPr>
          <w:lang w:eastAsia="x-none"/>
        </w:rPr>
        <w:t>year</w:t>
      </w:r>
      <w:r w:rsidR="00EC7CF7" w:rsidRPr="00EB23FA">
        <w:rPr>
          <w:lang w:eastAsia="x-none"/>
        </w:rPr>
        <w:t>, which includes 21kg (7.5%)</w:t>
      </w:r>
      <w:r w:rsidR="00EC7CF7">
        <w:rPr>
          <w:lang w:eastAsia="x-none"/>
        </w:rPr>
        <w:t xml:space="preserve"> of contamination</w:t>
      </w:r>
      <w:r w:rsidR="00966D9A">
        <w:rPr>
          <w:lang w:eastAsia="x-none"/>
        </w:rPr>
        <w:t xml:space="preserve"> </w:t>
      </w:r>
      <w:r w:rsidR="00966D9A">
        <w:rPr>
          <w:lang w:eastAsia="x-none"/>
        </w:rPr>
        <w:fldChar w:fldCharType="begin"/>
      </w:r>
      <w:r w:rsidR="00F40CE2">
        <w:rPr>
          <w:lang w:eastAsia="x-none"/>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966D9A">
        <w:rPr>
          <w:lang w:eastAsia="x-none"/>
        </w:rPr>
        <w:fldChar w:fldCharType="separate"/>
      </w:r>
      <w:r w:rsidR="00F40CE2">
        <w:rPr>
          <w:noProof/>
          <w:lang w:eastAsia="x-none"/>
        </w:rPr>
        <w:t>(</w:t>
      </w:r>
      <w:hyperlink w:anchor="_ENREF_73" w:tooltip="Sustainability Victoria, 2011 #39" w:history="1">
        <w:r w:rsidR="00F40CE2">
          <w:rPr>
            <w:noProof/>
            <w:lang w:eastAsia="x-none"/>
          </w:rPr>
          <w:t>Sustainability Victoria, 2011a</w:t>
        </w:r>
      </w:hyperlink>
      <w:r w:rsidR="00F40CE2">
        <w:rPr>
          <w:noProof/>
          <w:lang w:eastAsia="x-none"/>
        </w:rPr>
        <w:t>)</w:t>
      </w:r>
      <w:r w:rsidR="00966D9A">
        <w:rPr>
          <w:lang w:eastAsia="x-none"/>
        </w:rPr>
        <w:fldChar w:fldCharType="end"/>
      </w:r>
      <w:r w:rsidR="00EC7CF7">
        <w:rPr>
          <w:lang w:eastAsia="x-none"/>
        </w:rPr>
        <w:t>.</w:t>
      </w:r>
    </w:p>
    <w:p w14:paraId="0D494280" w14:textId="6B1EF8DA" w:rsidR="00FE08D6" w:rsidRDefault="004B0F92" w:rsidP="0077229C">
      <w:pPr>
        <w:rPr>
          <w:lang w:eastAsia="x-none"/>
        </w:rPr>
      </w:pPr>
      <w:r w:rsidRPr="004B0F92">
        <w:rPr>
          <w:lang w:eastAsia="x-none"/>
        </w:rPr>
        <w:t>Sustainability Victoria</w:t>
      </w:r>
      <w:r>
        <w:rPr>
          <w:lang w:eastAsia="x-none"/>
        </w:rPr>
        <w:t xml:space="preserve"> </w:t>
      </w:r>
      <w:r w:rsidR="00EF4BCD">
        <w:rPr>
          <w:lang w:eastAsia="x-none"/>
        </w:rPr>
        <w:fldChar w:fldCharType="begin"/>
      </w:r>
      <w:r w:rsidR="007625F3">
        <w:rPr>
          <w:lang w:eastAsia="x-none"/>
        </w:rPr>
        <w:instrText xml:space="preserve"> ADDIN EN.CITE &lt;EndNote&gt;&lt;Cite ExcludeAuth="1"&gt;&lt;Author&gt;Sustainability Victoria&lt;/Author&gt;&lt;Year&gt;2011&lt;/Year&gt;&lt;RecNum&gt;39&lt;/RecNum&gt;&lt;DisplayText&gt;(2011a)&lt;/DisplayText&gt;&lt;record&gt;&lt;rec-number&gt;39&lt;/rec-number&gt;&lt;foreign-keys&gt;&lt;key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EF4BCD">
        <w:rPr>
          <w:lang w:eastAsia="x-none"/>
        </w:rPr>
        <w:fldChar w:fldCharType="separate"/>
      </w:r>
      <w:r>
        <w:rPr>
          <w:noProof/>
          <w:lang w:eastAsia="x-none"/>
        </w:rPr>
        <w:t>(</w:t>
      </w:r>
      <w:hyperlink w:anchor="_ENREF_73" w:tooltip="Sustainability Victoria, 2011 #39" w:history="1">
        <w:r w:rsidR="00F40CE2">
          <w:rPr>
            <w:noProof/>
            <w:lang w:eastAsia="x-none"/>
          </w:rPr>
          <w:t>2011a</w:t>
        </w:r>
      </w:hyperlink>
      <w:r>
        <w:rPr>
          <w:noProof/>
          <w:lang w:eastAsia="x-none"/>
        </w:rPr>
        <w:t>)</w:t>
      </w:r>
      <w:r w:rsidR="00EF4BCD">
        <w:rPr>
          <w:lang w:eastAsia="x-none"/>
        </w:rPr>
        <w:fldChar w:fldCharType="end"/>
      </w:r>
      <w:r w:rsidRPr="004B0F92">
        <w:rPr>
          <w:lang w:eastAsia="x-none"/>
        </w:rPr>
        <w:t>,</w:t>
      </w:r>
      <w:r w:rsidR="00EF4BCD">
        <w:rPr>
          <w:lang w:eastAsia="x-none"/>
        </w:rPr>
        <w:t xml:space="preserve"> breaks the contents of the kerbside recyclables waste stream down by </w:t>
      </w:r>
      <w:r w:rsidR="00EF4BCD" w:rsidRPr="00EB23FA">
        <w:rPr>
          <w:lang w:eastAsia="x-none"/>
        </w:rPr>
        <w:t>material type</w:t>
      </w:r>
      <w:r w:rsidR="00966D9A" w:rsidRPr="00EB23FA">
        <w:rPr>
          <w:lang w:eastAsia="x-none"/>
        </w:rPr>
        <w:t xml:space="preserve"> (</w:t>
      </w:r>
      <w:r w:rsidR="00EB23FA" w:rsidRPr="00EB23FA">
        <w:rPr>
          <w:lang w:eastAsia="x-none"/>
        </w:rPr>
        <w:t>excluding</w:t>
      </w:r>
      <w:r w:rsidR="00966D9A" w:rsidRPr="00EB23FA">
        <w:rPr>
          <w:lang w:eastAsia="x-none"/>
        </w:rPr>
        <w:t xml:space="preserve"> contamination)</w:t>
      </w:r>
      <w:r w:rsidR="004611BE">
        <w:rPr>
          <w:lang w:eastAsia="x-none"/>
        </w:rPr>
        <w:t>,</w:t>
      </w:r>
      <w:r w:rsidR="00EF4BCD" w:rsidRPr="00EB23FA">
        <w:rPr>
          <w:lang w:eastAsia="x-none"/>
        </w:rPr>
        <w:t xml:space="preserve"> as shown</w:t>
      </w:r>
      <w:r w:rsidR="00223714">
        <w:rPr>
          <w:lang w:eastAsia="x-none"/>
        </w:rPr>
        <w:t xml:space="preserve"> in</w:t>
      </w:r>
      <w:r w:rsidR="00EF4BCD">
        <w:rPr>
          <w:lang w:eastAsia="x-none"/>
        </w:rPr>
        <w:t xml:space="preserve"> </w:t>
      </w:r>
      <w:r w:rsidR="00EF4BCD">
        <w:rPr>
          <w:lang w:eastAsia="x-none"/>
        </w:rPr>
        <w:fldChar w:fldCharType="begin"/>
      </w:r>
      <w:r w:rsidR="00EF4BCD">
        <w:rPr>
          <w:lang w:eastAsia="x-none"/>
        </w:rPr>
        <w:instrText xml:space="preserve"> REF _Ref337117470 \h </w:instrText>
      </w:r>
      <w:r w:rsidR="00EF4BCD">
        <w:rPr>
          <w:lang w:eastAsia="x-none"/>
        </w:rPr>
      </w:r>
      <w:r w:rsidR="00EF4BCD">
        <w:rPr>
          <w:lang w:eastAsia="x-none"/>
        </w:rPr>
        <w:fldChar w:fldCharType="separate"/>
      </w:r>
      <w:r w:rsidR="00564E5C">
        <w:t xml:space="preserve">Figure </w:t>
      </w:r>
      <w:r w:rsidR="00564E5C">
        <w:rPr>
          <w:noProof/>
        </w:rPr>
        <w:t>5</w:t>
      </w:r>
      <w:r w:rsidR="00EF4BCD">
        <w:rPr>
          <w:lang w:eastAsia="x-none"/>
        </w:rPr>
        <w:fldChar w:fldCharType="end"/>
      </w:r>
      <w:r w:rsidR="00EF4BCD">
        <w:rPr>
          <w:lang w:eastAsia="x-none"/>
        </w:rPr>
        <w:t xml:space="preserve">. </w:t>
      </w:r>
      <w:r w:rsidR="007C604A">
        <w:rPr>
          <w:lang w:eastAsia="x-none"/>
        </w:rPr>
        <w:fldChar w:fldCharType="begin"/>
      </w:r>
      <w:r w:rsidR="007C604A">
        <w:rPr>
          <w:lang w:eastAsia="x-none"/>
        </w:rPr>
        <w:instrText xml:space="preserve"> REF _Ref337117470 \h </w:instrText>
      </w:r>
      <w:r w:rsidR="007C604A">
        <w:rPr>
          <w:lang w:eastAsia="x-none"/>
        </w:rPr>
      </w:r>
      <w:r w:rsidR="007C604A">
        <w:rPr>
          <w:lang w:eastAsia="x-none"/>
        </w:rPr>
        <w:fldChar w:fldCharType="separate"/>
      </w:r>
      <w:r w:rsidR="00564E5C">
        <w:t xml:space="preserve">Figure </w:t>
      </w:r>
      <w:r w:rsidR="00564E5C">
        <w:rPr>
          <w:noProof/>
        </w:rPr>
        <w:t>5</w:t>
      </w:r>
      <w:r w:rsidR="007C604A">
        <w:rPr>
          <w:lang w:eastAsia="x-none"/>
        </w:rPr>
        <w:fldChar w:fldCharType="end"/>
      </w:r>
      <w:r w:rsidR="007C604A">
        <w:rPr>
          <w:lang w:eastAsia="x-none"/>
        </w:rPr>
        <w:t xml:space="preserve"> </w:t>
      </w:r>
      <w:r w:rsidR="00EF4BCD">
        <w:rPr>
          <w:lang w:eastAsia="x-none"/>
        </w:rPr>
        <w:t xml:space="preserve">provides </w:t>
      </w:r>
      <w:r w:rsidR="004611BE">
        <w:rPr>
          <w:lang w:eastAsia="x-none"/>
        </w:rPr>
        <w:t>the basis</w:t>
      </w:r>
      <w:r w:rsidR="00EF4BCD">
        <w:rPr>
          <w:lang w:eastAsia="x-none"/>
        </w:rPr>
        <w:t xml:space="preserve"> for </w:t>
      </w:r>
      <w:r w:rsidR="00FC18E4">
        <w:rPr>
          <w:lang w:eastAsia="x-none"/>
        </w:rPr>
        <w:t xml:space="preserve">investigating the </w:t>
      </w:r>
      <w:r w:rsidR="007C604A">
        <w:rPr>
          <w:lang w:eastAsia="x-none"/>
        </w:rPr>
        <w:t xml:space="preserve">life cycle </w:t>
      </w:r>
      <w:r w:rsidR="00FC18E4">
        <w:rPr>
          <w:lang w:eastAsia="x-none"/>
        </w:rPr>
        <w:t>i</w:t>
      </w:r>
      <w:r w:rsidR="007C604A">
        <w:rPr>
          <w:lang w:eastAsia="x-none"/>
        </w:rPr>
        <w:t>mpacts of reprocessing systems.</w:t>
      </w:r>
    </w:p>
    <w:p w14:paraId="0D494281" w14:textId="77777777" w:rsidR="00EF4BCD" w:rsidRDefault="00EF4BCD" w:rsidP="0077229C">
      <w:pPr>
        <w:rPr>
          <w:lang w:eastAsia="x-none"/>
        </w:rPr>
      </w:pPr>
    </w:p>
    <w:p w14:paraId="0D494282" w14:textId="77777777" w:rsidR="00EF4BCD" w:rsidRDefault="00C20D75" w:rsidP="00EF4BCD">
      <w:pPr>
        <w:keepNext/>
      </w:pPr>
      <w:r>
        <w:rPr>
          <w:noProof/>
        </w:rPr>
        <w:drawing>
          <wp:inline distT="0" distB="0" distL="0" distR="0" wp14:anchorId="0D4946E6" wp14:editId="0D4946E7">
            <wp:extent cx="5600700" cy="313372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14:paraId="0D494283" w14:textId="12AF6C5F" w:rsidR="00EF4BCD" w:rsidRDefault="00EF4BCD" w:rsidP="00EF4BCD">
      <w:pPr>
        <w:pStyle w:val="Caption"/>
      </w:pPr>
      <w:bookmarkStart w:id="30" w:name="_Ref337117470"/>
      <w:r>
        <w:t xml:space="preserve">Figure </w:t>
      </w:r>
      <w:r w:rsidR="00FC7DE2">
        <w:fldChar w:fldCharType="begin"/>
      </w:r>
      <w:r w:rsidR="00FC7DE2">
        <w:instrText xml:space="preserve"> SEQ Figure \* ARABIC </w:instrText>
      </w:r>
      <w:r w:rsidR="00FC7DE2">
        <w:fldChar w:fldCharType="separate"/>
      </w:r>
      <w:r w:rsidR="00564E5C">
        <w:rPr>
          <w:noProof/>
        </w:rPr>
        <w:t>5</w:t>
      </w:r>
      <w:r w:rsidR="00FC7DE2">
        <w:rPr>
          <w:noProof/>
        </w:rPr>
        <w:fldChar w:fldCharType="end"/>
      </w:r>
      <w:bookmarkEnd w:id="30"/>
      <w:r>
        <w:rPr>
          <w:lang w:val="en-AU"/>
        </w:rPr>
        <w:t xml:space="preserve"> Kerbside recyclables by type of item collected 2009/10 </w:t>
      </w:r>
      <w:r w:rsidR="00FC18E4">
        <w:rPr>
          <w:lang w:val="en-AU"/>
        </w:rPr>
        <w:fldChar w:fldCharType="begin"/>
      </w:r>
      <w:r w:rsidR="00F40CE2">
        <w:rPr>
          <w:lang w:val="en-AU"/>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FC18E4">
        <w:rPr>
          <w:lang w:val="en-AU"/>
        </w:rPr>
        <w:fldChar w:fldCharType="separate"/>
      </w:r>
      <w:r w:rsidR="00F40CE2">
        <w:rPr>
          <w:noProof/>
          <w:lang w:val="en-AU"/>
        </w:rPr>
        <w:t>(</w:t>
      </w:r>
      <w:hyperlink w:anchor="_ENREF_73" w:tooltip="Sustainability Victoria, 2011 #39" w:history="1">
        <w:r w:rsidR="00F40CE2">
          <w:rPr>
            <w:noProof/>
            <w:lang w:val="en-AU"/>
          </w:rPr>
          <w:t>Sustainability Victoria, 2011a</w:t>
        </w:r>
      </w:hyperlink>
      <w:r w:rsidR="00F40CE2">
        <w:rPr>
          <w:noProof/>
          <w:lang w:val="en-AU"/>
        </w:rPr>
        <w:t>)</w:t>
      </w:r>
      <w:r w:rsidR="00FC18E4">
        <w:rPr>
          <w:lang w:val="en-AU"/>
        </w:rPr>
        <w:fldChar w:fldCharType="end"/>
      </w:r>
      <w:r>
        <w:rPr>
          <w:lang w:val="en-AU"/>
        </w:rPr>
        <w:t>.</w:t>
      </w:r>
      <w:r w:rsidR="00FC18E4">
        <w:rPr>
          <w:lang w:val="en-AU"/>
        </w:rPr>
        <w:t xml:space="preserve"> Percentages shown are on a mass basis.</w:t>
      </w:r>
    </w:p>
    <w:p w14:paraId="0D494284" w14:textId="657F69CD" w:rsidR="00CE3294" w:rsidRDefault="00A929FC" w:rsidP="0077229C">
      <w:pPr>
        <w:rPr>
          <w:lang w:eastAsia="x-none"/>
        </w:rPr>
      </w:pPr>
      <w:r>
        <w:rPr>
          <w:lang w:eastAsia="x-none"/>
        </w:rPr>
        <w:t xml:space="preserve">In addition </w:t>
      </w:r>
      <w:r w:rsidR="00223714">
        <w:rPr>
          <w:lang w:eastAsia="x-none"/>
        </w:rPr>
        <w:t xml:space="preserve">to </w:t>
      </w:r>
      <w:r>
        <w:rPr>
          <w:lang w:eastAsia="x-none"/>
        </w:rPr>
        <w:t>the</w:t>
      </w:r>
      <w:r w:rsidR="007C604A">
        <w:rPr>
          <w:lang w:eastAsia="x-none"/>
        </w:rPr>
        <w:t xml:space="preserve"> ‘recyclable’ stream, kerbside collection in</w:t>
      </w:r>
      <w:r w:rsidR="00223714">
        <w:rPr>
          <w:lang w:eastAsia="x-none"/>
        </w:rPr>
        <w:t>cludes</w:t>
      </w:r>
      <w:r w:rsidR="007C604A">
        <w:rPr>
          <w:lang w:eastAsia="x-none"/>
        </w:rPr>
        <w:t xml:space="preserve"> </w:t>
      </w:r>
      <w:r w:rsidR="0076276D">
        <w:rPr>
          <w:lang w:eastAsia="x-none"/>
        </w:rPr>
        <w:t>317,836</w:t>
      </w:r>
      <w:r w:rsidR="007C604A">
        <w:rPr>
          <w:lang w:eastAsia="x-none"/>
        </w:rPr>
        <w:t xml:space="preserve"> </w:t>
      </w:r>
      <w:r w:rsidR="00A94700">
        <w:rPr>
          <w:lang w:eastAsia="x-none"/>
        </w:rPr>
        <w:t>t</w:t>
      </w:r>
      <w:r w:rsidR="007C604A">
        <w:rPr>
          <w:lang w:eastAsia="x-none"/>
        </w:rPr>
        <w:t xml:space="preserve"> of organic waste.</w:t>
      </w:r>
      <w:r w:rsidR="00EB23FA">
        <w:rPr>
          <w:lang w:eastAsia="x-none"/>
        </w:rPr>
        <w:t xml:space="preserve"> This equates to 304 kg of organic waste per household per year </w:t>
      </w:r>
      <w:r w:rsidR="00EB23FA">
        <w:rPr>
          <w:lang w:eastAsia="x-none"/>
        </w:rPr>
        <w:fldChar w:fldCharType="begin"/>
      </w:r>
      <w:r w:rsidR="00F40CE2">
        <w:rPr>
          <w:lang w:eastAsia="x-none"/>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EB23FA">
        <w:rPr>
          <w:lang w:eastAsia="x-none"/>
        </w:rPr>
        <w:fldChar w:fldCharType="separate"/>
      </w:r>
      <w:r w:rsidR="00F40CE2">
        <w:rPr>
          <w:noProof/>
          <w:lang w:eastAsia="x-none"/>
        </w:rPr>
        <w:t>(</w:t>
      </w:r>
      <w:hyperlink w:anchor="_ENREF_73" w:tooltip="Sustainability Victoria, 2011 #39" w:history="1">
        <w:r w:rsidR="00F40CE2">
          <w:rPr>
            <w:noProof/>
            <w:lang w:eastAsia="x-none"/>
          </w:rPr>
          <w:t>Sustainability Victoria, 2011a</w:t>
        </w:r>
      </w:hyperlink>
      <w:r w:rsidR="00F40CE2">
        <w:rPr>
          <w:noProof/>
          <w:lang w:eastAsia="x-none"/>
        </w:rPr>
        <w:t>)</w:t>
      </w:r>
      <w:r w:rsidR="00EB23FA">
        <w:rPr>
          <w:lang w:eastAsia="x-none"/>
        </w:rPr>
        <w:fldChar w:fldCharType="end"/>
      </w:r>
      <w:r w:rsidR="00EB23FA">
        <w:rPr>
          <w:lang w:eastAsia="x-none"/>
        </w:rPr>
        <w:t>.</w:t>
      </w:r>
    </w:p>
    <w:p w14:paraId="0D494285" w14:textId="77777777" w:rsidR="0061520F" w:rsidRDefault="0076276D" w:rsidP="0077229C">
      <w:pPr>
        <w:rPr>
          <w:lang w:eastAsia="x-none"/>
        </w:rPr>
      </w:pPr>
      <w:r>
        <w:rPr>
          <w:lang w:eastAsia="x-none"/>
        </w:rPr>
        <w:t xml:space="preserve">Overall, the above information provides a basis for characterising the contents of the kerbside waste </w:t>
      </w:r>
      <w:r>
        <w:rPr>
          <w:lang w:eastAsia="x-none"/>
        </w:rPr>
        <w:lastRenderedPageBreak/>
        <w:t>stream in Victoria. The</w:t>
      </w:r>
      <w:r w:rsidR="009365CD">
        <w:rPr>
          <w:lang w:eastAsia="x-none"/>
        </w:rPr>
        <w:t xml:space="preserve"> SV</w:t>
      </w:r>
      <w:r>
        <w:rPr>
          <w:lang w:eastAsia="x-none"/>
        </w:rPr>
        <w:t xml:space="preserve"> reports </w:t>
      </w:r>
      <w:r w:rsidR="009365CD">
        <w:rPr>
          <w:lang w:eastAsia="x-none"/>
        </w:rPr>
        <w:t>mentioned</w:t>
      </w:r>
      <w:r>
        <w:rPr>
          <w:lang w:eastAsia="x-none"/>
        </w:rPr>
        <w:t xml:space="preserve"> also provide information regarding the variability that exists between local governments, especially those differences that exist between rural and metropolitan environments. </w:t>
      </w:r>
      <w:r>
        <w:rPr>
          <w:lang w:eastAsia="x-none"/>
        </w:rPr>
        <w:fldChar w:fldCharType="begin"/>
      </w:r>
      <w:r>
        <w:rPr>
          <w:lang w:eastAsia="x-none"/>
        </w:rPr>
        <w:instrText xml:space="preserve"> REF _Ref337118807 \h </w:instrText>
      </w:r>
      <w:r>
        <w:rPr>
          <w:lang w:eastAsia="x-none"/>
        </w:rPr>
      </w:r>
      <w:r>
        <w:rPr>
          <w:lang w:eastAsia="x-none"/>
        </w:rPr>
        <w:fldChar w:fldCharType="separate"/>
      </w:r>
      <w:r w:rsidR="00564E5C">
        <w:t xml:space="preserve">Figure </w:t>
      </w:r>
      <w:r w:rsidR="00564E5C">
        <w:rPr>
          <w:noProof/>
        </w:rPr>
        <w:t>6</w:t>
      </w:r>
      <w:r>
        <w:rPr>
          <w:lang w:eastAsia="x-none"/>
        </w:rPr>
        <w:fldChar w:fldCharType="end"/>
      </w:r>
      <w:r>
        <w:rPr>
          <w:lang w:eastAsia="x-none"/>
        </w:rPr>
        <w:t xml:space="preserve"> shows the distribution of cost of collecting kerbside recyclables for all councils considered in the survey. Although cost is not a measure of environmental impact, it may be a precursor to impacts, such as those impa</w:t>
      </w:r>
      <w:r w:rsidR="009365CD">
        <w:rPr>
          <w:lang w:eastAsia="x-none"/>
        </w:rPr>
        <w:t>cts associated with diesel use.</w:t>
      </w:r>
    </w:p>
    <w:p w14:paraId="0D494286" w14:textId="77777777" w:rsidR="0076276D" w:rsidRDefault="00C20D75" w:rsidP="0076276D">
      <w:pPr>
        <w:keepNext/>
      </w:pPr>
      <w:r>
        <w:rPr>
          <w:noProof/>
        </w:rPr>
        <w:drawing>
          <wp:inline distT="0" distB="0" distL="0" distR="0" wp14:anchorId="0D4946E8" wp14:editId="0D4946E9">
            <wp:extent cx="3990975" cy="254317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543175"/>
                    </a:xfrm>
                    <a:prstGeom prst="rect">
                      <a:avLst/>
                    </a:prstGeom>
                    <a:noFill/>
                    <a:ln>
                      <a:noFill/>
                    </a:ln>
                  </pic:spPr>
                </pic:pic>
              </a:graphicData>
            </a:graphic>
          </wp:inline>
        </w:drawing>
      </w:r>
    </w:p>
    <w:p w14:paraId="0D494287" w14:textId="77777777" w:rsidR="0076276D" w:rsidRDefault="0076276D" w:rsidP="0076276D">
      <w:pPr>
        <w:pStyle w:val="Caption"/>
      </w:pPr>
      <w:bookmarkStart w:id="31" w:name="_Ref337118807"/>
      <w:r>
        <w:t xml:space="preserve">Figure </w:t>
      </w:r>
      <w:r w:rsidR="00FC7DE2">
        <w:fldChar w:fldCharType="begin"/>
      </w:r>
      <w:r w:rsidR="00FC7DE2">
        <w:instrText xml:space="preserve"> SEQ Figure \* ARABIC </w:instrText>
      </w:r>
      <w:r w:rsidR="00FC7DE2">
        <w:fldChar w:fldCharType="separate"/>
      </w:r>
      <w:r w:rsidR="00564E5C">
        <w:rPr>
          <w:noProof/>
        </w:rPr>
        <w:t>6</w:t>
      </w:r>
      <w:r w:rsidR="00FC7DE2">
        <w:rPr>
          <w:noProof/>
        </w:rPr>
        <w:fldChar w:fldCharType="end"/>
      </w:r>
      <w:bookmarkEnd w:id="31"/>
      <w:r>
        <w:rPr>
          <w:lang w:val="en-AU"/>
        </w:rPr>
        <w:t xml:space="preserve"> Cost of recycling collection across councils 2009/10.</w:t>
      </w:r>
    </w:p>
    <w:p w14:paraId="0D494288" w14:textId="6CD1A0D1" w:rsidR="002F29C0" w:rsidRDefault="00944DCE" w:rsidP="0077229C">
      <w:pPr>
        <w:rPr>
          <w:lang w:eastAsia="x-none"/>
        </w:rPr>
      </w:pPr>
      <w:r>
        <w:rPr>
          <w:lang w:eastAsia="x-none"/>
        </w:rPr>
        <w:t xml:space="preserve"> </w:t>
      </w:r>
    </w:p>
    <w:p w14:paraId="0D494289" w14:textId="77777777" w:rsidR="0077229C" w:rsidRPr="00F9282A" w:rsidRDefault="0077229C" w:rsidP="00F9282A">
      <w:pPr>
        <w:pStyle w:val="Heading2"/>
      </w:pPr>
      <w:bookmarkStart w:id="32" w:name="_Toc433964524"/>
      <w:r w:rsidRPr="00F9282A">
        <w:t>The ‘Packwaste’ reports</w:t>
      </w:r>
      <w:bookmarkEnd w:id="32"/>
    </w:p>
    <w:p w14:paraId="0D49428A" w14:textId="4A8BE262" w:rsidR="00B26795" w:rsidRDefault="00B26795" w:rsidP="0077229C">
      <w:pPr>
        <w:rPr>
          <w:lang w:eastAsia="x-none"/>
        </w:rPr>
      </w:pPr>
      <w:r>
        <w:rPr>
          <w:lang w:eastAsia="x-none"/>
        </w:rPr>
        <w:t>An important benchmark</w:t>
      </w:r>
      <w:r w:rsidR="009365CD">
        <w:rPr>
          <w:lang w:eastAsia="x-none"/>
        </w:rPr>
        <w:t>, and the starting point for this study</w:t>
      </w:r>
      <w:r>
        <w:rPr>
          <w:lang w:eastAsia="x-none"/>
        </w:rPr>
        <w:t xml:space="preserve"> </w:t>
      </w:r>
      <w:r w:rsidR="009365CD">
        <w:rPr>
          <w:lang w:eastAsia="x-none"/>
        </w:rPr>
        <w:t xml:space="preserve">is the recycling </w:t>
      </w:r>
      <w:r w:rsidR="00F50661">
        <w:rPr>
          <w:lang w:eastAsia="x-none"/>
        </w:rPr>
        <w:t xml:space="preserve">study </w:t>
      </w:r>
      <w:r>
        <w:rPr>
          <w:lang w:eastAsia="x-none"/>
        </w:rPr>
        <w:t>undertaken by</w:t>
      </w:r>
      <w:r w:rsidR="00BA0E49">
        <w:rPr>
          <w:lang w:eastAsia="x-none"/>
        </w:rPr>
        <w:t xml:space="preserve"> </w:t>
      </w:r>
      <w:r w:rsidR="00BA0E49" w:rsidRPr="00BA0E49">
        <w:rPr>
          <w:lang w:eastAsia="x-none"/>
        </w:rPr>
        <w:t>Grant et al</w:t>
      </w:r>
      <w:r>
        <w:rPr>
          <w:lang w:eastAsia="x-none"/>
        </w:rPr>
        <w:t xml:space="preserve"> </w:t>
      </w:r>
      <w:r w:rsidR="00F50661">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F50661">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sidR="00F50661">
        <w:rPr>
          <w:lang w:eastAsia="x-none"/>
        </w:rPr>
        <w:fldChar w:fldCharType="end"/>
      </w:r>
      <w:r>
        <w:rPr>
          <w:lang w:eastAsia="x-none"/>
        </w:rPr>
        <w:t xml:space="preserve">. This study forms the basis of environmental quantification undertaken by </w:t>
      </w:r>
      <w:r w:rsidR="00C868A7">
        <w:rPr>
          <w:lang w:eastAsia="x-none"/>
        </w:rPr>
        <w:t>SV</w:t>
      </w:r>
      <w:r>
        <w:rPr>
          <w:lang w:eastAsia="x-none"/>
        </w:rPr>
        <w:t xml:space="preserve"> when discussing recycling. The report applied LCA methodology </w:t>
      </w:r>
      <w:r w:rsidR="00EB23FA">
        <w:rPr>
          <w:lang w:eastAsia="x-none"/>
        </w:rPr>
        <w:t>in assessing the</w:t>
      </w:r>
      <w:r>
        <w:rPr>
          <w:lang w:eastAsia="x-none"/>
        </w:rPr>
        <w:t xml:space="preserve"> recycling system and derived ‘factors’ that S</w:t>
      </w:r>
      <w:r w:rsidR="00EB23FA">
        <w:rPr>
          <w:lang w:eastAsia="x-none"/>
        </w:rPr>
        <w:t>V</w:t>
      </w:r>
      <w:r>
        <w:rPr>
          <w:lang w:eastAsia="x-none"/>
        </w:rPr>
        <w:t xml:space="preserve"> currently uses to convert material recovery tonnages into environmental impact avoidances (such as </w:t>
      </w:r>
      <w:r w:rsidR="00A94700">
        <w:rPr>
          <w:lang w:eastAsia="x-none"/>
        </w:rPr>
        <w:t>tonne</w:t>
      </w:r>
      <w:r>
        <w:rPr>
          <w:lang w:eastAsia="x-none"/>
        </w:rPr>
        <w:t xml:space="preserve"> CO</w:t>
      </w:r>
      <w:r w:rsidRPr="00B26795">
        <w:rPr>
          <w:vertAlign w:val="subscript"/>
          <w:lang w:eastAsia="x-none"/>
        </w:rPr>
        <w:t>2</w:t>
      </w:r>
      <w:r>
        <w:rPr>
          <w:lang w:eastAsia="x-none"/>
        </w:rPr>
        <w:t>-e</w:t>
      </w:r>
      <w:r w:rsidR="00B3097E">
        <w:rPr>
          <w:lang w:eastAsia="x-none"/>
        </w:rPr>
        <w:t>q</w:t>
      </w:r>
      <w:r>
        <w:rPr>
          <w:lang w:eastAsia="x-none"/>
        </w:rPr>
        <w:t xml:space="preserve"> avoided when discussing global warming). </w:t>
      </w:r>
    </w:p>
    <w:p w14:paraId="0D49428B" w14:textId="77777777" w:rsidR="0077229C" w:rsidRDefault="00F91AF6" w:rsidP="0077229C">
      <w:pPr>
        <w:rPr>
          <w:lang w:eastAsia="x-none"/>
        </w:rPr>
      </w:pPr>
      <w:r>
        <w:rPr>
          <w:lang w:eastAsia="x-none"/>
        </w:rPr>
        <w:t>In 1997, economic reporting had been released that stated that a ‘cost gap’ existed with respect to kerbside recycling in Melbourne (the difference between revenues and expenses was estimated at $24 million p.a.</w:t>
      </w:r>
      <w:r w:rsidR="004B0F92" w:rsidRPr="004B0F92">
        <w:rPr>
          <w:noProof/>
          <w:lang w:eastAsia="x-none"/>
        </w:rPr>
        <w:t xml:space="preserve"> </w:t>
      </w:r>
      <w:hyperlink w:anchor="_ENREF_22" w:tooltip="Grant, 2001 #1072" w:history="1">
        <w:r w:rsidR="004B0F92">
          <w:rPr>
            <w:noProof/>
            <w:lang w:eastAsia="x-none"/>
          </w:rPr>
          <w:t>Grant et al., 2001a</w:t>
        </w:r>
      </w:hyperlink>
      <w:r>
        <w:rPr>
          <w:lang w:eastAsia="x-none"/>
        </w:rPr>
        <w:t xml:space="preserve">) </w:t>
      </w:r>
      <w:r w:rsidR="00F64CF8">
        <w:rPr>
          <w:lang w:eastAsia="x-none"/>
        </w:rPr>
        <w:t xml:space="preserve">and in Sydney. </w:t>
      </w:r>
      <w:r w:rsidR="00F36427">
        <w:rPr>
          <w:lang w:eastAsia="x-none"/>
        </w:rPr>
        <w:t>Although community commitment to recycling existed, the cost issue raised questions regarding the environmental efficacy of recycling, leading to the principle question of the ‘Packwaste’ study which concluded in 2001 with a stage 2 report</w:t>
      </w:r>
      <w:r w:rsidR="003465C4">
        <w:rPr>
          <w:rStyle w:val="FootnoteReference"/>
          <w:lang w:eastAsia="x-none"/>
        </w:rPr>
        <w:footnoteReference w:id="3"/>
      </w:r>
      <w:r w:rsidR="00F36427">
        <w:rPr>
          <w:lang w:eastAsia="x-none"/>
        </w:rPr>
        <w:t>:</w:t>
      </w:r>
    </w:p>
    <w:p w14:paraId="0D49428C" w14:textId="35F27D53" w:rsidR="00F36427" w:rsidRDefault="00BC40B3" w:rsidP="00DB06F9">
      <w:pPr>
        <w:ind w:left="567" w:right="521"/>
        <w:rPr>
          <w:lang w:eastAsia="x-none"/>
        </w:rPr>
      </w:pPr>
      <w:r>
        <w:rPr>
          <w:lang w:eastAsia="x-none"/>
        </w:rPr>
        <w:t xml:space="preserve">Does the current </w:t>
      </w:r>
      <w:r w:rsidR="004B0F92">
        <w:rPr>
          <w:lang w:eastAsia="x-none"/>
        </w:rPr>
        <w:t>recycling system result in a ne</w:t>
      </w:r>
      <w:r>
        <w:rPr>
          <w:lang w:eastAsia="x-none"/>
        </w:rPr>
        <w:t xml:space="preserve">t reduction in environmental impacts and if so what is the magnitude of the saving? </w:t>
      </w:r>
      <w:r>
        <w:rPr>
          <w:lang w:eastAsia="x-none"/>
        </w:rPr>
        <w:fldChar w:fldCharType="begin"/>
      </w:r>
      <w:r w:rsidR="00F40CE2">
        <w:rPr>
          <w:lang w:eastAsia="x-none"/>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Grant et al., 2001a</w:t>
        </w:r>
      </w:hyperlink>
      <w:r w:rsidR="00F40CE2">
        <w:rPr>
          <w:noProof/>
          <w:lang w:eastAsia="x-none"/>
        </w:rPr>
        <w:t>)</w:t>
      </w:r>
      <w:r>
        <w:rPr>
          <w:lang w:eastAsia="x-none"/>
        </w:rPr>
        <w:fldChar w:fldCharType="end"/>
      </w:r>
    </w:p>
    <w:p w14:paraId="0D49428D" w14:textId="77777777" w:rsidR="00B453DB" w:rsidRDefault="00F50661" w:rsidP="0077229C">
      <w:pPr>
        <w:rPr>
          <w:lang w:eastAsia="x-none"/>
        </w:rPr>
      </w:pPr>
      <w:r>
        <w:rPr>
          <w:lang w:eastAsia="x-none"/>
        </w:rPr>
        <w:t>The study sought to answer this question</w:t>
      </w:r>
      <w:r w:rsidR="00B453DB">
        <w:rPr>
          <w:lang w:eastAsia="x-none"/>
        </w:rPr>
        <w:t xml:space="preserve"> employing the LCA methodology as defined by the ISO</w:t>
      </w:r>
      <w:r w:rsidR="00B3097E">
        <w:rPr>
          <w:lang w:eastAsia="x-none"/>
        </w:rPr>
        <w:t xml:space="preserve"> </w:t>
      </w:r>
      <w:r w:rsidR="00B453DB">
        <w:rPr>
          <w:lang w:eastAsia="x-none"/>
        </w:rPr>
        <w:t xml:space="preserve">14040 series of </w:t>
      </w:r>
      <w:r w:rsidR="00B3097E">
        <w:rPr>
          <w:lang w:eastAsia="x-none"/>
        </w:rPr>
        <w:t xml:space="preserve">LCA </w:t>
      </w:r>
      <w:r w:rsidR="00B453DB">
        <w:rPr>
          <w:lang w:eastAsia="x-none"/>
        </w:rPr>
        <w:t xml:space="preserve">standards. The scope of the project was limited to the Melbourne </w:t>
      </w:r>
      <w:r w:rsidR="006D454C">
        <w:rPr>
          <w:lang w:eastAsia="x-none"/>
        </w:rPr>
        <w:t>metropolitan</w:t>
      </w:r>
      <w:r w:rsidR="00B453DB">
        <w:rPr>
          <w:lang w:eastAsia="x-none"/>
        </w:rPr>
        <w:t xml:space="preserve"> area, incorporating a sensitivity study that involved the Bendigo waste management system.</w:t>
      </w:r>
      <w:r w:rsidR="00B3097E">
        <w:rPr>
          <w:lang w:eastAsia="x-none"/>
        </w:rPr>
        <w:t xml:space="preserve"> The p</w:t>
      </w:r>
      <w:r w:rsidR="00B453DB">
        <w:rPr>
          <w:lang w:eastAsia="x-none"/>
        </w:rPr>
        <w:t xml:space="preserve">roject scope </w:t>
      </w:r>
      <w:r w:rsidR="00B3097E">
        <w:rPr>
          <w:lang w:eastAsia="x-none"/>
        </w:rPr>
        <w:t xml:space="preserve">of this previous study </w:t>
      </w:r>
      <w:r w:rsidR="00B453DB">
        <w:rPr>
          <w:lang w:eastAsia="x-none"/>
        </w:rPr>
        <w:t xml:space="preserve">is </w:t>
      </w:r>
      <w:r w:rsidR="00B3097E">
        <w:rPr>
          <w:lang w:eastAsia="x-none"/>
        </w:rPr>
        <w:t>outlined in</w:t>
      </w:r>
      <w:r w:rsidR="00B453DB">
        <w:rPr>
          <w:lang w:eastAsia="x-none"/>
        </w:rPr>
        <w:t xml:space="preserve"> </w:t>
      </w:r>
      <w:r w:rsidR="00B453DB">
        <w:rPr>
          <w:lang w:eastAsia="x-none"/>
        </w:rPr>
        <w:fldChar w:fldCharType="begin"/>
      </w:r>
      <w:r w:rsidR="00B453DB">
        <w:rPr>
          <w:lang w:eastAsia="x-none"/>
        </w:rPr>
        <w:instrText xml:space="preserve"> REF _Ref337036464 \h </w:instrText>
      </w:r>
      <w:r w:rsidR="00B453DB">
        <w:rPr>
          <w:lang w:eastAsia="x-none"/>
        </w:rPr>
      </w:r>
      <w:r w:rsidR="00B453DB">
        <w:rPr>
          <w:lang w:eastAsia="x-none"/>
        </w:rPr>
        <w:fldChar w:fldCharType="separate"/>
      </w:r>
      <w:r w:rsidR="00564E5C">
        <w:t xml:space="preserve">Table </w:t>
      </w:r>
      <w:r w:rsidR="00564E5C">
        <w:rPr>
          <w:noProof/>
        </w:rPr>
        <w:t>8</w:t>
      </w:r>
      <w:r w:rsidR="00B453DB">
        <w:rPr>
          <w:lang w:eastAsia="x-none"/>
        </w:rPr>
        <w:fldChar w:fldCharType="end"/>
      </w:r>
      <w:r w:rsidR="00B453DB">
        <w:rPr>
          <w:lang w:eastAsia="x-none"/>
        </w:rPr>
        <w:t>.</w:t>
      </w:r>
    </w:p>
    <w:p w14:paraId="0D49428E" w14:textId="6BEEFBE5" w:rsidR="00B453DB" w:rsidRDefault="00B453DB" w:rsidP="00B453DB">
      <w:pPr>
        <w:pStyle w:val="Caption"/>
        <w:keepNext/>
      </w:pPr>
      <w:bookmarkStart w:id="33" w:name="_Ref337036464"/>
      <w:r>
        <w:lastRenderedPageBreak/>
        <w:t xml:space="preserve">Table </w:t>
      </w:r>
      <w:r w:rsidR="00FC7DE2">
        <w:fldChar w:fldCharType="begin"/>
      </w:r>
      <w:r w:rsidR="00FC7DE2">
        <w:instrText xml:space="preserve"> SEQ Table \* ARABIC </w:instrText>
      </w:r>
      <w:r w:rsidR="00FC7DE2">
        <w:fldChar w:fldCharType="separate"/>
      </w:r>
      <w:r w:rsidR="00564E5C">
        <w:rPr>
          <w:noProof/>
        </w:rPr>
        <w:t>8</w:t>
      </w:r>
      <w:r w:rsidR="00FC7DE2">
        <w:rPr>
          <w:noProof/>
        </w:rPr>
        <w:fldChar w:fldCharType="end"/>
      </w:r>
      <w:bookmarkEnd w:id="33"/>
      <w:r>
        <w:rPr>
          <w:lang w:val="en-AU"/>
        </w:rPr>
        <w:t xml:space="preserve"> Scope of LCA presented in Grant et. al. </w:t>
      </w:r>
      <w:r>
        <w:rPr>
          <w:lang w:val="en-AU"/>
        </w:rPr>
        <w:fldChar w:fldCharType="begin"/>
      </w:r>
      <w:r w:rsidR="00F40CE2">
        <w:rPr>
          <w:lang w:val="en-AU"/>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val="en-AU"/>
        </w:rPr>
        <w:fldChar w:fldCharType="separate"/>
      </w:r>
      <w:r w:rsidR="00F40CE2">
        <w:rPr>
          <w:noProof/>
          <w:lang w:val="en-AU"/>
        </w:rPr>
        <w:t>(</w:t>
      </w:r>
      <w:hyperlink w:anchor="_ENREF_35" w:tooltip="Grant, 2001 #262" w:history="1">
        <w:r w:rsidR="00F40CE2">
          <w:rPr>
            <w:noProof/>
            <w:lang w:val="en-AU"/>
          </w:rPr>
          <w:t>2001a</w:t>
        </w:r>
      </w:hyperlink>
      <w:r w:rsidR="00F40CE2">
        <w:rPr>
          <w:noProof/>
          <w:lang w:val="en-AU"/>
        </w:rPr>
        <w:t>)</w:t>
      </w:r>
      <w:r>
        <w:rPr>
          <w:lang w:val="en-AU"/>
        </w:rPr>
        <w:fldChar w:fldCharType="end"/>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4678"/>
      </w:tblGrid>
      <w:tr w:rsidR="00B453DB" w:rsidRPr="00B15337" w14:paraId="0D494292" w14:textId="77777777" w:rsidTr="00B453DB">
        <w:trPr>
          <w:tblHeader/>
        </w:trPr>
        <w:tc>
          <w:tcPr>
            <w:tcW w:w="4077" w:type="dxa"/>
            <w:tcBorders>
              <w:bottom w:val="nil"/>
            </w:tcBorders>
          </w:tcPr>
          <w:p w14:paraId="0D49428F" w14:textId="77777777" w:rsidR="00B453DB" w:rsidRPr="001F0FBA" w:rsidRDefault="00B453DB" w:rsidP="00B453DB">
            <w:pPr>
              <w:pStyle w:val="TableText"/>
              <w:jc w:val="both"/>
              <w:rPr>
                <w:rFonts w:ascii="Arial" w:hAnsi="Arial" w:cs="Arial"/>
                <w:b/>
                <w:sz w:val="16"/>
                <w:szCs w:val="16"/>
                <w:u w:val="single"/>
                <w:lang w:val="en-AU"/>
              </w:rPr>
            </w:pPr>
            <w:r w:rsidRPr="001F0FBA">
              <w:rPr>
                <w:rFonts w:ascii="Arial" w:hAnsi="Arial" w:cs="Arial"/>
                <w:b/>
                <w:sz w:val="16"/>
                <w:szCs w:val="16"/>
                <w:u w:val="single"/>
                <w:lang w:val="en-AU"/>
              </w:rPr>
              <w:t>Included in Study</w:t>
            </w:r>
          </w:p>
          <w:p w14:paraId="0D494290" w14:textId="77777777" w:rsidR="00B453DB" w:rsidRPr="001F0FBA" w:rsidRDefault="00B453DB" w:rsidP="00B453DB">
            <w:pPr>
              <w:pStyle w:val="TableText"/>
              <w:jc w:val="both"/>
              <w:rPr>
                <w:rFonts w:ascii="Arial" w:hAnsi="Arial" w:cs="Arial"/>
                <w:b/>
                <w:sz w:val="16"/>
                <w:szCs w:val="16"/>
                <w:u w:val="single"/>
                <w:lang w:val="en-AU"/>
              </w:rPr>
            </w:pPr>
          </w:p>
        </w:tc>
        <w:tc>
          <w:tcPr>
            <w:tcW w:w="4678" w:type="dxa"/>
            <w:tcBorders>
              <w:bottom w:val="nil"/>
            </w:tcBorders>
          </w:tcPr>
          <w:p w14:paraId="0D494291" w14:textId="77777777" w:rsidR="00B453DB" w:rsidRPr="001F0FBA" w:rsidRDefault="00B453DB" w:rsidP="00B453DB">
            <w:pPr>
              <w:pStyle w:val="TableText"/>
              <w:jc w:val="both"/>
              <w:rPr>
                <w:rFonts w:ascii="Arial" w:hAnsi="Arial" w:cs="Arial"/>
                <w:b/>
                <w:sz w:val="16"/>
                <w:szCs w:val="16"/>
                <w:u w:val="single"/>
                <w:lang w:val="en-AU"/>
              </w:rPr>
            </w:pPr>
            <w:r w:rsidRPr="001F0FBA">
              <w:rPr>
                <w:rFonts w:ascii="Arial" w:hAnsi="Arial" w:cs="Arial"/>
                <w:b/>
                <w:sz w:val="16"/>
                <w:szCs w:val="16"/>
                <w:u w:val="single"/>
                <w:lang w:val="en-AU"/>
              </w:rPr>
              <w:t>Excluded from Study</w:t>
            </w:r>
          </w:p>
        </w:tc>
      </w:tr>
      <w:tr w:rsidR="00B453DB" w:rsidRPr="00B15337" w14:paraId="0D494295" w14:textId="77777777" w:rsidTr="00B453DB">
        <w:trPr>
          <w:cantSplit/>
        </w:trPr>
        <w:tc>
          <w:tcPr>
            <w:tcW w:w="8755" w:type="dxa"/>
            <w:gridSpan w:val="2"/>
            <w:shd w:val="pct12" w:color="auto" w:fill="auto"/>
          </w:tcPr>
          <w:p w14:paraId="0D494293" w14:textId="77777777" w:rsidR="00B453DB" w:rsidRPr="001F0FBA" w:rsidRDefault="00B453DB" w:rsidP="00B453DB">
            <w:pPr>
              <w:pStyle w:val="TableText"/>
              <w:jc w:val="both"/>
              <w:rPr>
                <w:rFonts w:ascii="Arial" w:hAnsi="Arial" w:cs="Arial"/>
                <w:b/>
                <w:i/>
                <w:sz w:val="16"/>
                <w:szCs w:val="16"/>
                <w:lang w:val="en-AU"/>
              </w:rPr>
            </w:pPr>
            <w:r w:rsidRPr="001F0FBA">
              <w:rPr>
                <w:rFonts w:ascii="Arial" w:hAnsi="Arial" w:cs="Arial"/>
                <w:b/>
                <w:i/>
                <w:sz w:val="16"/>
                <w:szCs w:val="16"/>
                <w:lang w:val="en-AU"/>
              </w:rPr>
              <w:t>Activities</w:t>
            </w:r>
          </w:p>
          <w:p w14:paraId="0D494294" w14:textId="77777777" w:rsidR="00B453DB" w:rsidRPr="001F0FBA" w:rsidRDefault="00B453DB" w:rsidP="00B453DB">
            <w:pPr>
              <w:pStyle w:val="TableText"/>
              <w:jc w:val="both"/>
              <w:rPr>
                <w:rFonts w:ascii="Arial" w:hAnsi="Arial" w:cs="Arial"/>
                <w:b/>
                <w:i/>
                <w:sz w:val="16"/>
                <w:szCs w:val="16"/>
                <w:lang w:val="en-AU"/>
              </w:rPr>
            </w:pPr>
          </w:p>
        </w:tc>
      </w:tr>
      <w:tr w:rsidR="00B453DB" w:rsidRPr="00B15337" w14:paraId="0D49429D" w14:textId="77777777" w:rsidTr="00B453DB">
        <w:tc>
          <w:tcPr>
            <w:tcW w:w="4077" w:type="dxa"/>
            <w:tcBorders>
              <w:bottom w:val="nil"/>
            </w:tcBorders>
          </w:tcPr>
          <w:p w14:paraId="0D494296" w14:textId="77777777" w:rsidR="00B453DB" w:rsidRPr="001F0FBA" w:rsidRDefault="00B453DB" w:rsidP="005A1897">
            <w:pPr>
              <w:pStyle w:val="TableText"/>
              <w:numPr>
                <w:ilvl w:val="0"/>
                <w:numId w:val="7"/>
              </w:numPr>
              <w:rPr>
                <w:rFonts w:ascii="Arial" w:hAnsi="Arial" w:cs="Arial"/>
                <w:sz w:val="16"/>
                <w:szCs w:val="16"/>
                <w:lang w:val="en-AU"/>
              </w:rPr>
            </w:pPr>
            <w:r w:rsidRPr="001F0FBA">
              <w:rPr>
                <w:rFonts w:ascii="Arial" w:hAnsi="Arial" w:cs="Arial"/>
                <w:sz w:val="16"/>
                <w:szCs w:val="16"/>
                <w:lang w:val="en-AU"/>
              </w:rPr>
              <w:t>Victorian domestic kerbside recycling collection.- Melbourne metropolitan;</w:t>
            </w:r>
          </w:p>
          <w:p w14:paraId="0D494297" w14:textId="77777777" w:rsidR="00B453DB" w:rsidRPr="001F0FBA" w:rsidRDefault="00B453DB" w:rsidP="005A1897">
            <w:pPr>
              <w:pStyle w:val="TableText"/>
              <w:numPr>
                <w:ilvl w:val="0"/>
                <w:numId w:val="7"/>
              </w:numPr>
              <w:rPr>
                <w:rFonts w:ascii="Arial" w:hAnsi="Arial" w:cs="Arial"/>
                <w:sz w:val="16"/>
                <w:szCs w:val="16"/>
                <w:lang w:val="en-AU"/>
              </w:rPr>
            </w:pPr>
            <w:r w:rsidRPr="001F0FBA">
              <w:rPr>
                <w:rFonts w:ascii="Arial" w:hAnsi="Arial" w:cs="Arial"/>
                <w:sz w:val="16"/>
                <w:szCs w:val="16"/>
                <w:lang w:val="en-AU"/>
              </w:rPr>
              <w:t>Victorian domestic garbage collection.- Melbourne metropolitan;</w:t>
            </w:r>
          </w:p>
          <w:p w14:paraId="0D494298" w14:textId="77777777" w:rsidR="00B453DB" w:rsidRPr="001F0FBA" w:rsidRDefault="00B453DB" w:rsidP="005A1897">
            <w:pPr>
              <w:pStyle w:val="TableText"/>
              <w:numPr>
                <w:ilvl w:val="0"/>
                <w:numId w:val="7"/>
              </w:numPr>
              <w:rPr>
                <w:rFonts w:ascii="Arial" w:hAnsi="Arial" w:cs="Arial"/>
                <w:sz w:val="16"/>
                <w:szCs w:val="16"/>
                <w:lang w:val="en-AU"/>
              </w:rPr>
            </w:pPr>
            <w:r w:rsidRPr="001F0FBA">
              <w:rPr>
                <w:rFonts w:ascii="Arial" w:hAnsi="Arial" w:cs="Arial"/>
                <w:sz w:val="16"/>
                <w:szCs w:val="16"/>
                <w:lang w:val="en-AU"/>
              </w:rPr>
              <w:t>Bendigo domestic kerbside recycling and garbage collection (sensitivity analysis).</w:t>
            </w:r>
          </w:p>
        </w:tc>
        <w:tc>
          <w:tcPr>
            <w:tcW w:w="4678" w:type="dxa"/>
            <w:tcBorders>
              <w:bottom w:val="nil"/>
            </w:tcBorders>
          </w:tcPr>
          <w:p w14:paraId="0D494299" w14:textId="77777777" w:rsidR="00B453DB" w:rsidRPr="001F0FBA" w:rsidRDefault="00B453DB" w:rsidP="005A1897">
            <w:pPr>
              <w:pStyle w:val="TableText"/>
              <w:numPr>
                <w:ilvl w:val="0"/>
                <w:numId w:val="8"/>
              </w:numPr>
              <w:rPr>
                <w:rFonts w:ascii="Arial" w:hAnsi="Arial" w:cs="Arial"/>
                <w:sz w:val="16"/>
                <w:szCs w:val="16"/>
                <w:lang w:val="en-AU"/>
              </w:rPr>
            </w:pPr>
            <w:r w:rsidRPr="001F0FBA">
              <w:rPr>
                <w:rFonts w:ascii="Arial" w:hAnsi="Arial" w:cs="Arial"/>
                <w:sz w:val="16"/>
                <w:szCs w:val="16"/>
                <w:lang w:val="en-AU"/>
              </w:rPr>
              <w:t>Commercial and Public Place Recycling</w:t>
            </w:r>
          </w:p>
          <w:p w14:paraId="0D49429A" w14:textId="77777777" w:rsidR="00B453DB" w:rsidRPr="001F0FBA" w:rsidRDefault="00B453DB" w:rsidP="005A1897">
            <w:pPr>
              <w:pStyle w:val="TableText"/>
              <w:numPr>
                <w:ilvl w:val="0"/>
                <w:numId w:val="8"/>
              </w:numPr>
              <w:rPr>
                <w:rFonts w:ascii="Arial" w:hAnsi="Arial" w:cs="Arial"/>
                <w:sz w:val="16"/>
                <w:szCs w:val="16"/>
                <w:lang w:val="en-AU"/>
              </w:rPr>
            </w:pPr>
            <w:r w:rsidRPr="001F0FBA">
              <w:rPr>
                <w:rFonts w:ascii="Arial" w:hAnsi="Arial" w:cs="Arial"/>
                <w:sz w:val="16"/>
                <w:szCs w:val="16"/>
                <w:lang w:val="en-AU"/>
              </w:rPr>
              <w:t xml:space="preserve">Drop-off recycling </w:t>
            </w:r>
          </w:p>
          <w:p w14:paraId="0D49429B" w14:textId="77777777" w:rsidR="00B453DB" w:rsidRPr="001F0FBA" w:rsidRDefault="00B453DB" w:rsidP="005A1897">
            <w:pPr>
              <w:pStyle w:val="TableText"/>
              <w:numPr>
                <w:ilvl w:val="0"/>
                <w:numId w:val="8"/>
              </w:numPr>
              <w:rPr>
                <w:rFonts w:ascii="Arial" w:hAnsi="Arial" w:cs="Arial"/>
                <w:sz w:val="16"/>
                <w:szCs w:val="16"/>
                <w:lang w:val="en-AU"/>
              </w:rPr>
            </w:pPr>
            <w:r w:rsidRPr="001F0FBA">
              <w:rPr>
                <w:rFonts w:ascii="Arial" w:hAnsi="Arial" w:cs="Arial"/>
                <w:sz w:val="16"/>
                <w:szCs w:val="16"/>
                <w:lang w:val="en-AU"/>
              </w:rPr>
              <w:t>Victorian domestic kerbside recycling (rural)</w:t>
            </w:r>
          </w:p>
          <w:p w14:paraId="0D49429C" w14:textId="77777777" w:rsidR="00B453DB" w:rsidRPr="001F0FBA" w:rsidRDefault="00B453DB" w:rsidP="005A1897">
            <w:pPr>
              <w:pStyle w:val="TableText"/>
              <w:numPr>
                <w:ilvl w:val="0"/>
                <w:numId w:val="8"/>
              </w:numPr>
              <w:rPr>
                <w:rFonts w:ascii="Arial" w:hAnsi="Arial" w:cs="Arial"/>
                <w:sz w:val="16"/>
                <w:szCs w:val="16"/>
                <w:lang w:val="en-AU"/>
              </w:rPr>
            </w:pPr>
            <w:r w:rsidRPr="001F0FBA">
              <w:rPr>
                <w:rFonts w:ascii="Arial" w:hAnsi="Arial" w:cs="Arial"/>
                <w:sz w:val="16"/>
                <w:szCs w:val="16"/>
                <w:lang w:val="en-AU"/>
              </w:rPr>
              <w:t>Victorian domestic garbage collection (rural)</w:t>
            </w:r>
          </w:p>
        </w:tc>
      </w:tr>
      <w:tr w:rsidR="00B453DB" w:rsidRPr="00B15337" w14:paraId="0D4942A0" w14:textId="77777777" w:rsidTr="00B453DB">
        <w:trPr>
          <w:cantSplit/>
        </w:trPr>
        <w:tc>
          <w:tcPr>
            <w:tcW w:w="8755" w:type="dxa"/>
            <w:gridSpan w:val="2"/>
            <w:shd w:val="pct12" w:color="auto" w:fill="auto"/>
          </w:tcPr>
          <w:p w14:paraId="0D49429E" w14:textId="77777777" w:rsidR="00B453DB" w:rsidRPr="001F0FBA" w:rsidRDefault="00B453DB" w:rsidP="005A1897">
            <w:pPr>
              <w:pStyle w:val="TableText"/>
              <w:rPr>
                <w:rFonts w:ascii="Arial" w:hAnsi="Arial" w:cs="Arial"/>
                <w:b/>
                <w:i/>
                <w:sz w:val="16"/>
                <w:szCs w:val="16"/>
                <w:lang w:val="en-AU"/>
              </w:rPr>
            </w:pPr>
            <w:r w:rsidRPr="001F0FBA">
              <w:rPr>
                <w:rFonts w:ascii="Arial" w:hAnsi="Arial" w:cs="Arial"/>
                <w:b/>
                <w:i/>
                <w:sz w:val="16"/>
                <w:szCs w:val="16"/>
                <w:lang w:val="en-AU"/>
              </w:rPr>
              <w:t>Product</w:t>
            </w:r>
          </w:p>
          <w:p w14:paraId="0D49429F" w14:textId="77777777" w:rsidR="00B453DB" w:rsidRPr="001F0FBA" w:rsidRDefault="00B453DB" w:rsidP="005A1897">
            <w:pPr>
              <w:pStyle w:val="TableText"/>
              <w:rPr>
                <w:rFonts w:ascii="Arial" w:hAnsi="Arial" w:cs="Arial"/>
                <w:b/>
                <w:i/>
                <w:sz w:val="16"/>
                <w:szCs w:val="16"/>
                <w:lang w:val="en-AU"/>
              </w:rPr>
            </w:pPr>
          </w:p>
        </w:tc>
      </w:tr>
      <w:tr w:rsidR="00B453DB" w:rsidRPr="00B15337" w14:paraId="0D4942A4" w14:textId="77777777" w:rsidTr="00B453DB">
        <w:tc>
          <w:tcPr>
            <w:tcW w:w="4077" w:type="dxa"/>
            <w:tcBorders>
              <w:bottom w:val="nil"/>
            </w:tcBorders>
          </w:tcPr>
          <w:p w14:paraId="0D4942A1" w14:textId="77777777" w:rsidR="00B453DB" w:rsidRPr="001F0FBA" w:rsidRDefault="00B453DB" w:rsidP="005A1897">
            <w:pPr>
              <w:pStyle w:val="TableText"/>
              <w:numPr>
                <w:ilvl w:val="0"/>
                <w:numId w:val="9"/>
              </w:numPr>
              <w:rPr>
                <w:rFonts w:ascii="Arial" w:hAnsi="Arial" w:cs="Arial"/>
                <w:sz w:val="16"/>
                <w:szCs w:val="16"/>
                <w:lang w:val="en-AU"/>
              </w:rPr>
            </w:pPr>
            <w:r w:rsidRPr="001F0FBA">
              <w:rPr>
                <w:rFonts w:ascii="Arial" w:hAnsi="Arial" w:cs="Arial"/>
                <w:sz w:val="16"/>
                <w:szCs w:val="16"/>
                <w:lang w:val="en-AU"/>
              </w:rPr>
              <w:t xml:space="preserve">Primary packaging including auxiliary materials of caps and labels. </w:t>
            </w:r>
          </w:p>
        </w:tc>
        <w:tc>
          <w:tcPr>
            <w:tcW w:w="4678" w:type="dxa"/>
            <w:tcBorders>
              <w:bottom w:val="nil"/>
            </w:tcBorders>
          </w:tcPr>
          <w:p w14:paraId="0D4942A2" w14:textId="77777777" w:rsidR="00B453DB" w:rsidRPr="001F0FBA" w:rsidRDefault="00B453DB" w:rsidP="005A1897">
            <w:pPr>
              <w:pStyle w:val="TableText"/>
              <w:numPr>
                <w:ilvl w:val="0"/>
                <w:numId w:val="10"/>
              </w:numPr>
              <w:rPr>
                <w:rFonts w:ascii="Arial" w:hAnsi="Arial" w:cs="Arial"/>
                <w:sz w:val="16"/>
                <w:szCs w:val="16"/>
                <w:lang w:val="en-AU"/>
              </w:rPr>
            </w:pPr>
            <w:r w:rsidRPr="001F0FBA">
              <w:rPr>
                <w:rFonts w:ascii="Arial" w:hAnsi="Arial" w:cs="Arial"/>
                <w:sz w:val="16"/>
                <w:szCs w:val="16"/>
                <w:lang w:val="en-AU"/>
              </w:rPr>
              <w:t>Secondary and tertiary packaging (of primary package)</w:t>
            </w:r>
          </w:p>
          <w:p w14:paraId="0D4942A3" w14:textId="77777777" w:rsidR="00B453DB" w:rsidRPr="001F0FBA" w:rsidRDefault="00B453DB" w:rsidP="005A1897">
            <w:pPr>
              <w:pStyle w:val="TableText"/>
              <w:numPr>
                <w:ilvl w:val="0"/>
                <w:numId w:val="10"/>
              </w:numPr>
              <w:rPr>
                <w:rFonts w:ascii="Arial" w:hAnsi="Arial" w:cs="Arial"/>
                <w:sz w:val="16"/>
                <w:szCs w:val="16"/>
                <w:lang w:val="en-AU"/>
              </w:rPr>
            </w:pPr>
            <w:r w:rsidRPr="001F0FBA">
              <w:rPr>
                <w:rFonts w:ascii="Arial" w:hAnsi="Arial" w:cs="Arial"/>
                <w:sz w:val="16"/>
                <w:szCs w:val="16"/>
                <w:lang w:val="en-AU"/>
              </w:rPr>
              <w:t>Residues and contaminants</w:t>
            </w:r>
          </w:p>
        </w:tc>
      </w:tr>
      <w:tr w:rsidR="00B453DB" w:rsidRPr="00B15337" w14:paraId="0D4942A7" w14:textId="77777777" w:rsidTr="00B453DB">
        <w:trPr>
          <w:cantSplit/>
        </w:trPr>
        <w:tc>
          <w:tcPr>
            <w:tcW w:w="8755" w:type="dxa"/>
            <w:gridSpan w:val="2"/>
            <w:shd w:val="pct12" w:color="auto" w:fill="auto"/>
          </w:tcPr>
          <w:p w14:paraId="0D4942A5" w14:textId="77777777" w:rsidR="00B453DB" w:rsidRPr="001F0FBA" w:rsidRDefault="00B453DB" w:rsidP="005A1897">
            <w:pPr>
              <w:pStyle w:val="TableText"/>
              <w:rPr>
                <w:rFonts w:ascii="Arial" w:hAnsi="Arial" w:cs="Arial"/>
                <w:b/>
                <w:i/>
                <w:sz w:val="16"/>
                <w:szCs w:val="16"/>
                <w:lang w:val="en-AU"/>
              </w:rPr>
            </w:pPr>
            <w:r w:rsidRPr="001F0FBA">
              <w:rPr>
                <w:rFonts w:ascii="Arial" w:hAnsi="Arial" w:cs="Arial"/>
                <w:b/>
                <w:i/>
                <w:sz w:val="16"/>
                <w:szCs w:val="16"/>
                <w:lang w:val="en-AU"/>
              </w:rPr>
              <w:t>Life Cycle Stages</w:t>
            </w:r>
          </w:p>
          <w:p w14:paraId="0D4942A6" w14:textId="77777777" w:rsidR="00B453DB" w:rsidRPr="001F0FBA" w:rsidRDefault="00B453DB" w:rsidP="005A1897">
            <w:pPr>
              <w:pStyle w:val="TableText"/>
              <w:rPr>
                <w:rFonts w:ascii="Arial" w:hAnsi="Arial" w:cs="Arial"/>
                <w:b/>
                <w:i/>
                <w:sz w:val="16"/>
                <w:szCs w:val="16"/>
                <w:lang w:val="en-AU"/>
              </w:rPr>
            </w:pPr>
          </w:p>
        </w:tc>
      </w:tr>
      <w:tr w:rsidR="00B453DB" w:rsidRPr="00B15337" w14:paraId="0D4942AB" w14:textId="77777777" w:rsidTr="00B453DB">
        <w:tc>
          <w:tcPr>
            <w:tcW w:w="4077" w:type="dxa"/>
          </w:tcPr>
          <w:p w14:paraId="0D4942A8" w14:textId="77777777" w:rsidR="00B453DB" w:rsidRPr="001F0FBA" w:rsidRDefault="00B453DB" w:rsidP="005A1897">
            <w:pPr>
              <w:pStyle w:val="TableText"/>
              <w:numPr>
                <w:ilvl w:val="0"/>
                <w:numId w:val="11"/>
              </w:numPr>
              <w:rPr>
                <w:rFonts w:ascii="Arial" w:hAnsi="Arial" w:cs="Arial"/>
                <w:sz w:val="16"/>
                <w:szCs w:val="16"/>
                <w:lang w:val="en-AU"/>
              </w:rPr>
            </w:pPr>
            <w:r w:rsidRPr="001F0FBA">
              <w:rPr>
                <w:rFonts w:ascii="Arial" w:hAnsi="Arial" w:cs="Arial"/>
                <w:sz w:val="16"/>
                <w:szCs w:val="16"/>
                <w:lang w:val="en-AU"/>
              </w:rPr>
              <w:t>Life cycle stages from point of discard in home through kerbside collection, transport, sorting, processing, transport, reprocessing, and market entry as recycled product.</w:t>
            </w:r>
          </w:p>
          <w:p w14:paraId="0D4942A9" w14:textId="77777777" w:rsidR="00B453DB" w:rsidRPr="001F0FBA" w:rsidRDefault="00B453DB" w:rsidP="005A1897">
            <w:pPr>
              <w:pStyle w:val="TableText"/>
              <w:numPr>
                <w:ilvl w:val="0"/>
                <w:numId w:val="11"/>
              </w:numPr>
              <w:rPr>
                <w:rFonts w:ascii="Arial" w:hAnsi="Arial" w:cs="Arial"/>
                <w:sz w:val="16"/>
                <w:szCs w:val="16"/>
                <w:lang w:val="en-AU"/>
              </w:rPr>
            </w:pPr>
            <w:r w:rsidRPr="001F0FBA">
              <w:rPr>
                <w:rFonts w:ascii="Arial" w:hAnsi="Arial" w:cs="Arial"/>
                <w:sz w:val="16"/>
                <w:szCs w:val="16"/>
                <w:lang w:val="en-AU"/>
              </w:rPr>
              <w:t>Raw Material extraction and processing of alternative product that is displaced by recycled product (i.e., the avoided product)</w:t>
            </w:r>
          </w:p>
        </w:tc>
        <w:tc>
          <w:tcPr>
            <w:tcW w:w="4678" w:type="dxa"/>
          </w:tcPr>
          <w:p w14:paraId="0D4942AA" w14:textId="77777777" w:rsidR="00B453DB" w:rsidRPr="001F0FBA" w:rsidRDefault="00B453DB" w:rsidP="005A1897">
            <w:pPr>
              <w:pStyle w:val="TableText"/>
              <w:numPr>
                <w:ilvl w:val="0"/>
                <w:numId w:val="12"/>
              </w:numPr>
              <w:rPr>
                <w:rFonts w:ascii="Arial" w:hAnsi="Arial" w:cs="Arial"/>
                <w:sz w:val="16"/>
                <w:szCs w:val="16"/>
                <w:lang w:val="en-AU"/>
              </w:rPr>
            </w:pPr>
            <w:r w:rsidRPr="001F0FBA">
              <w:rPr>
                <w:rFonts w:ascii="Arial" w:hAnsi="Arial" w:cs="Arial"/>
                <w:sz w:val="16"/>
                <w:szCs w:val="16"/>
                <w:lang w:val="en-AU"/>
              </w:rPr>
              <w:t>Life cycle stages from raw material extraction, transport, processing and manufacture, distribution and use of package.</w:t>
            </w:r>
          </w:p>
        </w:tc>
      </w:tr>
    </w:tbl>
    <w:p w14:paraId="0D4942AC" w14:textId="77777777" w:rsidR="00B15337" w:rsidRDefault="00B15337" w:rsidP="0077229C">
      <w:pPr>
        <w:rPr>
          <w:lang w:eastAsia="x-none"/>
        </w:rPr>
      </w:pPr>
    </w:p>
    <w:p w14:paraId="0D4942AD" w14:textId="76229FE0" w:rsidR="00BC40B3" w:rsidRDefault="00B3097E" w:rsidP="0077229C">
      <w:pPr>
        <w:rPr>
          <w:lang w:eastAsia="x-none"/>
        </w:rPr>
      </w:pPr>
      <w:r>
        <w:rPr>
          <w:lang w:eastAsia="x-none"/>
        </w:rPr>
        <w:t>The</w:t>
      </w:r>
      <w:r w:rsidR="00B453DB">
        <w:rPr>
          <w:lang w:eastAsia="x-none"/>
        </w:rPr>
        <w:t xml:space="preserve"> functional unit</w:t>
      </w:r>
      <w:r>
        <w:rPr>
          <w:lang w:eastAsia="x-none"/>
        </w:rPr>
        <w:t xml:space="preserve"> is the unit by which all environmental impacts are assessed. For the previous study</w:t>
      </w:r>
      <w:r w:rsidR="004B0F92">
        <w:rPr>
          <w:lang w:eastAsia="x-none"/>
        </w:rPr>
        <w:t xml:space="preserve"> </w:t>
      </w:r>
      <w:r w:rsidR="004B0F92" w:rsidRPr="00DB06F9">
        <w:fldChar w:fldCharType="begin"/>
      </w:r>
      <w:r w:rsidR="00F40CE2">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4B0F92" w:rsidRPr="00DB06F9">
        <w:fldChar w:fldCharType="separate"/>
      </w:r>
      <w:r w:rsidR="00F40CE2">
        <w:rPr>
          <w:noProof/>
        </w:rPr>
        <w:t>(</w:t>
      </w:r>
      <w:hyperlink w:anchor="_ENREF_35" w:tooltip="Grant, 2001 #262" w:history="1">
        <w:r w:rsidR="00F40CE2">
          <w:rPr>
            <w:noProof/>
          </w:rPr>
          <w:t>Grant et al., 2001a</w:t>
        </w:r>
      </w:hyperlink>
      <w:r w:rsidR="00F40CE2">
        <w:rPr>
          <w:noProof/>
        </w:rPr>
        <w:t>)</w:t>
      </w:r>
      <w:r w:rsidR="004B0F92" w:rsidRPr="00DB06F9">
        <w:fldChar w:fldCharType="end"/>
      </w:r>
      <w:r>
        <w:rPr>
          <w:lang w:eastAsia="x-none"/>
        </w:rPr>
        <w:t xml:space="preserve">, the functional unit </w:t>
      </w:r>
      <w:r w:rsidR="00B453DB">
        <w:rPr>
          <w:lang w:eastAsia="x-none"/>
        </w:rPr>
        <w:t>was defined as:</w:t>
      </w:r>
    </w:p>
    <w:p w14:paraId="0D4942AE" w14:textId="77777777" w:rsidR="00B453DB" w:rsidRPr="004B0F92" w:rsidRDefault="00B453DB" w:rsidP="004B0F92">
      <w:pPr>
        <w:ind w:left="567" w:right="521"/>
        <w:rPr>
          <w:vertAlign w:val="superscript"/>
        </w:rPr>
      </w:pPr>
      <w:r w:rsidRPr="00DB06F9">
        <w:t>The management of the recyclable</w:t>
      </w:r>
      <w:r w:rsidRPr="00DB06F9">
        <w:rPr>
          <w:rStyle w:val="FootnoteReference"/>
        </w:rPr>
        <w:footnoteReference w:id="4"/>
      </w:r>
      <w:r w:rsidRPr="00DB06F9">
        <w:t xml:space="preserve"> fractions of paper board, liquid</w:t>
      </w:r>
      <w:r w:rsidR="003F2FA5" w:rsidRPr="00DB06F9">
        <w:t xml:space="preserve"> </w:t>
      </w:r>
      <w:r w:rsidRPr="00DB06F9">
        <w:t>paper</w:t>
      </w:r>
      <w:r w:rsidR="003F2FA5" w:rsidRPr="00DB06F9">
        <w:t xml:space="preserve"> </w:t>
      </w:r>
      <w:r w:rsidRPr="00DB06F9">
        <w:t>board, HDPE, PVC, PET, other plastics, glass, steel and aluminium packaging and old newspapers discarded at kerbside from the average Melbourne household in one week</w:t>
      </w:r>
      <w:r w:rsidR="004B0F92">
        <w:rPr>
          <w:rStyle w:val="FootnoteReference"/>
        </w:rPr>
        <w:t xml:space="preserve">. </w:t>
      </w:r>
    </w:p>
    <w:p w14:paraId="0D4942AF" w14:textId="4E03A287" w:rsidR="00B453DB" w:rsidRDefault="003F2FA5" w:rsidP="006538DB">
      <w:pPr>
        <w:ind w:right="11"/>
      </w:pPr>
      <w:r>
        <w:t>The functional unit described</w:t>
      </w:r>
      <w:r w:rsidR="00B453DB">
        <w:t xml:space="preserve"> the materials considered by the study and infer</w:t>
      </w:r>
      <w:r>
        <w:t>red that the study would</w:t>
      </w:r>
      <w:r w:rsidR="00B453DB">
        <w:t xml:space="preserve"> measure impacts in terms of recycling as a means for disposing of waste. </w:t>
      </w:r>
      <w:r w:rsidR="00B3097E">
        <w:t>The benefit or impact</w:t>
      </w:r>
      <w:r>
        <w:t xml:space="preserve"> </w:t>
      </w:r>
      <w:r w:rsidR="00B3097E">
        <w:t xml:space="preserve">of recycling </w:t>
      </w:r>
      <w:r>
        <w:t>was</w:t>
      </w:r>
      <w:r w:rsidR="00B453DB">
        <w:t xml:space="preserve"> measured relative to the predominant kerbside waste disposal method in Vict</w:t>
      </w:r>
      <w:r>
        <w:t>oria</w:t>
      </w:r>
      <w:r w:rsidR="00B3097E">
        <w:t>;</w:t>
      </w:r>
      <w:r>
        <w:t xml:space="preserve"> </w:t>
      </w:r>
      <w:r w:rsidR="00B3097E">
        <w:t>disposal in l</w:t>
      </w:r>
      <w:r>
        <w:t>andfill. This approach was</w:t>
      </w:r>
      <w:r w:rsidR="00B453DB">
        <w:t xml:space="preserve"> </w:t>
      </w:r>
      <w:r w:rsidR="00B15337">
        <w:t xml:space="preserve">further described in the definition of recycling benefit described in the study shown in </w:t>
      </w:r>
      <w:r w:rsidR="00B15337">
        <w:fldChar w:fldCharType="begin"/>
      </w:r>
      <w:r w:rsidR="00B15337">
        <w:instrText xml:space="preserve"> REF _Ref337037149 \h </w:instrText>
      </w:r>
      <w:r w:rsidR="00B15337">
        <w:fldChar w:fldCharType="separate"/>
      </w:r>
      <w:r w:rsidR="00564E5C">
        <w:t xml:space="preserve">Figure </w:t>
      </w:r>
      <w:r w:rsidR="00564E5C">
        <w:rPr>
          <w:noProof/>
        </w:rPr>
        <w:t>7</w:t>
      </w:r>
      <w:r w:rsidR="00B15337">
        <w:fldChar w:fldCharType="end"/>
      </w:r>
      <w:r w:rsidR="00B15337">
        <w:t>. In this defin</w:t>
      </w:r>
      <w:r w:rsidR="005A1897">
        <w:t xml:space="preserve">ition, </w:t>
      </w:r>
      <w:r>
        <w:t>recycling benefit (net</w:t>
      </w:r>
      <w:r w:rsidR="00223714">
        <w:t xml:space="preserve"> savings from recycling) wa</w:t>
      </w:r>
      <w:r w:rsidR="00B15337">
        <w:t>s defi</w:t>
      </w:r>
      <w:r w:rsidR="005A1897">
        <w:t>ned as the sum of impacts associated with recycling collection plus the impacts associated with sorting and reprocessing of recovered materials, less the impact of avoided virgin material production and the impacts of avoided collection of materials for disposal in landfill (</w:t>
      </w:r>
      <w:r>
        <w:fldChar w:fldCharType="begin"/>
      </w:r>
      <w:r>
        <w:instrText xml:space="preserve"> REF _Ref337037149 \h </w:instrText>
      </w:r>
      <w:r>
        <w:fldChar w:fldCharType="separate"/>
      </w:r>
      <w:r w:rsidR="00564E5C">
        <w:t xml:space="preserve">Figure </w:t>
      </w:r>
      <w:r w:rsidR="00564E5C">
        <w:rPr>
          <w:noProof/>
        </w:rPr>
        <w:t>7</w:t>
      </w:r>
      <w:r>
        <w:fldChar w:fldCharType="end"/>
      </w:r>
      <w:r w:rsidR="005A1897">
        <w:t>)</w:t>
      </w:r>
      <w:r>
        <w:t>.</w:t>
      </w:r>
    </w:p>
    <w:p w14:paraId="0D4942B0" w14:textId="77777777" w:rsidR="00B15337" w:rsidRDefault="00C20D75" w:rsidP="00B15337">
      <w:pPr>
        <w:keepNext/>
      </w:pPr>
      <w:r>
        <w:rPr>
          <w:noProof/>
        </w:rPr>
        <w:drawing>
          <wp:inline distT="0" distB="0" distL="0" distR="0" wp14:anchorId="0D4946EA" wp14:editId="38D5F3E4">
            <wp:extent cx="5777865"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5" t="3608" r="1805" b="55154"/>
                    <a:stretch/>
                  </pic:blipFill>
                  <pic:spPr bwMode="auto">
                    <a:xfrm>
                      <a:off x="0" y="0"/>
                      <a:ext cx="5819860" cy="690785"/>
                    </a:xfrm>
                    <a:prstGeom prst="rect">
                      <a:avLst/>
                    </a:prstGeom>
                    <a:noFill/>
                    <a:ln>
                      <a:noFill/>
                    </a:ln>
                    <a:extLst>
                      <a:ext uri="{53640926-AAD7-44D8-BBD7-CCE9431645EC}">
                        <a14:shadowObscured xmlns:a14="http://schemas.microsoft.com/office/drawing/2010/main"/>
                      </a:ext>
                    </a:extLst>
                  </pic:spPr>
                </pic:pic>
              </a:graphicData>
            </a:graphic>
          </wp:inline>
        </w:drawing>
      </w:r>
    </w:p>
    <w:p w14:paraId="0D4942B1" w14:textId="0ABF94D5" w:rsidR="00B15337" w:rsidRDefault="00B15337" w:rsidP="00B15337">
      <w:pPr>
        <w:pStyle w:val="Caption"/>
      </w:pPr>
      <w:bookmarkStart w:id="34" w:name="_Ref337037149"/>
      <w:bookmarkStart w:id="35" w:name="_Ref358487519"/>
      <w:r>
        <w:t xml:space="preserve">Figure </w:t>
      </w:r>
      <w:r w:rsidR="00FC7DE2">
        <w:fldChar w:fldCharType="begin"/>
      </w:r>
      <w:r w:rsidR="00FC7DE2">
        <w:instrText xml:space="preserve"> SEQ Figure \* ARABIC </w:instrText>
      </w:r>
      <w:r w:rsidR="00FC7DE2">
        <w:fldChar w:fldCharType="separate"/>
      </w:r>
      <w:r w:rsidR="00564E5C">
        <w:rPr>
          <w:noProof/>
        </w:rPr>
        <w:t>7</w:t>
      </w:r>
      <w:r w:rsidR="00FC7DE2">
        <w:rPr>
          <w:noProof/>
        </w:rPr>
        <w:fldChar w:fldCharType="end"/>
      </w:r>
      <w:bookmarkEnd w:id="34"/>
      <w:r>
        <w:rPr>
          <w:lang w:val="en-AU"/>
        </w:rPr>
        <w:t xml:space="preserve"> Definition of recycling benefit from </w:t>
      </w:r>
      <w:r w:rsidR="00E01343" w:rsidRPr="00E01343">
        <w:rPr>
          <w:lang w:val="en-AU"/>
        </w:rPr>
        <w:t xml:space="preserve">Grant et al </w:t>
      </w:r>
      <w:r>
        <w:rPr>
          <w:lang w:val="en-AU"/>
        </w:rPr>
        <w:fldChar w:fldCharType="begin"/>
      </w:r>
      <w:r w:rsidR="00F40CE2">
        <w:rPr>
          <w:lang w:val="en-AU"/>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val="en-AU"/>
        </w:rPr>
        <w:fldChar w:fldCharType="separate"/>
      </w:r>
      <w:r w:rsidR="00F40CE2">
        <w:rPr>
          <w:noProof/>
          <w:lang w:val="en-AU"/>
        </w:rPr>
        <w:t>(</w:t>
      </w:r>
      <w:hyperlink w:anchor="_ENREF_35" w:tooltip="Grant, 2001 #262" w:history="1">
        <w:r w:rsidR="00F40CE2">
          <w:rPr>
            <w:noProof/>
            <w:lang w:val="en-AU"/>
          </w:rPr>
          <w:t>2001a</w:t>
        </w:r>
      </w:hyperlink>
      <w:r w:rsidR="00F40CE2">
        <w:rPr>
          <w:noProof/>
          <w:lang w:val="en-AU"/>
        </w:rPr>
        <w:t>)</w:t>
      </w:r>
      <w:r>
        <w:rPr>
          <w:lang w:val="en-AU"/>
        </w:rPr>
        <w:fldChar w:fldCharType="end"/>
      </w:r>
      <w:r>
        <w:rPr>
          <w:lang w:val="en-AU"/>
        </w:rPr>
        <w:t>.</w:t>
      </w:r>
      <w:bookmarkEnd w:id="35"/>
    </w:p>
    <w:p w14:paraId="0D4942B2" w14:textId="3962779F" w:rsidR="00B15337" w:rsidRDefault="003F2FA5" w:rsidP="00BC40B3">
      <w:pPr>
        <w:rPr>
          <w:lang w:eastAsia="x-none"/>
        </w:rPr>
      </w:pPr>
      <w:r>
        <w:rPr>
          <w:lang w:eastAsia="x-none"/>
        </w:rPr>
        <w:t xml:space="preserve">The definition of recycling benefit adopted </w:t>
      </w:r>
      <w:r w:rsidR="000E1431">
        <w:rPr>
          <w:lang w:eastAsia="x-none"/>
        </w:rPr>
        <w:t xml:space="preserve">assumes that all material recovered necessarily avoids (reduces) the extraction of resources from the environment. </w:t>
      </w:r>
      <w:r w:rsidR="0011459E">
        <w:rPr>
          <w:lang w:eastAsia="x-none"/>
        </w:rPr>
        <w:t>Proponents of a ‘consequential’ approach to LCA m</w:t>
      </w:r>
      <w:r w:rsidR="005A1897">
        <w:rPr>
          <w:lang w:eastAsia="x-none"/>
        </w:rPr>
        <w:t>ight challenge this assumption a</w:t>
      </w:r>
      <w:r w:rsidR="0011459E">
        <w:rPr>
          <w:lang w:eastAsia="x-none"/>
        </w:rPr>
        <w:t>s it is not explicitly substantiated with evidence such as market information.</w:t>
      </w:r>
      <w:r w:rsidR="000E1431">
        <w:rPr>
          <w:lang w:eastAsia="x-none"/>
        </w:rPr>
        <w:t xml:space="preserve"> A consequential approach would consider how the marginal change in the supply of reprocessed material might affect demand for that material</w:t>
      </w:r>
      <w:r w:rsidR="0011459E">
        <w:rPr>
          <w:lang w:eastAsia="x-none"/>
        </w:rPr>
        <w:t xml:space="preserve"> (often by considering supply and demand constraints)</w:t>
      </w:r>
      <w:r w:rsidR="000E1431">
        <w:rPr>
          <w:lang w:eastAsia="x-none"/>
        </w:rPr>
        <w:t>, driving secondary changes that may lead to alternative environmental outcomes. Both these approaches are discussed in</w:t>
      </w:r>
      <w:r w:rsidR="005A1897">
        <w:rPr>
          <w:lang w:eastAsia="x-none"/>
        </w:rPr>
        <w:t xml:space="preserve"> </w:t>
      </w:r>
      <w:r w:rsidR="005A1897">
        <w:rPr>
          <w:lang w:eastAsia="x-none"/>
        </w:rPr>
        <w:fldChar w:fldCharType="begin"/>
      </w:r>
      <w:r w:rsidR="005A1897">
        <w:rPr>
          <w:lang w:eastAsia="x-none"/>
        </w:rPr>
        <w:instrText xml:space="preserve"> REF _Ref360135617 \h </w:instrText>
      </w:r>
      <w:r w:rsidR="005A1897">
        <w:rPr>
          <w:lang w:eastAsia="x-none"/>
        </w:rPr>
      </w:r>
      <w:r w:rsidR="005A1897">
        <w:rPr>
          <w:lang w:eastAsia="x-none"/>
        </w:rPr>
        <w:fldChar w:fldCharType="separate"/>
      </w:r>
      <w:r w:rsidR="00564E5C">
        <w:t>Appendix A – Life Cycle Assessment and Recycling</w:t>
      </w:r>
      <w:r w:rsidR="005A1897">
        <w:rPr>
          <w:lang w:eastAsia="x-none"/>
        </w:rPr>
        <w:fldChar w:fldCharType="end"/>
      </w:r>
      <w:r w:rsidR="000E1431">
        <w:rPr>
          <w:lang w:eastAsia="x-none"/>
        </w:rPr>
        <w:t>.</w:t>
      </w:r>
    </w:p>
    <w:p w14:paraId="0D4942B3" w14:textId="6A03953E" w:rsidR="00BC40B3" w:rsidRDefault="00C365DE" w:rsidP="00BC40B3">
      <w:pPr>
        <w:rPr>
          <w:lang w:eastAsia="x-none"/>
        </w:rPr>
      </w:pPr>
      <w:r>
        <w:rPr>
          <w:lang w:eastAsia="x-none"/>
        </w:rPr>
        <w:t>Materials consider</w:t>
      </w:r>
      <w:r w:rsidR="00B30D06">
        <w:rPr>
          <w:lang w:eastAsia="x-none"/>
        </w:rPr>
        <w:t>ed</w:t>
      </w:r>
      <w:r w:rsidR="00223714">
        <w:rPr>
          <w:lang w:eastAsia="x-none"/>
        </w:rPr>
        <w:t xml:space="preserve"> by the study were </w:t>
      </w:r>
      <w:r w:rsidR="005A1897">
        <w:rPr>
          <w:lang w:eastAsia="x-none"/>
        </w:rPr>
        <w:t xml:space="preserve">those of </w:t>
      </w:r>
      <w:r>
        <w:rPr>
          <w:lang w:eastAsia="x-none"/>
        </w:rPr>
        <w:t>interest at the time of writing, and most continue to be relevant</w:t>
      </w:r>
      <w:r w:rsidR="00B30D06">
        <w:rPr>
          <w:lang w:eastAsia="x-none"/>
        </w:rPr>
        <w:t xml:space="preserve"> today. A comparison of materials studied in</w:t>
      </w:r>
      <w:r w:rsidR="004B0F92">
        <w:rPr>
          <w:lang w:eastAsia="x-none"/>
        </w:rPr>
        <w:t xml:space="preserve"> </w:t>
      </w:r>
      <w:r w:rsidR="004B0F92" w:rsidRPr="004B0F92">
        <w:rPr>
          <w:lang w:eastAsia="x-none"/>
        </w:rPr>
        <w:t>Grant et al</w:t>
      </w:r>
      <w:r w:rsidR="00B30D06">
        <w:rPr>
          <w:lang w:eastAsia="x-none"/>
        </w:rPr>
        <w:t xml:space="preserve"> </w:t>
      </w:r>
      <w:r w:rsidR="00B30D06">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B30D06">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sidR="00B30D06">
        <w:rPr>
          <w:lang w:eastAsia="x-none"/>
        </w:rPr>
        <w:fldChar w:fldCharType="end"/>
      </w:r>
      <w:r w:rsidR="00B30D06">
        <w:rPr>
          <w:lang w:eastAsia="x-none"/>
        </w:rPr>
        <w:t xml:space="preserve"> and </w:t>
      </w:r>
      <w:r w:rsidR="0011459E">
        <w:rPr>
          <w:lang w:eastAsia="x-none"/>
        </w:rPr>
        <w:t xml:space="preserve">in the most recent review of materials recovered by local councils </w:t>
      </w:r>
      <w:r w:rsidR="00B30D06">
        <w:rPr>
          <w:lang w:eastAsia="x-none"/>
        </w:rPr>
        <w:fldChar w:fldCharType="begin"/>
      </w:r>
      <w:r w:rsidR="00F40CE2">
        <w:rPr>
          <w:lang w:eastAsia="x-none"/>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B30D06">
        <w:rPr>
          <w:lang w:eastAsia="x-none"/>
        </w:rPr>
        <w:fldChar w:fldCharType="separate"/>
      </w:r>
      <w:r w:rsidR="00F40CE2">
        <w:rPr>
          <w:noProof/>
          <w:lang w:eastAsia="x-none"/>
        </w:rPr>
        <w:t>(</w:t>
      </w:r>
      <w:hyperlink w:anchor="_ENREF_73" w:tooltip="Sustainability Victoria, 2011 #39" w:history="1">
        <w:r w:rsidR="00F40CE2">
          <w:rPr>
            <w:noProof/>
            <w:lang w:eastAsia="x-none"/>
          </w:rPr>
          <w:t>Sustainability Victoria, 2011a</w:t>
        </w:r>
      </w:hyperlink>
      <w:r w:rsidR="00F40CE2">
        <w:rPr>
          <w:noProof/>
          <w:lang w:eastAsia="x-none"/>
        </w:rPr>
        <w:t>)</w:t>
      </w:r>
      <w:r w:rsidR="00B30D06">
        <w:rPr>
          <w:lang w:eastAsia="x-none"/>
        </w:rPr>
        <w:fldChar w:fldCharType="end"/>
      </w:r>
      <w:r w:rsidR="007A64EA">
        <w:rPr>
          <w:lang w:eastAsia="x-none"/>
        </w:rPr>
        <w:t xml:space="preserve"> is shown in </w:t>
      </w:r>
      <w:r w:rsidR="0019426C">
        <w:rPr>
          <w:lang w:eastAsia="x-none"/>
        </w:rPr>
        <w:fldChar w:fldCharType="begin"/>
      </w:r>
      <w:r w:rsidR="0019426C">
        <w:rPr>
          <w:lang w:eastAsia="x-none"/>
        </w:rPr>
        <w:instrText xml:space="preserve"> REF _Ref337121979 \h </w:instrText>
      </w:r>
      <w:r w:rsidR="0019426C">
        <w:rPr>
          <w:lang w:eastAsia="x-none"/>
        </w:rPr>
      </w:r>
      <w:r w:rsidR="0019426C">
        <w:rPr>
          <w:lang w:eastAsia="x-none"/>
        </w:rPr>
        <w:fldChar w:fldCharType="separate"/>
      </w:r>
      <w:r w:rsidR="00564E5C">
        <w:t xml:space="preserve">Table </w:t>
      </w:r>
      <w:r w:rsidR="00564E5C">
        <w:rPr>
          <w:noProof/>
        </w:rPr>
        <w:t>9</w:t>
      </w:r>
      <w:r w:rsidR="0019426C">
        <w:rPr>
          <w:lang w:eastAsia="x-none"/>
        </w:rPr>
        <w:fldChar w:fldCharType="end"/>
      </w:r>
      <w:r w:rsidR="0019426C">
        <w:rPr>
          <w:lang w:eastAsia="x-none"/>
        </w:rPr>
        <w:t>.</w:t>
      </w:r>
      <w:r w:rsidR="00963E55">
        <w:rPr>
          <w:lang w:eastAsia="x-none"/>
        </w:rPr>
        <w:t xml:space="preserve"> </w:t>
      </w:r>
      <w:r w:rsidR="00963E55">
        <w:rPr>
          <w:lang w:eastAsia="x-none"/>
        </w:rPr>
        <w:lastRenderedPageBreak/>
        <w:t>The table illustrates a relatively consistent list of materials considered by system operators for recovery and reprocessing.</w:t>
      </w:r>
    </w:p>
    <w:p w14:paraId="0D4942B4" w14:textId="73D7DCF4" w:rsidR="00C365DE" w:rsidRDefault="00C365DE" w:rsidP="00C365DE">
      <w:pPr>
        <w:pStyle w:val="Caption"/>
        <w:keepNext/>
      </w:pPr>
      <w:bookmarkStart w:id="36" w:name="_Ref337121979"/>
      <w:r>
        <w:t xml:space="preserve">Table </w:t>
      </w:r>
      <w:r w:rsidR="00FC7DE2">
        <w:fldChar w:fldCharType="begin"/>
      </w:r>
      <w:r w:rsidR="00FC7DE2">
        <w:instrText xml:space="preserve"> SEQ Table \* ARABIC </w:instrText>
      </w:r>
      <w:r w:rsidR="00FC7DE2">
        <w:fldChar w:fldCharType="separate"/>
      </w:r>
      <w:r w:rsidR="00564E5C">
        <w:rPr>
          <w:noProof/>
        </w:rPr>
        <w:t>9</w:t>
      </w:r>
      <w:r w:rsidR="00FC7DE2">
        <w:rPr>
          <w:noProof/>
        </w:rPr>
        <w:fldChar w:fldCharType="end"/>
      </w:r>
      <w:bookmarkEnd w:id="36"/>
      <w:r>
        <w:rPr>
          <w:lang w:val="en-AU"/>
        </w:rPr>
        <w:t xml:space="preserve"> Materials addressed in </w:t>
      </w:r>
      <w:r>
        <w:rPr>
          <w:lang w:val="en-AU"/>
        </w:rPr>
        <w:fldChar w:fldCharType="begin"/>
      </w:r>
      <w:r w:rsidR="00F40CE2">
        <w:rPr>
          <w:lang w:val="en-AU"/>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val="en-AU"/>
        </w:rPr>
        <w:fldChar w:fldCharType="separate"/>
      </w:r>
      <w:r w:rsidR="00F40CE2">
        <w:rPr>
          <w:noProof/>
          <w:lang w:val="en-AU"/>
        </w:rPr>
        <w:t>(</w:t>
      </w:r>
      <w:hyperlink w:anchor="_ENREF_35" w:tooltip="Grant, 2001 #262" w:history="1">
        <w:r w:rsidR="00F40CE2">
          <w:rPr>
            <w:noProof/>
            <w:lang w:val="en-AU"/>
          </w:rPr>
          <w:t>Grant et al., 2001a</w:t>
        </w:r>
      </w:hyperlink>
      <w:r w:rsidR="00F40CE2">
        <w:rPr>
          <w:noProof/>
          <w:lang w:val="en-AU"/>
        </w:rPr>
        <w:t>)</w:t>
      </w:r>
      <w:r>
        <w:rPr>
          <w:lang w:val="en-AU"/>
        </w:rPr>
        <w:fldChar w:fldCharType="end"/>
      </w:r>
      <w:r>
        <w:rPr>
          <w:lang w:val="en-AU"/>
        </w:rPr>
        <w:t xml:space="preserve"> and </w:t>
      </w:r>
      <w:r w:rsidR="00A556DE">
        <w:rPr>
          <w:lang w:val="en-AU"/>
        </w:rPr>
        <w:fldChar w:fldCharType="begin"/>
      </w:r>
      <w:r w:rsidR="00F40CE2">
        <w:rPr>
          <w:lang w:val="en-AU"/>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A556DE">
        <w:rPr>
          <w:lang w:val="en-AU"/>
        </w:rPr>
        <w:fldChar w:fldCharType="separate"/>
      </w:r>
      <w:r w:rsidR="00F40CE2">
        <w:rPr>
          <w:noProof/>
          <w:lang w:val="en-AU"/>
        </w:rPr>
        <w:t>(</w:t>
      </w:r>
      <w:hyperlink w:anchor="_ENREF_73" w:tooltip="Sustainability Victoria, 2011 #39" w:history="1">
        <w:r w:rsidR="00F40CE2">
          <w:rPr>
            <w:noProof/>
            <w:lang w:val="en-AU"/>
          </w:rPr>
          <w:t>Sustainability Victoria, 2011a</w:t>
        </w:r>
      </w:hyperlink>
      <w:r w:rsidR="00F40CE2">
        <w:rPr>
          <w:noProof/>
          <w:lang w:val="en-AU"/>
        </w:rPr>
        <w:t>)</w:t>
      </w:r>
      <w:r w:rsidR="00A556DE">
        <w:rPr>
          <w:lang w:val="en-AU"/>
        </w:rPr>
        <w:fldChar w:fldCharType="end"/>
      </w:r>
      <w:r w:rsidR="00A556DE">
        <w:rPr>
          <w:lang w:val="en-A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365DE" w:rsidRPr="00CE4966" w14:paraId="0D4942B7" w14:textId="77777777" w:rsidTr="00BA0E49">
        <w:tc>
          <w:tcPr>
            <w:tcW w:w="4786" w:type="dxa"/>
            <w:shd w:val="clear" w:color="auto" w:fill="D9D9D9"/>
          </w:tcPr>
          <w:p w14:paraId="0D4942B5" w14:textId="38E212AC" w:rsidR="00C365DE" w:rsidRPr="00CE4966" w:rsidRDefault="00C365DE" w:rsidP="00F40CE2">
            <w:pPr>
              <w:spacing w:after="0"/>
              <w:rPr>
                <w:b/>
                <w:lang w:eastAsia="x-none"/>
              </w:rPr>
            </w:pPr>
            <w:r w:rsidRPr="00CE4966">
              <w:rPr>
                <w:b/>
                <w:lang w:eastAsia="x-none"/>
              </w:rPr>
              <w:t xml:space="preserve">Material in </w:t>
            </w:r>
            <w:r w:rsidRPr="00CE4966">
              <w:rPr>
                <w:b/>
                <w:lang w:eastAsia="x-none"/>
              </w:rPr>
              <w:fldChar w:fldCharType="begin"/>
            </w:r>
            <w:r w:rsidR="00F40CE2">
              <w:rPr>
                <w:b/>
                <w:lang w:eastAsia="x-none"/>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Pr="00CE4966">
              <w:rPr>
                <w:b/>
                <w:lang w:eastAsia="x-none"/>
              </w:rPr>
              <w:fldChar w:fldCharType="separate"/>
            </w:r>
            <w:r w:rsidR="00F40CE2">
              <w:rPr>
                <w:b/>
                <w:noProof/>
                <w:lang w:eastAsia="x-none"/>
              </w:rPr>
              <w:t>(</w:t>
            </w:r>
            <w:hyperlink w:anchor="_ENREF_35" w:tooltip="Grant, 2001 #262" w:history="1">
              <w:r w:rsidR="00F40CE2">
                <w:rPr>
                  <w:b/>
                  <w:noProof/>
                  <w:lang w:eastAsia="x-none"/>
                </w:rPr>
                <w:t>Grant et al., 2001a</w:t>
              </w:r>
            </w:hyperlink>
            <w:r w:rsidR="00F40CE2">
              <w:rPr>
                <w:b/>
                <w:noProof/>
                <w:lang w:eastAsia="x-none"/>
              </w:rPr>
              <w:t>)</w:t>
            </w:r>
            <w:r w:rsidRPr="00CE4966">
              <w:rPr>
                <w:b/>
                <w:lang w:eastAsia="x-none"/>
              </w:rPr>
              <w:fldChar w:fldCharType="end"/>
            </w:r>
          </w:p>
        </w:tc>
        <w:tc>
          <w:tcPr>
            <w:tcW w:w="4394" w:type="dxa"/>
            <w:shd w:val="clear" w:color="auto" w:fill="D9D9D9"/>
          </w:tcPr>
          <w:p w14:paraId="0D4942B6" w14:textId="3B004E98" w:rsidR="00C365DE" w:rsidRPr="00CE4966" w:rsidRDefault="00C365DE" w:rsidP="00F40CE2">
            <w:pPr>
              <w:spacing w:after="0"/>
              <w:rPr>
                <w:b/>
                <w:lang w:eastAsia="x-none"/>
              </w:rPr>
            </w:pPr>
            <w:r w:rsidRPr="00CE4966">
              <w:rPr>
                <w:b/>
                <w:lang w:eastAsia="x-none"/>
              </w:rPr>
              <w:t xml:space="preserve">Noted in </w:t>
            </w:r>
            <w:r w:rsidRPr="00CE4966">
              <w:rPr>
                <w:b/>
                <w:lang w:eastAsia="x-none"/>
              </w:rPr>
              <w:fldChar w:fldCharType="begin"/>
            </w:r>
            <w:r w:rsidR="00F40CE2">
              <w:rPr>
                <w:b/>
                <w:lang w:eastAsia="x-none"/>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Pr="00CE4966">
              <w:rPr>
                <w:b/>
                <w:lang w:eastAsia="x-none"/>
              </w:rPr>
              <w:fldChar w:fldCharType="separate"/>
            </w:r>
            <w:r w:rsidR="00F40CE2">
              <w:rPr>
                <w:b/>
                <w:noProof/>
                <w:lang w:eastAsia="x-none"/>
              </w:rPr>
              <w:t>(</w:t>
            </w:r>
            <w:hyperlink w:anchor="_ENREF_73" w:tooltip="Sustainability Victoria, 2011 #39" w:history="1">
              <w:r w:rsidR="00F40CE2">
                <w:rPr>
                  <w:b/>
                  <w:noProof/>
                  <w:lang w:eastAsia="x-none"/>
                </w:rPr>
                <w:t>Sustainability Victoria, 2011a</w:t>
              </w:r>
            </w:hyperlink>
            <w:r w:rsidR="00F40CE2">
              <w:rPr>
                <w:b/>
                <w:noProof/>
                <w:lang w:eastAsia="x-none"/>
              </w:rPr>
              <w:t>)</w:t>
            </w:r>
            <w:r w:rsidRPr="00CE4966">
              <w:rPr>
                <w:b/>
                <w:lang w:eastAsia="x-none"/>
              </w:rPr>
              <w:fldChar w:fldCharType="end"/>
            </w:r>
          </w:p>
        </w:tc>
      </w:tr>
      <w:tr w:rsidR="00C365DE" w:rsidRPr="00C365DE" w14:paraId="0D4942BA" w14:textId="77777777" w:rsidTr="00BA0E49">
        <w:tc>
          <w:tcPr>
            <w:tcW w:w="4786" w:type="dxa"/>
          </w:tcPr>
          <w:p w14:paraId="0D4942B8" w14:textId="77777777" w:rsidR="00C365DE" w:rsidRPr="00C365DE" w:rsidRDefault="00C365DE" w:rsidP="00CE4966">
            <w:pPr>
              <w:spacing w:after="0"/>
              <w:rPr>
                <w:lang w:eastAsia="x-none"/>
              </w:rPr>
            </w:pPr>
            <w:r>
              <w:rPr>
                <w:lang w:eastAsia="x-none"/>
              </w:rPr>
              <w:t>Newspapers</w:t>
            </w:r>
          </w:p>
        </w:tc>
        <w:tc>
          <w:tcPr>
            <w:tcW w:w="4394" w:type="dxa"/>
          </w:tcPr>
          <w:p w14:paraId="0D4942B9" w14:textId="77777777" w:rsidR="00C365DE" w:rsidRDefault="00C365DE" w:rsidP="00CE4966">
            <w:pPr>
              <w:spacing w:after="0"/>
              <w:rPr>
                <w:lang w:eastAsia="x-none"/>
              </w:rPr>
            </w:pPr>
            <w:r>
              <w:rPr>
                <w:lang w:eastAsia="x-none"/>
              </w:rPr>
              <w:t>Not mentioned</w:t>
            </w:r>
          </w:p>
        </w:tc>
      </w:tr>
      <w:tr w:rsidR="00C365DE" w:rsidRPr="00C365DE" w14:paraId="0D4942BE" w14:textId="77777777" w:rsidTr="00BA0E49">
        <w:tc>
          <w:tcPr>
            <w:tcW w:w="4786" w:type="dxa"/>
          </w:tcPr>
          <w:p w14:paraId="0D4942BB" w14:textId="77777777" w:rsidR="00C365DE" w:rsidRPr="00C365DE" w:rsidRDefault="00C365DE" w:rsidP="00CE4966">
            <w:pPr>
              <w:spacing w:after="0"/>
              <w:rPr>
                <w:lang w:eastAsia="x-none"/>
              </w:rPr>
            </w:pPr>
            <w:r w:rsidRPr="00C365DE">
              <w:rPr>
                <w:lang w:eastAsia="x-none"/>
              </w:rPr>
              <w:t>Paper and board packaging (corrugated containers and box-board);</w:t>
            </w:r>
          </w:p>
        </w:tc>
        <w:tc>
          <w:tcPr>
            <w:tcW w:w="4394" w:type="dxa"/>
          </w:tcPr>
          <w:p w14:paraId="0D4942BC" w14:textId="77777777" w:rsidR="00C365DE" w:rsidRDefault="00C365DE" w:rsidP="00CE4966">
            <w:pPr>
              <w:spacing w:after="0"/>
              <w:rPr>
                <w:lang w:eastAsia="x-none"/>
              </w:rPr>
            </w:pPr>
            <w:r>
              <w:rPr>
                <w:lang w:eastAsia="x-none"/>
              </w:rPr>
              <w:t>Paper (white, mixed)</w:t>
            </w:r>
          </w:p>
          <w:p w14:paraId="0D4942BD" w14:textId="77777777" w:rsidR="00C365DE" w:rsidRPr="00C365DE" w:rsidRDefault="00C365DE" w:rsidP="00CE4966">
            <w:pPr>
              <w:spacing w:after="0"/>
              <w:rPr>
                <w:lang w:eastAsia="x-none"/>
              </w:rPr>
            </w:pPr>
            <w:r>
              <w:rPr>
                <w:lang w:eastAsia="x-none"/>
              </w:rPr>
              <w:t>Cardboard</w:t>
            </w:r>
          </w:p>
        </w:tc>
      </w:tr>
      <w:tr w:rsidR="00C365DE" w:rsidRPr="00C365DE" w14:paraId="0D4942C1" w14:textId="77777777" w:rsidTr="00BA0E49">
        <w:tc>
          <w:tcPr>
            <w:tcW w:w="4786" w:type="dxa"/>
          </w:tcPr>
          <w:p w14:paraId="0D4942BF" w14:textId="77777777" w:rsidR="00C365DE" w:rsidRPr="00C365DE" w:rsidRDefault="006D454C" w:rsidP="00CE4966">
            <w:pPr>
              <w:spacing w:after="0"/>
              <w:rPr>
                <w:lang w:eastAsia="x-none"/>
              </w:rPr>
            </w:pPr>
            <w:r w:rsidRPr="00C365DE">
              <w:rPr>
                <w:lang w:eastAsia="x-none"/>
              </w:rPr>
              <w:t>Liquid paperboard</w:t>
            </w:r>
            <w:r w:rsidR="00C365DE" w:rsidRPr="00C365DE">
              <w:rPr>
                <w:lang w:eastAsia="x-none"/>
              </w:rPr>
              <w:t xml:space="preserve"> (LPB) (gable top and aseptic cartons);</w:t>
            </w:r>
          </w:p>
        </w:tc>
        <w:tc>
          <w:tcPr>
            <w:tcW w:w="4394" w:type="dxa"/>
          </w:tcPr>
          <w:p w14:paraId="0D4942C0" w14:textId="77777777" w:rsidR="00C365DE" w:rsidRPr="00C365DE" w:rsidRDefault="00C365DE" w:rsidP="00CE4966">
            <w:pPr>
              <w:spacing w:after="0"/>
              <w:rPr>
                <w:lang w:eastAsia="x-none"/>
              </w:rPr>
            </w:pPr>
            <w:r>
              <w:rPr>
                <w:lang w:eastAsia="x-none"/>
              </w:rPr>
              <w:t>Liquid paper board</w:t>
            </w:r>
          </w:p>
        </w:tc>
      </w:tr>
      <w:tr w:rsidR="00C365DE" w:rsidRPr="00C365DE" w14:paraId="0D4942C4" w14:textId="77777777" w:rsidTr="00BA0E49">
        <w:tc>
          <w:tcPr>
            <w:tcW w:w="4786" w:type="dxa"/>
          </w:tcPr>
          <w:p w14:paraId="0D4942C2" w14:textId="77777777" w:rsidR="00C365DE" w:rsidRPr="00C365DE" w:rsidRDefault="00C365DE" w:rsidP="00CE4966">
            <w:pPr>
              <w:spacing w:after="0"/>
              <w:rPr>
                <w:lang w:eastAsia="x-none"/>
              </w:rPr>
            </w:pPr>
            <w:r w:rsidRPr="00C365DE">
              <w:rPr>
                <w:lang w:eastAsia="x-none"/>
              </w:rPr>
              <w:t>High density polyethylene (HDPE) bottles;</w:t>
            </w:r>
          </w:p>
        </w:tc>
        <w:tc>
          <w:tcPr>
            <w:tcW w:w="4394" w:type="dxa"/>
          </w:tcPr>
          <w:p w14:paraId="0D4942C3" w14:textId="77777777" w:rsidR="00C365DE" w:rsidRPr="00C365DE" w:rsidRDefault="00C365DE" w:rsidP="00CE4966">
            <w:pPr>
              <w:spacing w:after="0"/>
              <w:rPr>
                <w:lang w:eastAsia="x-none"/>
              </w:rPr>
            </w:pPr>
            <w:r>
              <w:rPr>
                <w:lang w:eastAsia="x-none"/>
              </w:rPr>
              <w:t>HDPE (clear, coloured)</w:t>
            </w:r>
          </w:p>
        </w:tc>
      </w:tr>
      <w:tr w:rsidR="00C365DE" w:rsidRPr="00C365DE" w14:paraId="0D4942C7" w14:textId="77777777" w:rsidTr="00BA0E49">
        <w:tc>
          <w:tcPr>
            <w:tcW w:w="4786" w:type="dxa"/>
          </w:tcPr>
          <w:p w14:paraId="0D4942C5" w14:textId="77777777" w:rsidR="00C365DE" w:rsidRPr="00C365DE" w:rsidRDefault="00C365DE" w:rsidP="00CE4966">
            <w:pPr>
              <w:spacing w:after="0"/>
              <w:rPr>
                <w:lang w:eastAsia="x-none"/>
              </w:rPr>
            </w:pPr>
            <w:r w:rsidRPr="00C365DE">
              <w:rPr>
                <w:lang w:eastAsia="x-none"/>
              </w:rPr>
              <w:t>Polyvinyl chloride (PVC) bottles;</w:t>
            </w:r>
          </w:p>
        </w:tc>
        <w:tc>
          <w:tcPr>
            <w:tcW w:w="4394" w:type="dxa"/>
          </w:tcPr>
          <w:p w14:paraId="0D4942C6" w14:textId="77777777" w:rsidR="00C365DE" w:rsidRPr="00C365DE" w:rsidRDefault="00C365DE" w:rsidP="00CE4966">
            <w:pPr>
              <w:spacing w:after="0"/>
              <w:rPr>
                <w:lang w:eastAsia="x-none"/>
              </w:rPr>
            </w:pPr>
            <w:r>
              <w:rPr>
                <w:lang w:eastAsia="x-none"/>
              </w:rPr>
              <w:t>PVC</w:t>
            </w:r>
          </w:p>
        </w:tc>
      </w:tr>
      <w:tr w:rsidR="00C365DE" w:rsidRPr="00C365DE" w14:paraId="0D4942CA" w14:textId="77777777" w:rsidTr="00BA0E49">
        <w:tc>
          <w:tcPr>
            <w:tcW w:w="4786" w:type="dxa"/>
          </w:tcPr>
          <w:p w14:paraId="0D4942C8" w14:textId="77777777" w:rsidR="00C365DE" w:rsidRPr="00C365DE" w:rsidRDefault="00C365DE" w:rsidP="00CE4966">
            <w:pPr>
              <w:spacing w:after="0"/>
              <w:rPr>
                <w:lang w:eastAsia="x-none"/>
              </w:rPr>
            </w:pPr>
            <w:r w:rsidRPr="00C365DE">
              <w:rPr>
                <w:lang w:eastAsia="x-none"/>
              </w:rPr>
              <w:t>Polyethylene terephthalate (PET) bottles;</w:t>
            </w:r>
          </w:p>
        </w:tc>
        <w:tc>
          <w:tcPr>
            <w:tcW w:w="4394" w:type="dxa"/>
          </w:tcPr>
          <w:p w14:paraId="0D4942C9" w14:textId="77777777" w:rsidR="00C365DE" w:rsidRPr="00C365DE" w:rsidRDefault="00C365DE" w:rsidP="00CE4966">
            <w:pPr>
              <w:spacing w:after="0"/>
              <w:rPr>
                <w:lang w:eastAsia="x-none"/>
              </w:rPr>
            </w:pPr>
            <w:r>
              <w:rPr>
                <w:lang w:eastAsia="x-none"/>
              </w:rPr>
              <w:t>PET</w:t>
            </w:r>
          </w:p>
        </w:tc>
      </w:tr>
      <w:tr w:rsidR="00C365DE" w:rsidRPr="00C365DE" w14:paraId="0D4942CD" w14:textId="77777777" w:rsidTr="00BA0E49">
        <w:tc>
          <w:tcPr>
            <w:tcW w:w="4786" w:type="dxa"/>
          </w:tcPr>
          <w:p w14:paraId="0D4942CB" w14:textId="77777777" w:rsidR="00C365DE" w:rsidRPr="00C365DE" w:rsidRDefault="00C365DE" w:rsidP="00CE4966">
            <w:pPr>
              <w:spacing w:after="0"/>
              <w:rPr>
                <w:lang w:eastAsia="x-none"/>
              </w:rPr>
            </w:pPr>
            <w:r w:rsidRPr="00C365DE">
              <w:rPr>
                <w:lang w:eastAsia="x-none"/>
              </w:rPr>
              <w:t>Other, mixed packaging plastics (flexible and rigid);</w:t>
            </w:r>
          </w:p>
        </w:tc>
        <w:tc>
          <w:tcPr>
            <w:tcW w:w="4394" w:type="dxa"/>
          </w:tcPr>
          <w:p w14:paraId="0D4942CC" w14:textId="77777777" w:rsidR="00C365DE" w:rsidRPr="00C365DE" w:rsidRDefault="00C365DE" w:rsidP="00CE4966">
            <w:pPr>
              <w:spacing w:after="0"/>
              <w:rPr>
                <w:lang w:eastAsia="x-none"/>
              </w:rPr>
            </w:pPr>
            <w:r>
              <w:rPr>
                <w:lang w:eastAsia="x-none"/>
              </w:rPr>
              <w:t>Other plastics</w:t>
            </w:r>
          </w:p>
        </w:tc>
      </w:tr>
      <w:tr w:rsidR="00C365DE" w:rsidRPr="00C365DE" w14:paraId="0D4942D0" w14:textId="77777777" w:rsidTr="00BA0E49">
        <w:tc>
          <w:tcPr>
            <w:tcW w:w="4786" w:type="dxa"/>
          </w:tcPr>
          <w:p w14:paraId="0D4942CE" w14:textId="77777777" w:rsidR="00C365DE" w:rsidRPr="00C365DE" w:rsidRDefault="00C365DE" w:rsidP="00CE4966">
            <w:pPr>
              <w:spacing w:after="0"/>
              <w:rPr>
                <w:lang w:eastAsia="x-none"/>
              </w:rPr>
            </w:pPr>
            <w:r w:rsidRPr="00C365DE">
              <w:rPr>
                <w:lang w:eastAsia="x-none"/>
              </w:rPr>
              <w:t>Glass bottles and jars;</w:t>
            </w:r>
          </w:p>
        </w:tc>
        <w:tc>
          <w:tcPr>
            <w:tcW w:w="4394" w:type="dxa"/>
          </w:tcPr>
          <w:p w14:paraId="0D4942CF" w14:textId="77777777" w:rsidR="00C365DE" w:rsidRPr="00C365DE" w:rsidRDefault="00C365DE" w:rsidP="00CE4966">
            <w:pPr>
              <w:spacing w:after="0"/>
              <w:rPr>
                <w:lang w:eastAsia="x-none"/>
              </w:rPr>
            </w:pPr>
            <w:r>
              <w:rPr>
                <w:lang w:eastAsia="x-none"/>
              </w:rPr>
              <w:t>Glass (green, brown, clear)</w:t>
            </w:r>
          </w:p>
        </w:tc>
      </w:tr>
      <w:tr w:rsidR="00C365DE" w:rsidRPr="00C365DE" w14:paraId="0D4942D3" w14:textId="77777777" w:rsidTr="00BA0E49">
        <w:tc>
          <w:tcPr>
            <w:tcW w:w="4786" w:type="dxa"/>
          </w:tcPr>
          <w:p w14:paraId="0D4942D1" w14:textId="77777777" w:rsidR="00C365DE" w:rsidRPr="00C365DE" w:rsidRDefault="00C365DE" w:rsidP="00CE4966">
            <w:pPr>
              <w:spacing w:after="0"/>
              <w:rPr>
                <w:lang w:eastAsia="x-none"/>
              </w:rPr>
            </w:pPr>
            <w:r w:rsidRPr="00C365DE">
              <w:rPr>
                <w:lang w:eastAsia="x-none"/>
              </w:rPr>
              <w:t xml:space="preserve">Steel cans; and </w:t>
            </w:r>
          </w:p>
        </w:tc>
        <w:tc>
          <w:tcPr>
            <w:tcW w:w="4394" w:type="dxa"/>
          </w:tcPr>
          <w:p w14:paraId="0D4942D2" w14:textId="77777777" w:rsidR="00C365DE" w:rsidRPr="00C365DE" w:rsidRDefault="00C365DE" w:rsidP="00CE4966">
            <w:pPr>
              <w:spacing w:after="0"/>
              <w:rPr>
                <w:lang w:eastAsia="x-none"/>
              </w:rPr>
            </w:pPr>
            <w:r>
              <w:rPr>
                <w:lang w:eastAsia="x-none"/>
              </w:rPr>
              <w:t>Steel cans</w:t>
            </w:r>
          </w:p>
        </w:tc>
      </w:tr>
      <w:tr w:rsidR="00C365DE" w:rsidRPr="00C365DE" w14:paraId="0D4942D6" w14:textId="77777777" w:rsidTr="00BA0E49">
        <w:tc>
          <w:tcPr>
            <w:tcW w:w="4786" w:type="dxa"/>
          </w:tcPr>
          <w:p w14:paraId="0D4942D4" w14:textId="77777777" w:rsidR="00C365DE" w:rsidRPr="00C365DE" w:rsidRDefault="00C365DE" w:rsidP="00CE4966">
            <w:pPr>
              <w:spacing w:after="0"/>
              <w:rPr>
                <w:lang w:eastAsia="x-none"/>
              </w:rPr>
            </w:pPr>
            <w:r w:rsidRPr="00C365DE">
              <w:rPr>
                <w:lang w:eastAsia="x-none"/>
              </w:rPr>
              <w:t>Aluminium cans.</w:t>
            </w:r>
          </w:p>
        </w:tc>
        <w:tc>
          <w:tcPr>
            <w:tcW w:w="4394" w:type="dxa"/>
          </w:tcPr>
          <w:p w14:paraId="0D4942D5" w14:textId="77777777" w:rsidR="00C365DE" w:rsidRPr="00C365DE" w:rsidRDefault="00C365DE" w:rsidP="00CE4966">
            <w:pPr>
              <w:spacing w:after="0"/>
              <w:rPr>
                <w:lang w:eastAsia="x-none"/>
              </w:rPr>
            </w:pPr>
            <w:r>
              <w:rPr>
                <w:lang w:eastAsia="x-none"/>
              </w:rPr>
              <w:t>Aluminium cans</w:t>
            </w:r>
          </w:p>
        </w:tc>
      </w:tr>
    </w:tbl>
    <w:p w14:paraId="0D4942D7" w14:textId="77777777" w:rsidR="00C365DE" w:rsidRDefault="00C365DE" w:rsidP="005A1897">
      <w:pPr>
        <w:spacing w:after="0"/>
        <w:rPr>
          <w:lang w:eastAsia="x-none"/>
        </w:rPr>
      </w:pPr>
    </w:p>
    <w:p w14:paraId="0D4942D8" w14:textId="332C96CB" w:rsidR="0019426C" w:rsidRDefault="0019426C" w:rsidP="00BC40B3">
      <w:pPr>
        <w:rPr>
          <w:lang w:eastAsia="x-none"/>
        </w:rPr>
      </w:pPr>
      <w:r>
        <w:rPr>
          <w:lang w:eastAsia="x-none"/>
        </w:rPr>
        <w:t xml:space="preserve">The reprocessing of each material shown in </w:t>
      </w:r>
      <w:r w:rsidR="00B3097E">
        <w:rPr>
          <w:lang w:eastAsia="x-none"/>
        </w:rPr>
        <w:t xml:space="preserve">the first column of </w:t>
      </w:r>
      <w:r>
        <w:rPr>
          <w:lang w:eastAsia="x-none"/>
        </w:rPr>
        <w:fldChar w:fldCharType="begin"/>
      </w:r>
      <w:r>
        <w:rPr>
          <w:lang w:eastAsia="x-none"/>
        </w:rPr>
        <w:instrText xml:space="preserve"> REF _Ref337121979 \h </w:instrText>
      </w:r>
      <w:r>
        <w:rPr>
          <w:lang w:eastAsia="x-none"/>
        </w:rPr>
      </w:r>
      <w:r>
        <w:rPr>
          <w:lang w:eastAsia="x-none"/>
        </w:rPr>
        <w:fldChar w:fldCharType="separate"/>
      </w:r>
      <w:r w:rsidR="00564E5C">
        <w:t xml:space="preserve">Table </w:t>
      </w:r>
      <w:r w:rsidR="00564E5C">
        <w:rPr>
          <w:noProof/>
        </w:rPr>
        <w:t>9</w:t>
      </w:r>
      <w:r>
        <w:rPr>
          <w:lang w:eastAsia="x-none"/>
        </w:rPr>
        <w:fldChar w:fldCharType="end"/>
      </w:r>
      <w:r>
        <w:rPr>
          <w:lang w:eastAsia="x-none"/>
        </w:rPr>
        <w:t xml:space="preserve"> was assessed using the LCA technique, as were system-wide processes such as collection and the</w:t>
      </w:r>
      <w:r w:rsidR="00F514E5">
        <w:rPr>
          <w:lang w:eastAsia="x-none"/>
        </w:rPr>
        <w:t xml:space="preserve"> MRF</w:t>
      </w:r>
      <w:r>
        <w:rPr>
          <w:lang w:eastAsia="x-none"/>
        </w:rPr>
        <w:t xml:space="preserve">. In addition to processes directly associated with the recycling system, the definition of benefit </w:t>
      </w:r>
      <w:r w:rsidR="00EB23FA">
        <w:rPr>
          <w:lang w:eastAsia="x-none"/>
        </w:rPr>
        <w:t>(</w:t>
      </w:r>
      <w:r>
        <w:rPr>
          <w:lang w:eastAsia="x-none"/>
        </w:rPr>
        <w:fldChar w:fldCharType="begin"/>
      </w:r>
      <w:r>
        <w:rPr>
          <w:lang w:eastAsia="x-none"/>
        </w:rPr>
        <w:instrText xml:space="preserve"> REF _Ref337037149 \h </w:instrText>
      </w:r>
      <w:r>
        <w:rPr>
          <w:lang w:eastAsia="x-none"/>
        </w:rPr>
      </w:r>
      <w:r>
        <w:rPr>
          <w:lang w:eastAsia="x-none"/>
        </w:rPr>
        <w:fldChar w:fldCharType="separate"/>
      </w:r>
      <w:r w:rsidR="00564E5C">
        <w:t xml:space="preserve">Figure </w:t>
      </w:r>
      <w:r w:rsidR="00564E5C">
        <w:rPr>
          <w:noProof/>
        </w:rPr>
        <w:t>7</w:t>
      </w:r>
      <w:r>
        <w:rPr>
          <w:lang w:eastAsia="x-none"/>
        </w:rPr>
        <w:fldChar w:fldCharType="end"/>
      </w:r>
      <w:r w:rsidR="00EB23FA">
        <w:rPr>
          <w:lang w:eastAsia="x-none"/>
        </w:rPr>
        <w:t>)</w:t>
      </w:r>
      <w:r>
        <w:rPr>
          <w:lang w:eastAsia="x-none"/>
        </w:rPr>
        <w:t xml:space="preserve"> used required that impacts be assessed for the processing of waste in landfill, and for the production of materials from virgin (extracted from nature) sources.</w:t>
      </w:r>
    </w:p>
    <w:p w14:paraId="0D4942D9" w14:textId="01E8BA7F" w:rsidR="0019426C" w:rsidRDefault="0019426C" w:rsidP="00BC40B3">
      <w:pPr>
        <w:rPr>
          <w:lang w:eastAsia="x-none"/>
        </w:rPr>
      </w:pPr>
      <w:r>
        <w:rPr>
          <w:lang w:eastAsia="x-none"/>
        </w:rPr>
        <w:t xml:space="preserve">When characterising the results of </w:t>
      </w:r>
      <w:r w:rsidR="00C640DC">
        <w:rPr>
          <w:lang w:eastAsia="x-none"/>
        </w:rPr>
        <w:t xml:space="preserve">the LCA, </w:t>
      </w:r>
      <w:r w:rsidR="00C640DC">
        <w:rPr>
          <w:lang w:eastAsia="x-none"/>
        </w:rPr>
        <w:fldChar w:fldCharType="begin"/>
      </w:r>
      <w:r w:rsidR="00F40CE2">
        <w:rPr>
          <w:lang w:eastAsia="x-none"/>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C640DC">
        <w:rPr>
          <w:lang w:eastAsia="x-none"/>
        </w:rPr>
        <w:fldChar w:fldCharType="separate"/>
      </w:r>
      <w:r w:rsidR="00F40CE2">
        <w:rPr>
          <w:noProof/>
          <w:lang w:eastAsia="x-none"/>
        </w:rPr>
        <w:t>(</w:t>
      </w:r>
      <w:hyperlink w:anchor="_ENREF_35" w:tooltip="Grant, 2001 #262" w:history="1">
        <w:r w:rsidR="00F40CE2">
          <w:rPr>
            <w:noProof/>
            <w:lang w:eastAsia="x-none"/>
          </w:rPr>
          <w:t>Grant et al., 2001a</w:t>
        </w:r>
      </w:hyperlink>
      <w:r w:rsidR="00F40CE2">
        <w:rPr>
          <w:noProof/>
          <w:lang w:eastAsia="x-none"/>
        </w:rPr>
        <w:t>)</w:t>
      </w:r>
      <w:r w:rsidR="00C640DC">
        <w:rPr>
          <w:lang w:eastAsia="x-none"/>
        </w:rPr>
        <w:fldChar w:fldCharType="end"/>
      </w:r>
      <w:r w:rsidR="00C640DC">
        <w:rPr>
          <w:lang w:eastAsia="x-none"/>
        </w:rPr>
        <w:t xml:space="preserve"> employed five </w:t>
      </w:r>
      <w:r w:rsidR="00B3097E">
        <w:rPr>
          <w:lang w:eastAsia="x-none"/>
        </w:rPr>
        <w:t xml:space="preserve">environmental </w:t>
      </w:r>
      <w:r w:rsidR="00C640DC">
        <w:rPr>
          <w:lang w:eastAsia="x-none"/>
        </w:rPr>
        <w:t>indicators to characterise impacts as follows:</w:t>
      </w:r>
    </w:p>
    <w:p w14:paraId="0D4942DA" w14:textId="77777777" w:rsidR="00BC40B3" w:rsidRDefault="00BC40B3" w:rsidP="00DB06F9">
      <w:pPr>
        <w:numPr>
          <w:ilvl w:val="0"/>
          <w:numId w:val="13"/>
        </w:numPr>
        <w:spacing w:after="0"/>
        <w:ind w:left="567" w:hanging="567"/>
        <w:rPr>
          <w:lang w:eastAsia="x-none"/>
        </w:rPr>
      </w:pPr>
      <w:r>
        <w:rPr>
          <w:lang w:eastAsia="x-none"/>
        </w:rPr>
        <w:t>Greenhouse</w:t>
      </w:r>
      <w:r w:rsidR="00B3097E">
        <w:rPr>
          <w:lang w:eastAsia="x-none"/>
        </w:rPr>
        <w:t xml:space="preserve"> emissions</w:t>
      </w:r>
    </w:p>
    <w:p w14:paraId="0D4942DB" w14:textId="77777777" w:rsidR="00BC40B3" w:rsidRDefault="00BC40B3" w:rsidP="00DB06F9">
      <w:pPr>
        <w:numPr>
          <w:ilvl w:val="0"/>
          <w:numId w:val="13"/>
        </w:numPr>
        <w:spacing w:after="0"/>
        <w:ind w:left="567" w:hanging="567"/>
        <w:rPr>
          <w:lang w:eastAsia="x-none"/>
        </w:rPr>
      </w:pPr>
      <w:r>
        <w:rPr>
          <w:lang w:eastAsia="x-none"/>
        </w:rPr>
        <w:t>Smog precursors</w:t>
      </w:r>
    </w:p>
    <w:p w14:paraId="0D4942DC" w14:textId="77777777" w:rsidR="00BC40B3" w:rsidRDefault="00BC40B3" w:rsidP="00DB06F9">
      <w:pPr>
        <w:numPr>
          <w:ilvl w:val="0"/>
          <w:numId w:val="13"/>
        </w:numPr>
        <w:spacing w:after="0"/>
        <w:ind w:left="567" w:hanging="567"/>
        <w:rPr>
          <w:lang w:eastAsia="x-none"/>
        </w:rPr>
      </w:pPr>
      <w:r>
        <w:rPr>
          <w:lang w:eastAsia="x-none"/>
        </w:rPr>
        <w:t>Energy embodied</w:t>
      </w:r>
    </w:p>
    <w:p w14:paraId="0D4942DD" w14:textId="77777777" w:rsidR="00BC40B3" w:rsidRDefault="00BC40B3" w:rsidP="00DB06F9">
      <w:pPr>
        <w:numPr>
          <w:ilvl w:val="0"/>
          <w:numId w:val="13"/>
        </w:numPr>
        <w:spacing w:after="0"/>
        <w:ind w:left="567" w:hanging="567"/>
        <w:rPr>
          <w:lang w:eastAsia="x-none"/>
        </w:rPr>
      </w:pPr>
      <w:r>
        <w:rPr>
          <w:lang w:eastAsia="x-none"/>
        </w:rPr>
        <w:t>Water Use</w:t>
      </w:r>
    </w:p>
    <w:p w14:paraId="0D4942DE" w14:textId="77777777" w:rsidR="00BC40B3" w:rsidRDefault="00BC40B3" w:rsidP="00DB06F9">
      <w:pPr>
        <w:numPr>
          <w:ilvl w:val="0"/>
          <w:numId w:val="13"/>
        </w:numPr>
        <w:spacing w:after="0"/>
        <w:ind w:left="567" w:hanging="567"/>
        <w:rPr>
          <w:lang w:eastAsia="x-none"/>
        </w:rPr>
      </w:pPr>
      <w:r>
        <w:rPr>
          <w:lang w:eastAsia="x-none"/>
        </w:rPr>
        <w:t>Solid Waste</w:t>
      </w:r>
    </w:p>
    <w:p w14:paraId="0D4942DF" w14:textId="77777777" w:rsidR="00DB06F9" w:rsidRDefault="00DB06F9" w:rsidP="005A1897">
      <w:pPr>
        <w:spacing w:after="0"/>
        <w:rPr>
          <w:lang w:eastAsia="x-none"/>
        </w:rPr>
      </w:pPr>
    </w:p>
    <w:p w14:paraId="0D4942E0" w14:textId="553191BF" w:rsidR="00CF4347" w:rsidRDefault="00C640DC" w:rsidP="0077229C">
      <w:pPr>
        <w:rPr>
          <w:lang w:eastAsia="x-none"/>
        </w:rPr>
      </w:pPr>
      <w:r>
        <w:rPr>
          <w:lang w:eastAsia="x-none"/>
        </w:rPr>
        <w:t>Finally, the report was completed</w:t>
      </w:r>
      <w:r w:rsidR="00482ED1">
        <w:rPr>
          <w:lang w:eastAsia="x-none"/>
        </w:rPr>
        <w:t xml:space="preserve"> in a manner consistent with the ISO</w:t>
      </w:r>
      <w:r w:rsidR="00B3097E">
        <w:rPr>
          <w:lang w:eastAsia="x-none"/>
        </w:rPr>
        <w:t xml:space="preserve"> </w:t>
      </w:r>
      <w:r w:rsidR="00482ED1">
        <w:rPr>
          <w:lang w:eastAsia="x-none"/>
        </w:rPr>
        <w:t xml:space="preserve">14040 series of standards, as they were at the time. Since the study was completed, </w:t>
      </w:r>
      <w:r w:rsidR="00B3097E">
        <w:rPr>
          <w:lang w:eastAsia="x-none"/>
        </w:rPr>
        <w:t>new</w:t>
      </w:r>
      <w:r w:rsidR="00482ED1">
        <w:rPr>
          <w:lang w:eastAsia="x-none"/>
        </w:rPr>
        <w:t xml:space="preserve"> </w:t>
      </w:r>
      <w:r w:rsidR="00F514E5">
        <w:rPr>
          <w:lang w:eastAsia="x-none"/>
        </w:rPr>
        <w:t xml:space="preserve">and updated </w:t>
      </w:r>
      <w:r w:rsidR="00B3097E">
        <w:rPr>
          <w:lang w:eastAsia="x-none"/>
        </w:rPr>
        <w:t>LCA standards have been published</w:t>
      </w:r>
      <w:r w:rsidR="00996651">
        <w:rPr>
          <w:lang w:eastAsia="x-none"/>
        </w:rPr>
        <w:t xml:space="preserve">. </w:t>
      </w:r>
    </w:p>
    <w:p w14:paraId="0D4942E1" w14:textId="63788E34" w:rsidR="000C2364" w:rsidRDefault="000C2364" w:rsidP="000C2364">
      <w:pPr>
        <w:pStyle w:val="Heading2"/>
        <w:rPr>
          <w:lang w:val="en-AU"/>
        </w:rPr>
      </w:pPr>
      <w:bookmarkStart w:id="37" w:name="_Toc433964525"/>
      <w:r>
        <w:rPr>
          <w:lang w:val="en-AU"/>
        </w:rPr>
        <w:t xml:space="preserve">Other </w:t>
      </w:r>
      <w:r w:rsidR="00C109BF">
        <w:rPr>
          <w:lang w:val="en-AU"/>
        </w:rPr>
        <w:t>reports</w:t>
      </w:r>
      <w:bookmarkEnd w:id="37"/>
    </w:p>
    <w:p w14:paraId="0D4942E2" w14:textId="0CE6E73A" w:rsidR="000C2364" w:rsidRDefault="00202079" w:rsidP="000C2364">
      <w:r>
        <w:t xml:space="preserve">In addition to studies that directly relate </w:t>
      </w:r>
      <w:r w:rsidR="00AF6BD5">
        <w:t xml:space="preserve">to </w:t>
      </w:r>
      <w:r>
        <w:t>recycling systems are</w:t>
      </w:r>
      <w:r w:rsidR="00C109BF">
        <w:t xml:space="preserve"> those</w:t>
      </w:r>
      <w:r>
        <w:t xml:space="preserve"> that address components of recycling systems</w:t>
      </w:r>
      <w:r w:rsidR="00C109BF">
        <w:t xml:space="preserve"> and their alternatives</w:t>
      </w:r>
      <w:r>
        <w:t>.</w:t>
      </w:r>
      <w:r w:rsidR="00AF6BD5">
        <w:t xml:space="preserve"> These include studies of collection systems, </w:t>
      </w:r>
      <w:r w:rsidR="00F514E5">
        <w:t>MRFs</w:t>
      </w:r>
      <w:r w:rsidR="00AF6BD5">
        <w:t>, landfill systems and recycl</w:t>
      </w:r>
      <w:r w:rsidR="00C109BF">
        <w:t>ate reprocessing methods. In this</w:t>
      </w:r>
      <w:r w:rsidR="00AF6BD5">
        <w:t xml:space="preserve"> </w:t>
      </w:r>
      <w:r w:rsidR="00C109BF">
        <w:t xml:space="preserve">report </w:t>
      </w:r>
      <w:r w:rsidR="00AF6BD5">
        <w:t>many such sources have been drawn upon and feature in the documentation of the inventory</w:t>
      </w:r>
      <w:r w:rsidR="00C109BF">
        <w:t xml:space="preserve"> (</w:t>
      </w:r>
      <w:r w:rsidR="00C109BF">
        <w:fldChar w:fldCharType="begin"/>
      </w:r>
      <w:r w:rsidR="00C109BF">
        <w:instrText xml:space="preserve"> REF _Ref360560152 \h </w:instrText>
      </w:r>
      <w:r w:rsidR="00C109BF">
        <w:fldChar w:fldCharType="separate"/>
      </w:r>
      <w:r w:rsidR="00564E5C">
        <w:t>Appendix B – Inventory Report</w:t>
      </w:r>
      <w:r w:rsidR="00C109BF">
        <w:fldChar w:fldCharType="end"/>
      </w:r>
      <w:r w:rsidR="00C109BF">
        <w:t>) and in the discussion of LCA methodology (</w:t>
      </w:r>
      <w:r w:rsidR="00C109BF">
        <w:fldChar w:fldCharType="begin"/>
      </w:r>
      <w:r w:rsidR="00C109BF">
        <w:instrText xml:space="preserve"> REF _Ref360135617 \h </w:instrText>
      </w:r>
      <w:r w:rsidR="00C109BF">
        <w:fldChar w:fldCharType="separate"/>
      </w:r>
      <w:r w:rsidR="00564E5C">
        <w:t>Appendix A – Life Cycle Assessment and Recycling</w:t>
      </w:r>
      <w:r w:rsidR="00C109BF">
        <w:fldChar w:fldCharType="end"/>
      </w:r>
      <w:r w:rsidR="00C109BF">
        <w:t>).</w:t>
      </w:r>
    </w:p>
    <w:p w14:paraId="20C5B8C0" w14:textId="2C7354FA" w:rsidR="00EA0C17" w:rsidRPr="005D2C88" w:rsidRDefault="00EA0C17" w:rsidP="00EA0C17">
      <w:pPr>
        <w:pStyle w:val="Heading2"/>
        <w:rPr>
          <w:lang w:val="en-AU"/>
        </w:rPr>
      </w:pPr>
      <w:bookmarkStart w:id="38" w:name="_Ref362987828"/>
      <w:bookmarkStart w:id="39" w:name="_Toc433964526"/>
      <w:r w:rsidRPr="005D2C88">
        <w:rPr>
          <w:lang w:val="en-AU"/>
        </w:rPr>
        <w:t>Alternative waste treatments</w:t>
      </w:r>
      <w:bookmarkEnd w:id="38"/>
      <w:bookmarkEnd w:id="39"/>
    </w:p>
    <w:p w14:paraId="5D287DE0" w14:textId="0880E6D5" w:rsidR="00EA0C17" w:rsidRDefault="005D2C88" w:rsidP="000C2364">
      <w:r>
        <w:t xml:space="preserve">Although </w:t>
      </w:r>
      <w:r w:rsidR="00F514E5">
        <w:t>considered ‘</w:t>
      </w:r>
      <w:r>
        <w:t>out of scope</w:t>
      </w:r>
      <w:r w:rsidR="00F514E5">
        <w:t>’</w:t>
      </w:r>
      <w:r>
        <w:t xml:space="preserve"> for this report, other waste treatments have been considered in the past using the LCA methodology in Victoria. </w:t>
      </w:r>
      <w:r>
        <w:fldChar w:fldCharType="begin"/>
      </w:r>
      <w:r w:rsidR="00F40CE2">
        <w:instrText xml:space="preserve"> ADDIN EN.CITE &lt;EndNote&gt;&lt;Cite AuthorYear="1"&gt;&lt;Author&gt;Grant&lt;/Author&gt;&lt;Year&gt;2003&lt;/Year&gt;&lt;RecNum&gt;713&lt;/RecNum&gt;&lt;DisplayText&gt;Grant et al. (2003b)&lt;/DisplayText&gt;&lt;record&gt;&lt;rec-number&gt;713&lt;/rec-number&gt;&lt;foreign-keys&gt;&lt;key app="EN" db-id="tfpv5staxsvs2nexzpp5taewzsvpx0er5fap"&gt;713&lt;/key&gt;&lt;/foreign-keys&gt;&lt;ref-type name="Report"&gt;27&lt;/ref-type&gt;&lt;contributors&gt;&lt;authors&gt;&lt;author&gt;Tim Grant&lt;/author&gt;&lt;author&gt;Karli L. James&lt;/author&gt;&lt;author&gt;Hannes Partl&lt;/author&gt;&lt;/authors&gt;&lt;/contributors&gt;&lt;titles&gt;&lt;title&gt;Life Cycle Assessment of Waste and Resource Recovery Options (including energy from waste)&lt;/title&gt;&lt;/titles&gt;&lt;dates&gt;&lt;year&gt;2003&lt;/year&gt;&lt;/dates&gt;&lt;pub-location&gt;Melbourne&lt;/pub-location&gt;&lt;publisher&gt;EcoRecycle Victoria&lt;/publisher&gt;&lt;urls&gt;&lt;/urls&gt;&lt;/record&gt;&lt;/Cite&gt;&lt;/EndNote&gt;</w:instrText>
      </w:r>
      <w:r>
        <w:fldChar w:fldCharType="separate"/>
      </w:r>
      <w:hyperlink w:anchor="_ENREF_38" w:tooltip="Grant, 2003 #713" w:history="1">
        <w:r w:rsidR="00F40CE2">
          <w:rPr>
            <w:noProof/>
          </w:rPr>
          <w:t>Grant et al. (2003b</w:t>
        </w:r>
      </w:hyperlink>
      <w:r w:rsidR="00F40CE2">
        <w:rPr>
          <w:noProof/>
        </w:rPr>
        <w:t>)</w:t>
      </w:r>
      <w:r>
        <w:fldChar w:fldCharType="end"/>
      </w:r>
      <w:r>
        <w:t xml:space="preserve"> investigated 15 waste treatment scenarios that addressed disposal technologies in addition to landfill and recycling as follows:</w:t>
      </w:r>
    </w:p>
    <w:p w14:paraId="740E38BF" w14:textId="111D0463" w:rsidR="005D2C88" w:rsidRDefault="005D2C88" w:rsidP="005D2C88">
      <w:pPr>
        <w:pStyle w:val="ListParagraph"/>
        <w:numPr>
          <w:ilvl w:val="0"/>
          <w:numId w:val="42"/>
        </w:numPr>
      </w:pPr>
      <w:r>
        <w:t>Aerobic Stabilisation</w:t>
      </w:r>
    </w:p>
    <w:p w14:paraId="60A3F903" w14:textId="243CC2AC" w:rsidR="005D2C88" w:rsidRDefault="005D2C88" w:rsidP="005D2C88">
      <w:pPr>
        <w:pStyle w:val="ListParagraph"/>
        <w:numPr>
          <w:ilvl w:val="0"/>
          <w:numId w:val="42"/>
        </w:numPr>
      </w:pPr>
      <w:r>
        <w:t>Anaerobic Digestion</w:t>
      </w:r>
    </w:p>
    <w:p w14:paraId="0D94CB13" w14:textId="1DA62983" w:rsidR="005D2C88" w:rsidRDefault="005D2C88" w:rsidP="005D2C88">
      <w:pPr>
        <w:pStyle w:val="ListParagraph"/>
        <w:numPr>
          <w:ilvl w:val="0"/>
          <w:numId w:val="42"/>
        </w:numPr>
      </w:pPr>
      <w:r>
        <w:t>Incineration</w:t>
      </w:r>
    </w:p>
    <w:p w14:paraId="61C41B84" w14:textId="563FEE62" w:rsidR="005D2C88" w:rsidRDefault="005D2C88" w:rsidP="005D2C88">
      <w:pPr>
        <w:pStyle w:val="ListParagraph"/>
        <w:numPr>
          <w:ilvl w:val="0"/>
          <w:numId w:val="42"/>
        </w:numPr>
      </w:pPr>
      <w:r>
        <w:t>Gasification/Pyrolysis</w:t>
      </w:r>
    </w:p>
    <w:p w14:paraId="096A4655" w14:textId="57A994E0" w:rsidR="005D2C88" w:rsidRDefault="005D2C88" w:rsidP="000C2364">
      <w:r>
        <w:t>The report is well suited to readers interested in exploring options beyond those considered in this report.</w:t>
      </w:r>
    </w:p>
    <w:p w14:paraId="0D4942E3" w14:textId="77777777" w:rsidR="00393BF2" w:rsidRDefault="00393BF2" w:rsidP="00393BF2">
      <w:pPr>
        <w:pStyle w:val="Heading2"/>
        <w:rPr>
          <w:lang w:val="en-AU"/>
        </w:rPr>
      </w:pPr>
      <w:bookmarkStart w:id="40" w:name="_Toc433964527"/>
      <w:r>
        <w:rPr>
          <w:lang w:val="en-AU"/>
        </w:rPr>
        <w:lastRenderedPageBreak/>
        <w:t xml:space="preserve">Summary of key </w:t>
      </w:r>
      <w:r w:rsidR="009B3E2F">
        <w:rPr>
          <w:lang w:val="en-AU"/>
        </w:rPr>
        <w:t>outcomes</w:t>
      </w:r>
      <w:r>
        <w:rPr>
          <w:lang w:val="en-AU"/>
        </w:rPr>
        <w:t xml:space="preserve"> from the literature</w:t>
      </w:r>
      <w:bookmarkEnd w:id="40"/>
    </w:p>
    <w:p w14:paraId="0D4942E4" w14:textId="77777777" w:rsidR="0077229C" w:rsidRDefault="00106F6C" w:rsidP="00B142A8">
      <w:pPr>
        <w:numPr>
          <w:ilvl w:val="0"/>
          <w:numId w:val="17"/>
        </w:numPr>
        <w:tabs>
          <w:tab w:val="left" w:pos="567"/>
        </w:tabs>
        <w:spacing w:after="0"/>
        <w:ind w:left="567" w:hanging="567"/>
        <w:rPr>
          <w:lang w:eastAsia="x-none"/>
        </w:rPr>
      </w:pPr>
      <w:r>
        <w:rPr>
          <w:lang w:eastAsia="x-none"/>
        </w:rPr>
        <w:t xml:space="preserve">Terminology is </w:t>
      </w:r>
      <w:r w:rsidR="00A929FC">
        <w:rPr>
          <w:lang w:eastAsia="x-none"/>
        </w:rPr>
        <w:t>important</w:t>
      </w:r>
      <w:r w:rsidR="00C534DF">
        <w:rPr>
          <w:lang w:eastAsia="x-none"/>
        </w:rPr>
        <w:t>. Key terms must be defined within the document to avoid confusion.</w:t>
      </w:r>
    </w:p>
    <w:p w14:paraId="0D4942E5" w14:textId="77777777" w:rsidR="005B2B88" w:rsidRDefault="00A929FC" w:rsidP="00B142A8">
      <w:pPr>
        <w:numPr>
          <w:ilvl w:val="0"/>
          <w:numId w:val="17"/>
        </w:numPr>
        <w:tabs>
          <w:tab w:val="left" w:pos="567"/>
        </w:tabs>
        <w:spacing w:after="0"/>
        <w:ind w:left="567" w:hanging="567"/>
        <w:rPr>
          <w:lang w:eastAsia="x-none"/>
        </w:rPr>
      </w:pPr>
      <w:r>
        <w:rPr>
          <w:lang w:eastAsia="x-none"/>
        </w:rPr>
        <w:t xml:space="preserve">Opportunity and commitment </w:t>
      </w:r>
      <w:r w:rsidR="00C534DF">
        <w:rPr>
          <w:lang w:eastAsia="x-none"/>
        </w:rPr>
        <w:t xml:space="preserve">exists </w:t>
      </w:r>
      <w:r>
        <w:rPr>
          <w:lang w:eastAsia="x-none"/>
        </w:rPr>
        <w:t>to increase diversion rates in Victoria</w:t>
      </w:r>
      <w:r w:rsidR="005B2B88">
        <w:rPr>
          <w:lang w:eastAsia="x-none"/>
        </w:rPr>
        <w:t xml:space="preserve">, therefore analysis should attempt to </w:t>
      </w:r>
      <w:r w:rsidR="006D454C">
        <w:rPr>
          <w:lang w:eastAsia="x-none"/>
        </w:rPr>
        <w:t>understand</w:t>
      </w:r>
      <w:r w:rsidR="005B2B88">
        <w:rPr>
          <w:lang w:eastAsia="x-none"/>
        </w:rPr>
        <w:t xml:space="preserve"> the consequences of a growth in recycling rates</w:t>
      </w:r>
      <w:r w:rsidR="000E1CF7">
        <w:rPr>
          <w:lang w:eastAsia="x-none"/>
        </w:rPr>
        <w:t>, in addition to the impacts of the existing system</w:t>
      </w:r>
      <w:r w:rsidR="005B2B88">
        <w:rPr>
          <w:lang w:eastAsia="x-none"/>
        </w:rPr>
        <w:t>.</w:t>
      </w:r>
    </w:p>
    <w:p w14:paraId="0D4942E6" w14:textId="77777777" w:rsidR="00C534DF" w:rsidRDefault="000E1CF7" w:rsidP="00B142A8">
      <w:pPr>
        <w:numPr>
          <w:ilvl w:val="0"/>
          <w:numId w:val="17"/>
        </w:numPr>
        <w:tabs>
          <w:tab w:val="left" w:pos="567"/>
        </w:tabs>
        <w:spacing w:after="0"/>
        <w:ind w:left="567" w:hanging="567"/>
        <w:rPr>
          <w:lang w:eastAsia="x-none"/>
        </w:rPr>
      </w:pPr>
      <w:r>
        <w:rPr>
          <w:lang w:eastAsia="x-none"/>
        </w:rPr>
        <w:t>Material streams of interest to SV are clearly defined in SV waste reports.</w:t>
      </w:r>
    </w:p>
    <w:p w14:paraId="0D4942E7" w14:textId="77777777" w:rsidR="00A929FC" w:rsidRDefault="00A929FC" w:rsidP="00B142A8">
      <w:pPr>
        <w:numPr>
          <w:ilvl w:val="0"/>
          <w:numId w:val="16"/>
        </w:numPr>
        <w:tabs>
          <w:tab w:val="left" w:pos="567"/>
        </w:tabs>
        <w:spacing w:after="0"/>
        <w:ind w:left="567" w:hanging="567"/>
        <w:rPr>
          <w:lang w:eastAsia="x-none"/>
        </w:rPr>
      </w:pPr>
      <w:r>
        <w:rPr>
          <w:lang w:eastAsia="x-none"/>
        </w:rPr>
        <w:t>LCA is well suited to analysing the impacts of the recycling system</w:t>
      </w:r>
      <w:r w:rsidR="005D6956">
        <w:rPr>
          <w:lang w:eastAsia="x-none"/>
        </w:rPr>
        <w:t xml:space="preserve"> subject</w:t>
      </w:r>
      <w:r w:rsidR="00C534DF">
        <w:rPr>
          <w:lang w:eastAsia="x-none"/>
        </w:rPr>
        <w:t xml:space="preserve"> to limitations such as differences of view with respect to consequential and </w:t>
      </w:r>
      <w:r w:rsidR="00E01343">
        <w:rPr>
          <w:lang w:eastAsia="x-none"/>
        </w:rPr>
        <w:t>attribution</w:t>
      </w:r>
      <w:r w:rsidR="00C534DF">
        <w:rPr>
          <w:lang w:eastAsia="x-none"/>
        </w:rPr>
        <w:t xml:space="preserve"> approaches.</w:t>
      </w:r>
    </w:p>
    <w:p w14:paraId="0D4942E8" w14:textId="77777777" w:rsidR="00A929FC" w:rsidRDefault="005D6956" w:rsidP="00B142A8">
      <w:pPr>
        <w:numPr>
          <w:ilvl w:val="0"/>
          <w:numId w:val="16"/>
        </w:numPr>
        <w:tabs>
          <w:tab w:val="left" w:pos="567"/>
        </w:tabs>
        <w:spacing w:after="0"/>
        <w:ind w:left="567" w:hanging="567"/>
        <w:rPr>
          <w:lang w:eastAsia="x-none"/>
        </w:rPr>
      </w:pPr>
      <w:r>
        <w:rPr>
          <w:lang w:eastAsia="x-none"/>
        </w:rPr>
        <w:t>Recent LCA’s provide information across a range of reprocessing pathways, recycling subsystems (such as collection and materials recovery facilities) and extensive work has been undertaken reviewing LCA’s that relate to waste treatment. Many of these studies are based on international experience and may require additional information to make them locally relevant.</w:t>
      </w:r>
    </w:p>
    <w:p w14:paraId="0D4942E9" w14:textId="77777777" w:rsidR="00AD609C" w:rsidRDefault="00AD609C" w:rsidP="00B142A8">
      <w:pPr>
        <w:numPr>
          <w:ilvl w:val="0"/>
          <w:numId w:val="16"/>
        </w:numPr>
        <w:tabs>
          <w:tab w:val="left" w:pos="567"/>
        </w:tabs>
        <w:spacing w:after="0"/>
        <w:ind w:left="567" w:hanging="567"/>
        <w:rPr>
          <w:lang w:eastAsia="x-none"/>
        </w:rPr>
      </w:pPr>
      <w:r>
        <w:rPr>
          <w:lang w:eastAsia="x-none"/>
        </w:rPr>
        <w:t>Information with respect to the key aspects of the recycling system is available in the literature, however much of this information is derived from international sources.</w:t>
      </w:r>
    </w:p>
    <w:p w14:paraId="0D4942EA" w14:textId="77777777" w:rsidR="005D6956" w:rsidRDefault="005D6956" w:rsidP="00B142A8">
      <w:pPr>
        <w:numPr>
          <w:ilvl w:val="0"/>
          <w:numId w:val="16"/>
        </w:numPr>
        <w:tabs>
          <w:tab w:val="left" w:pos="567"/>
        </w:tabs>
        <w:spacing w:after="0"/>
        <w:ind w:left="567" w:hanging="567"/>
        <w:rPr>
          <w:lang w:eastAsia="x-none"/>
        </w:rPr>
      </w:pPr>
      <w:r>
        <w:rPr>
          <w:lang w:eastAsia="x-none"/>
        </w:rPr>
        <w:t>Information with respect to the primary waste disposal alternative in Victoria</w:t>
      </w:r>
      <w:r w:rsidR="00C534DF">
        <w:rPr>
          <w:lang w:eastAsia="x-none"/>
        </w:rPr>
        <w:t>, landfill, is available to support climate change impact assessment, but may be harder to find for other indicators.</w:t>
      </w:r>
    </w:p>
    <w:p w14:paraId="0D4942EB" w14:textId="77777777" w:rsidR="006740BE" w:rsidRDefault="006740BE" w:rsidP="006740BE">
      <w:pPr>
        <w:tabs>
          <w:tab w:val="left" w:pos="567"/>
        </w:tabs>
        <w:spacing w:after="0"/>
        <w:ind w:left="567"/>
        <w:rPr>
          <w:lang w:eastAsia="x-none"/>
        </w:rPr>
      </w:pPr>
    </w:p>
    <w:p w14:paraId="0D4942EC" w14:textId="77777777" w:rsidR="00B94188" w:rsidRPr="006740BE" w:rsidRDefault="00B94188" w:rsidP="006740BE">
      <w:pPr>
        <w:pStyle w:val="Heading1"/>
      </w:pPr>
      <w:bookmarkStart w:id="41" w:name="_Toc343853101"/>
      <w:bookmarkStart w:id="42" w:name="_Toc433964528"/>
      <w:r w:rsidRPr="006740BE">
        <w:lastRenderedPageBreak/>
        <w:t>Goal of the study</w:t>
      </w:r>
      <w:bookmarkEnd w:id="41"/>
      <w:bookmarkEnd w:id="42"/>
    </w:p>
    <w:p w14:paraId="0D4942ED" w14:textId="77777777" w:rsidR="00B94188" w:rsidRPr="00041296" w:rsidRDefault="00B94188" w:rsidP="00B94188">
      <w:pPr>
        <w:pStyle w:val="Heading2"/>
      </w:pPr>
      <w:bookmarkStart w:id="43" w:name="_Ref343766588"/>
      <w:bookmarkStart w:id="44" w:name="_Ref343849660"/>
      <w:bookmarkStart w:id="45" w:name="_Toc343853102"/>
      <w:bookmarkStart w:id="46" w:name="_Toc433964529"/>
      <w:r>
        <w:t>Goal</w:t>
      </w:r>
      <w:bookmarkEnd w:id="43"/>
      <w:bookmarkEnd w:id="44"/>
      <w:bookmarkEnd w:id="45"/>
      <w:bookmarkEnd w:id="46"/>
    </w:p>
    <w:p w14:paraId="0D4942EF" w14:textId="77777777" w:rsidR="00B94188" w:rsidRDefault="00B94188" w:rsidP="00B94188">
      <w:r>
        <w:t>Primary goal:</w:t>
      </w:r>
    </w:p>
    <w:p w14:paraId="0D4942F0" w14:textId="58010D3F" w:rsidR="00B94188" w:rsidRPr="00AD609C" w:rsidRDefault="00B94188" w:rsidP="00944DCE">
      <w:pPr>
        <w:tabs>
          <w:tab w:val="left" w:pos="1134"/>
        </w:tabs>
        <w:ind w:left="1134" w:right="521"/>
        <w:rPr>
          <w:b/>
        </w:rPr>
      </w:pPr>
      <w:r w:rsidRPr="00AD609C">
        <w:rPr>
          <w:b/>
        </w:rPr>
        <w:t xml:space="preserve">To assess the net environmental benefits or burdens of recycling activity in Victoria by updating and building upon the study “Stage 2 Report for Life Cycle Assessment for Paper and Packaging Waste Management Scenarios in Victoria” </w:t>
      </w:r>
      <w:r w:rsidRPr="00AD609C">
        <w:rPr>
          <w:b/>
        </w:rPr>
        <w:fldChar w:fldCharType="begin"/>
      </w:r>
      <w:r w:rsidR="00F40CE2">
        <w:rPr>
          <w:b/>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Pr="00AD609C">
        <w:rPr>
          <w:b/>
        </w:rPr>
        <w:fldChar w:fldCharType="separate"/>
      </w:r>
      <w:r w:rsidR="00F40CE2">
        <w:rPr>
          <w:b/>
          <w:noProof/>
        </w:rPr>
        <w:t>(</w:t>
      </w:r>
      <w:hyperlink w:anchor="_ENREF_35" w:tooltip="Grant, 2001 #262" w:history="1">
        <w:r w:rsidR="00F40CE2">
          <w:rPr>
            <w:b/>
            <w:noProof/>
          </w:rPr>
          <w:t>Grant et al., 2001a</w:t>
        </w:r>
      </w:hyperlink>
      <w:r w:rsidR="00F40CE2">
        <w:rPr>
          <w:b/>
          <w:noProof/>
        </w:rPr>
        <w:t>)</w:t>
      </w:r>
      <w:r w:rsidRPr="00AD609C">
        <w:rPr>
          <w:b/>
        </w:rPr>
        <w:fldChar w:fldCharType="end"/>
      </w:r>
      <w:r w:rsidRPr="00AD609C">
        <w:rPr>
          <w:b/>
        </w:rPr>
        <w:t>.</w:t>
      </w:r>
    </w:p>
    <w:p w14:paraId="0D4942F1" w14:textId="77777777" w:rsidR="00B94188" w:rsidRDefault="00B94188" w:rsidP="00B94188">
      <w:r>
        <w:t>Secondary goals:</w:t>
      </w:r>
    </w:p>
    <w:p w14:paraId="0D4942F2" w14:textId="77777777" w:rsidR="00B94188" w:rsidRDefault="00B94188" w:rsidP="00B94188">
      <w:pPr>
        <w:numPr>
          <w:ilvl w:val="0"/>
          <w:numId w:val="19"/>
        </w:numPr>
        <w:tabs>
          <w:tab w:val="left" w:pos="1134"/>
        </w:tabs>
        <w:ind w:left="1134" w:right="521" w:hanging="567"/>
      </w:pPr>
      <w:r>
        <w:t>Identify impacts associated with unit processes within the recycling system, including transport, sorting, reprocessing and landfill.</w:t>
      </w:r>
    </w:p>
    <w:p w14:paraId="0D4942F3" w14:textId="77777777" w:rsidR="00B94188" w:rsidRDefault="00B94188" w:rsidP="00B94188">
      <w:pPr>
        <w:numPr>
          <w:ilvl w:val="0"/>
          <w:numId w:val="19"/>
        </w:numPr>
        <w:tabs>
          <w:tab w:val="left" w:pos="1134"/>
        </w:tabs>
        <w:ind w:left="1134" w:right="521" w:hanging="567"/>
      </w:pPr>
      <w:r>
        <w:t>Identify the marginal benefits and burdens of the recycling system under a future scenario that assumes increased diversion from landfill. This analysis will focus upon systems where constraints are identified that would be expected to cause non-linear responses to marginal changes in recycling behaviour.</w:t>
      </w:r>
    </w:p>
    <w:p w14:paraId="0D4942F4" w14:textId="77777777" w:rsidR="006740BE" w:rsidRDefault="00B94188" w:rsidP="00B94188">
      <w:pPr>
        <w:widowControl/>
        <w:spacing w:after="0"/>
        <w:jc w:val="left"/>
      </w:pPr>
      <w:r>
        <w:t>The decision to base the report upon the Grant et al, 2001 was made by the commissioning party in order to achieve consistency of results with past reports and to improve project cost effectiveness.</w:t>
      </w:r>
    </w:p>
    <w:p w14:paraId="0D4942F5" w14:textId="77777777" w:rsidR="006740BE" w:rsidRDefault="006740BE" w:rsidP="00B94188">
      <w:pPr>
        <w:widowControl/>
        <w:spacing w:after="0"/>
        <w:jc w:val="left"/>
      </w:pPr>
    </w:p>
    <w:p w14:paraId="0D4942F6" w14:textId="77777777" w:rsidR="00B94188" w:rsidRDefault="00B94188" w:rsidP="00B94188">
      <w:pPr>
        <w:pStyle w:val="Heading2"/>
      </w:pPr>
      <w:bookmarkStart w:id="47" w:name="_Toc343853103"/>
      <w:bookmarkStart w:id="48" w:name="_Toc433964530"/>
      <w:r w:rsidRPr="00041296">
        <w:t>Intended audience</w:t>
      </w:r>
      <w:bookmarkEnd w:id="47"/>
      <w:bookmarkEnd w:id="48"/>
    </w:p>
    <w:p w14:paraId="0D4942F7" w14:textId="56ADC72C" w:rsidR="00B94188" w:rsidRDefault="00B94188" w:rsidP="00B94188">
      <w:r>
        <w:t>The study will be used by a range of groups</w:t>
      </w:r>
      <w:r w:rsidR="006740BE">
        <w:t xml:space="preserve"> including policymakers, councils, waste treatment system operators and associations, recyclers, reprocessors, and SV</w:t>
      </w:r>
      <w:r>
        <w:t xml:space="preserve">. Within SV, the report </w:t>
      </w:r>
      <w:r w:rsidR="006740BE">
        <w:t>is expected to</w:t>
      </w:r>
      <w:r>
        <w:t xml:space="preserve"> be used to help quantify environmental benefits associated with</w:t>
      </w:r>
      <w:r w:rsidR="006740BE">
        <w:t>in existing</w:t>
      </w:r>
      <w:r>
        <w:t xml:space="preserve"> waste reporting such as </w:t>
      </w:r>
      <w:r w:rsidRPr="0091538B">
        <w:t xml:space="preserve">Sustainability Victoria </w:t>
      </w:r>
      <w:r>
        <w:t xml:space="preserve"> </w:t>
      </w:r>
      <w:r>
        <w:fldChar w:fldCharType="begin"/>
      </w:r>
      <w:r w:rsidR="007625F3">
        <w:instrText xml:space="preserve"> ADDIN EN.CITE &lt;EndNote&gt;&lt;Cite ExcludeAuth="1"&gt;&lt;Author&gt;Sustainability Victoria&lt;/Author&gt;&lt;Year&gt;2011&lt;/Year&gt;&lt;RecNum&gt;39&lt;/RecNum&gt;&lt;DisplayText&gt;(2011a)&lt;/DisplayText&gt;&lt;record&gt;&lt;rec-number&gt;39&lt;/rec-number&gt;&lt;foreign-keys&gt;&lt;key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fldChar w:fldCharType="separate"/>
      </w:r>
      <w:r>
        <w:rPr>
          <w:noProof/>
        </w:rPr>
        <w:t>(</w:t>
      </w:r>
      <w:hyperlink w:anchor="_ENREF_73" w:tooltip="Sustainability Victoria, 2011 #39" w:history="1">
        <w:r w:rsidR="00F40CE2">
          <w:rPr>
            <w:noProof/>
          </w:rPr>
          <w:t>2011a</w:t>
        </w:r>
      </w:hyperlink>
      <w:r>
        <w:rPr>
          <w:noProof/>
        </w:rPr>
        <w:t>)</w:t>
      </w:r>
      <w:r>
        <w:fldChar w:fldCharType="end"/>
      </w:r>
      <w:r>
        <w:t>. The report is also expecte</w:t>
      </w:r>
      <w:r w:rsidR="006740BE">
        <w:t>d to be made available to the general public.</w:t>
      </w:r>
    </w:p>
    <w:p w14:paraId="0D4942F8" w14:textId="77777777" w:rsidR="00B94188" w:rsidRDefault="00B94188" w:rsidP="00B94188">
      <w:pPr>
        <w:pStyle w:val="Heading2"/>
      </w:pPr>
      <w:bookmarkStart w:id="49" w:name="_Toc343853104"/>
      <w:bookmarkStart w:id="50" w:name="_Toc433964531"/>
      <w:r>
        <w:t>Critical review</w:t>
      </w:r>
      <w:bookmarkEnd w:id="49"/>
      <w:bookmarkEnd w:id="50"/>
    </w:p>
    <w:p w14:paraId="0D4942F9" w14:textId="0BA21457" w:rsidR="00B94188" w:rsidRDefault="00B94188" w:rsidP="00B94188">
      <w:pPr>
        <w:ind w:right="521"/>
      </w:pPr>
      <w:r>
        <w:t xml:space="preserve">To counter the subjective nature of many decisions undertaken during the course of an LCA, a critical review process involving stakeholders and LCA experts is typically undertaken. As stated by </w:t>
      </w:r>
      <w:r w:rsidRPr="00BA0E49">
        <w:t xml:space="preserve">Weidema </w:t>
      </w:r>
      <w:r>
        <w:fldChar w:fldCharType="begin"/>
      </w:r>
      <w:r w:rsidR="007625F3">
        <w:instrText xml:space="preserve"> ADDIN EN.CITE &lt;EndNote&gt;&lt;Cite ExcludeAuth="1"&gt;&lt;Author&gt;Weidema&lt;/Author&gt;&lt;Year&gt;1997&lt;/Year&gt;&lt;RecNum&gt;379&lt;/RecNum&gt;&lt;DisplayText&gt;(1997)&lt;/DisplayText&gt;&lt;record&gt;&lt;rec-number&gt;379&lt;/rec-number&gt;&lt;foreign-keys&gt;&lt;key app="EN" db-id="tfpv5staxsvs2nexzpp5taewzsvpx0er5fap"&gt;379&lt;/key&gt;&lt;/foreign-keys&gt;&lt;ref-type name="Web Page"&gt;12&lt;/ref-type&gt;&lt;contributors&gt;&lt;authors&gt;&lt;author&gt;Weidema, B.&lt;/author&gt;&lt;/authors&gt;&lt;/contributors&gt;&lt;titles&gt;&lt;title&gt;Guidelines for Critical Review of Product LCA&lt;/title&gt;&lt;/titles&gt;&lt;volume&gt;2012&lt;/volume&gt;&lt;number&gt;9/10/2012&lt;/number&gt;&lt;dates&gt;&lt;year&gt;1997&lt;/year&gt;&lt;/dates&gt;&lt;publisher&gt;2.-0 LCA Consultants&lt;/publisher&gt;&lt;urls&gt;&lt;related-urls&gt;&lt;url&gt;http://www.lca-net.com/publications/critical_review/&lt;/url&gt;&lt;/related-urls&gt;&lt;/urls&gt;&lt;/record&gt;&lt;/Cite&gt;&lt;/EndNote&gt;</w:instrText>
      </w:r>
      <w:r>
        <w:fldChar w:fldCharType="separate"/>
      </w:r>
      <w:r>
        <w:rPr>
          <w:noProof/>
        </w:rPr>
        <w:t>(</w:t>
      </w:r>
      <w:hyperlink w:anchor="_ENREF_83" w:tooltip="Weidema, 1997 #379" w:history="1">
        <w:r w:rsidR="00F40CE2">
          <w:rPr>
            <w:noProof/>
          </w:rPr>
          <w:t>1997</w:t>
        </w:r>
      </w:hyperlink>
      <w:r>
        <w:rPr>
          <w:noProof/>
        </w:rPr>
        <w:t>)</w:t>
      </w:r>
      <w:r>
        <w:fldChar w:fldCharType="end"/>
      </w:r>
      <w:r>
        <w:t>:</w:t>
      </w:r>
    </w:p>
    <w:p w14:paraId="0D4942FA" w14:textId="77777777" w:rsidR="00B94188" w:rsidRDefault="00B94188" w:rsidP="00B94188">
      <w:pPr>
        <w:ind w:left="567" w:right="521"/>
      </w:pPr>
      <w:r>
        <w:t>“</w:t>
      </w:r>
      <w:r w:rsidRPr="00A7063A">
        <w:t>Life cycle assessments have in common with scientific work the difficulty of establishing objective quality criteria. Many of the judgements a practitioner will have to make in the course of a life cycle assessment cannot be said to be true or false, but only more or less justifiable. Therefore, the ultimate quality judgement can only be subjective - although based on professional experience.</w:t>
      </w:r>
      <w:r>
        <w:t>”</w:t>
      </w:r>
      <w:r w:rsidRPr="004F0651">
        <w:t xml:space="preserve"> </w:t>
      </w:r>
      <w:r>
        <w:t xml:space="preserve">(Weidema </w:t>
      </w:r>
      <w:r w:rsidRPr="004F0651">
        <w:t>1997)</w:t>
      </w:r>
    </w:p>
    <w:p w14:paraId="0D4942FB" w14:textId="77777777" w:rsidR="00B94188" w:rsidRDefault="00B94188" w:rsidP="00B94188">
      <w:r>
        <w:t>The most common form of peer-review, and the recommended approach for this study, is to conduct a review using the requirements of the ISO14044:2006 LCA standard, which states:</w:t>
      </w:r>
    </w:p>
    <w:p w14:paraId="0D4942FC" w14:textId="77777777" w:rsidR="00B94188" w:rsidRDefault="00B94188" w:rsidP="00B94188">
      <w:pPr>
        <w:ind w:left="567"/>
      </w:pPr>
      <w:r>
        <w:t>“The critical review process shall ensure that:</w:t>
      </w:r>
    </w:p>
    <w:p w14:paraId="0D4942FD" w14:textId="77777777" w:rsidR="00B94188" w:rsidRDefault="00B94188" w:rsidP="00B84C97">
      <w:pPr>
        <w:numPr>
          <w:ilvl w:val="0"/>
          <w:numId w:val="22"/>
        </w:numPr>
        <w:spacing w:after="0"/>
        <w:ind w:left="1134" w:hanging="567"/>
      </w:pPr>
      <w:r>
        <w:t>the methods used to carry out the LCA are consistent with thus International Standard,</w:t>
      </w:r>
    </w:p>
    <w:p w14:paraId="0D4942FE" w14:textId="77777777" w:rsidR="00B94188" w:rsidRDefault="00B94188" w:rsidP="00B84C97">
      <w:pPr>
        <w:numPr>
          <w:ilvl w:val="0"/>
          <w:numId w:val="22"/>
        </w:numPr>
        <w:spacing w:after="0"/>
        <w:ind w:left="1134" w:hanging="567"/>
      </w:pPr>
      <w:r>
        <w:t>the methods used to carry out the LCA are scientifically and technically valid,</w:t>
      </w:r>
    </w:p>
    <w:p w14:paraId="0D4942FF" w14:textId="77777777" w:rsidR="00B94188" w:rsidRDefault="00B94188" w:rsidP="00B84C97">
      <w:pPr>
        <w:numPr>
          <w:ilvl w:val="0"/>
          <w:numId w:val="22"/>
        </w:numPr>
        <w:spacing w:after="0"/>
        <w:ind w:left="1134" w:hanging="567"/>
      </w:pPr>
      <w:r>
        <w:t>the data used are appropriate and reasonable in relation to the goal of the study,</w:t>
      </w:r>
    </w:p>
    <w:p w14:paraId="0D494300" w14:textId="77777777" w:rsidR="00B94188" w:rsidRDefault="00B94188" w:rsidP="00B84C97">
      <w:pPr>
        <w:numPr>
          <w:ilvl w:val="0"/>
          <w:numId w:val="22"/>
        </w:numPr>
        <w:spacing w:after="0"/>
        <w:ind w:left="1134" w:hanging="567"/>
      </w:pPr>
      <w:r>
        <w:t>the interpretations reflect the limitations identified and the goal of the study, and</w:t>
      </w:r>
    </w:p>
    <w:p w14:paraId="0D494301" w14:textId="77777777" w:rsidR="00B94188" w:rsidRDefault="00B94188" w:rsidP="00B84C97">
      <w:pPr>
        <w:numPr>
          <w:ilvl w:val="0"/>
          <w:numId w:val="22"/>
        </w:numPr>
        <w:spacing w:after="0"/>
        <w:ind w:left="1134" w:hanging="567"/>
      </w:pPr>
      <w:r>
        <w:t>the study report is transparent and consistent.</w:t>
      </w:r>
    </w:p>
    <w:p w14:paraId="0D494302" w14:textId="77777777" w:rsidR="00B94188" w:rsidRDefault="00B94188" w:rsidP="00B94188">
      <w:pPr>
        <w:spacing w:after="0"/>
        <w:ind w:left="1134"/>
      </w:pPr>
    </w:p>
    <w:p w14:paraId="0D494303" w14:textId="77777777" w:rsidR="00B94188" w:rsidRDefault="00B94188" w:rsidP="00B94188">
      <w:pPr>
        <w:ind w:left="567"/>
      </w:pPr>
      <w:r>
        <w:t xml:space="preserve">The scope and type of critical review desired shall be defined in the scope phase of an LCA, and the decision on the type of critical review shall be recorded.” </w:t>
      </w:r>
    </w:p>
    <w:p w14:paraId="0D494304" w14:textId="3D3D4F24" w:rsidR="00B94188" w:rsidRDefault="00B94188" w:rsidP="00B94188">
      <w:r>
        <w:lastRenderedPageBreak/>
        <w:t>ISO14044:2006 also recomm</w:t>
      </w:r>
      <w:r w:rsidR="000F0CDD">
        <w:t xml:space="preserve">ends that a “Critical review by </w:t>
      </w:r>
      <w:r>
        <w:t>panel of interested parties” be undertaken in circumstances where the LCA is undertaken to support a “comparative assertion”. Although the outcomes of this study will not represent a ‘product vs. product’ assertion, the public scrutiny the study may receive when released, and its potential impact on policy, warrant a thorough review process.</w:t>
      </w:r>
    </w:p>
    <w:p w14:paraId="0D494305" w14:textId="30787148" w:rsidR="00B94188" w:rsidRDefault="000F0CDD" w:rsidP="00B94188">
      <w:r>
        <w:t>It wa</w:t>
      </w:r>
      <w:r w:rsidR="00B94188">
        <w:t xml:space="preserve">s therefore </w:t>
      </w:r>
      <w:r w:rsidR="00A4708F">
        <w:t>decided</w:t>
      </w:r>
      <w:r w:rsidR="00B94188">
        <w:t xml:space="preserve"> that a “Critical review by panel of interested parties” </w:t>
      </w:r>
      <w:r>
        <w:t xml:space="preserve">would </w:t>
      </w:r>
      <w:r w:rsidR="00B94188">
        <w:t>be undertaken, as described in ISO14044:2006:</w:t>
      </w:r>
    </w:p>
    <w:p w14:paraId="0D494306" w14:textId="77777777" w:rsidR="00B94188" w:rsidRDefault="00B94188" w:rsidP="00B94188">
      <w:pPr>
        <w:pStyle w:val="PTNormalResponse"/>
        <w:ind w:left="567" w:right="521"/>
        <w:jc w:val="both"/>
      </w:pPr>
      <w:r>
        <w:t>“6.3 Critical review by panel of interested parties</w:t>
      </w:r>
    </w:p>
    <w:p w14:paraId="0D494307" w14:textId="77777777" w:rsidR="00B94188" w:rsidRDefault="00B94188" w:rsidP="00B94188">
      <w:pPr>
        <w:pStyle w:val="PTNormalResponse"/>
        <w:ind w:left="567" w:right="521"/>
        <w:jc w:val="both"/>
      </w:pPr>
      <w:r>
        <w:t>A critical review may be carried out as a review by interested parties. In such a case, an external independent expert should be selected by the original study commissioner to act as chairperson of a review panel of at least three members. Based on the goal and scope of the study, the chairperson should select other independent qualified reviewers. The panel may include other interested parties affected by the conclusions drawn from the LCA, such as government agencies, non-governmental groups, competitors and affected industries.</w:t>
      </w:r>
    </w:p>
    <w:p w14:paraId="0D494308" w14:textId="77777777" w:rsidR="00B94188" w:rsidRDefault="00B94188" w:rsidP="00B94188">
      <w:pPr>
        <w:pStyle w:val="PTNormalResponse"/>
        <w:ind w:left="567" w:right="521"/>
        <w:jc w:val="both"/>
      </w:pPr>
      <w:r>
        <w:t>For Life Cycle Impact Assessment (LCIA), the expertise of reviewers in the scientific disciplines relevant to the important impact categories of the study, in addition to other expertise and interest, shall be considered.</w:t>
      </w:r>
    </w:p>
    <w:p w14:paraId="0D494309" w14:textId="77777777" w:rsidR="00B94188" w:rsidRDefault="00B94188" w:rsidP="00B94188">
      <w:pPr>
        <w:pStyle w:val="PTNormalResponse"/>
        <w:ind w:left="567" w:right="521"/>
        <w:jc w:val="both"/>
      </w:pPr>
      <w:r>
        <w:t>The review statement and review panel report, as well as comments of the expert and any responses to recommendations made by the reviewer or by the panel, shall be included in the LCA report.” (ISO 14044:2006)</w:t>
      </w:r>
    </w:p>
    <w:p w14:paraId="656BC733" w14:textId="77777777" w:rsidR="00A4708F" w:rsidRDefault="00A4708F" w:rsidP="00B94188">
      <w:pPr>
        <w:pStyle w:val="PTNormalResponse"/>
        <w:ind w:left="567" w:right="521"/>
        <w:jc w:val="both"/>
      </w:pPr>
    </w:p>
    <w:p w14:paraId="0D49430B" w14:textId="77777777" w:rsidR="00B94188" w:rsidRDefault="00E076B3" w:rsidP="00B94188">
      <w:pPr>
        <w:pStyle w:val="Heading3"/>
      </w:pPr>
      <w:bookmarkStart w:id="51" w:name="_Toc343853105"/>
      <w:bookmarkStart w:id="52" w:name="_Toc433964532"/>
      <w:r>
        <w:rPr>
          <w:lang w:val="en-AU"/>
        </w:rPr>
        <w:t>R</w:t>
      </w:r>
      <w:r>
        <w:t>eview</w:t>
      </w:r>
      <w:r w:rsidR="00B94188">
        <w:t xml:space="preserve"> process</w:t>
      </w:r>
      <w:bookmarkEnd w:id="51"/>
      <w:r w:rsidR="006740BE">
        <w:rPr>
          <w:lang w:val="en-AU"/>
        </w:rPr>
        <w:t xml:space="preserve"> completed</w:t>
      </w:r>
      <w:bookmarkEnd w:id="52"/>
    </w:p>
    <w:p w14:paraId="0D49430C" w14:textId="56475FED" w:rsidR="006740BE" w:rsidRDefault="00B94188" w:rsidP="00B94188">
      <w:r>
        <w:t xml:space="preserve">For this study </w:t>
      </w:r>
      <w:r w:rsidR="006740BE">
        <w:t xml:space="preserve">the approach adopted </w:t>
      </w:r>
      <w:r>
        <w:t xml:space="preserve">employs elements from </w:t>
      </w:r>
      <w:r w:rsidRPr="00E01343">
        <w:t>Weidema</w:t>
      </w:r>
      <w:r>
        <w:t xml:space="preserve"> </w:t>
      </w:r>
      <w:r>
        <w:fldChar w:fldCharType="begin"/>
      </w:r>
      <w:r w:rsidR="007625F3">
        <w:instrText xml:space="preserve"> ADDIN EN.CITE &lt;EndNote&gt;&lt;Cite ExcludeAuth="1"&gt;&lt;Author&gt;Weidema&lt;/Author&gt;&lt;Year&gt;1997&lt;/Year&gt;&lt;RecNum&gt;379&lt;/RecNum&gt;&lt;DisplayText&gt;(1997)&lt;/DisplayText&gt;&lt;record&gt;&lt;rec-number&gt;379&lt;/rec-number&gt;&lt;foreign-keys&gt;&lt;key app="EN" db-id="tfpv5staxsvs2nexzpp5taewzsvpx0er5fap"&gt;379&lt;/key&gt;&lt;/foreign-keys&gt;&lt;ref-type name="Web Page"&gt;12&lt;/ref-type&gt;&lt;contributors&gt;&lt;authors&gt;&lt;author&gt;Weidema, B.&lt;/author&gt;&lt;/authors&gt;&lt;/contributors&gt;&lt;titles&gt;&lt;title&gt;Guidelines for Critical Review of Product LCA&lt;/title&gt;&lt;/titles&gt;&lt;volume&gt;2012&lt;/volume&gt;&lt;number&gt;9/10/2012&lt;/number&gt;&lt;dates&gt;&lt;year&gt;1997&lt;/year&gt;&lt;/dates&gt;&lt;publisher&gt;2.-0 LCA Consultants&lt;/publisher&gt;&lt;urls&gt;&lt;related-urls&gt;&lt;url&gt;http://www.lca-net.com/publications/critical_review/&lt;/url&gt;&lt;/related-urls&gt;&lt;/urls&gt;&lt;/record&gt;&lt;/Cite&gt;&lt;/EndNote&gt;</w:instrText>
      </w:r>
      <w:r>
        <w:fldChar w:fldCharType="separate"/>
      </w:r>
      <w:r>
        <w:rPr>
          <w:noProof/>
        </w:rPr>
        <w:t>(</w:t>
      </w:r>
      <w:hyperlink w:anchor="_ENREF_83" w:tooltip="Weidema, 1997 #379" w:history="1">
        <w:r w:rsidR="00F40CE2">
          <w:rPr>
            <w:noProof/>
          </w:rPr>
          <w:t>1997</w:t>
        </w:r>
      </w:hyperlink>
      <w:r>
        <w:rPr>
          <w:noProof/>
        </w:rPr>
        <w:t>)</w:t>
      </w:r>
      <w:r>
        <w:fldChar w:fldCharType="end"/>
      </w:r>
      <w:r>
        <w:t xml:space="preserve"> and </w:t>
      </w:r>
      <w:r w:rsidRPr="00BA0E49">
        <w:t xml:space="preserve">James et al </w:t>
      </w:r>
      <w:r>
        <w:fldChar w:fldCharType="begin"/>
      </w:r>
      <w:r w:rsidR="007625F3">
        <w:instrText xml:space="preserve"> ADDIN EN.CITE &lt;EndNote&gt;&lt;Cite ExcludeAuth="1"&gt;&lt;Author&gt;James&lt;/Author&gt;&lt;Year&gt;2002&lt;/Year&gt;&lt;RecNum&gt;380&lt;/RecNum&gt;&lt;DisplayText&gt;(2002)&lt;/DisplayText&gt;&lt;record&gt;&lt;rec-number&gt;380&lt;/rec-number&gt;&lt;foreign-keys&gt;&lt;key app="EN" db-id="tfpv5staxsvs2nexzpp5taewzsvpx0er5fap"&gt;380&lt;/key&gt;&lt;/foreign-keys&gt;&lt;ref-type name="Journal Article"&gt;17&lt;/ref-type&gt;&lt;contributors&gt;&lt;authors&gt;&lt;author&gt;James, KarliL&lt;/author&gt;&lt;author&gt;Grant, Tim&lt;/author&gt;&lt;author&gt;Sonneveld, Kees&lt;/author&gt;&lt;/authors&gt;&lt;/contributors&gt;&lt;titles&gt;&lt;title&gt;Stakeholder involvement in australian paper and packaging waste management LCA study&lt;/title&gt;&lt;secondary-title&gt;The International Journal of Life Cycle Assessment&lt;/secondary-title&gt;&lt;alt-title&gt;Int J LCA&lt;/alt-title&gt;&lt;/titles&gt;&lt;periodical&gt;&lt;full-title&gt;The International Journal of Life Cycle Assessment&lt;/full-title&gt;&lt;abbr-1&gt;Int J LCA&lt;/abbr-1&gt;&lt;/periodical&gt;&lt;alt-periodical&gt;&lt;full-title&gt;The International Journal of Life Cycle Assessment&lt;/full-title&gt;&lt;abbr-1&gt;Int J LCA&lt;/abbr-1&gt;&lt;/alt-periodical&gt;&lt;pages&gt;151-157&lt;/pages&gt;&lt;volume&gt;7&lt;/volume&gt;&lt;number&gt;3&lt;/number&gt;&lt;keywords&gt;&lt;keyword&gt;Australia&lt;/keyword&gt;&lt;keyword&gt;LCA (life cycle assessment)&lt;/keyword&gt;&lt;keyword&gt;landfill&lt;/keyword&gt;&lt;keyword&gt;life cycle assessment (LCA)&lt;/keyword&gt;&lt;keyword&gt;paper and packaging waste management&lt;/keyword&gt;&lt;keyword&gt;recycling&lt;/keyword&gt;&lt;keyword&gt;stakeholder advisory committee&lt;/keyword&gt;&lt;keyword&gt;stakeholder interaction&lt;/keyword&gt;&lt;/keywords&gt;&lt;dates&gt;&lt;year&gt;2002&lt;/year&gt;&lt;pub-dates&gt;&lt;date&gt;2002/05/01&lt;/date&gt;&lt;/pub-dates&gt;&lt;/dates&gt;&lt;publisher&gt;Ecomed&lt;/publisher&gt;&lt;isbn&gt;0948-3349&lt;/isbn&gt;&lt;urls&gt;&lt;related-urls&gt;&lt;url&gt;http://dx.doi.org/10.1007/BF02994049&lt;/url&gt;&lt;/related-urls&gt;&lt;/urls&gt;&lt;electronic-resource-num&gt;10.1007/BF02994049&lt;/electronic-resource-num&gt;&lt;language&gt;English&lt;/language&gt;&lt;/record&gt;&lt;/Cite&gt;&lt;/EndNote&gt;</w:instrText>
      </w:r>
      <w:r>
        <w:fldChar w:fldCharType="separate"/>
      </w:r>
      <w:r>
        <w:rPr>
          <w:noProof/>
        </w:rPr>
        <w:t>(</w:t>
      </w:r>
      <w:hyperlink w:anchor="_ENREF_53" w:tooltip="James, 2002 #380" w:history="1">
        <w:r w:rsidR="00F40CE2">
          <w:rPr>
            <w:noProof/>
          </w:rPr>
          <w:t>2002</w:t>
        </w:r>
      </w:hyperlink>
      <w:r>
        <w:rPr>
          <w:noProof/>
        </w:rPr>
        <w:t>)</w:t>
      </w:r>
      <w:r>
        <w:fldChar w:fldCharType="end"/>
      </w:r>
      <w:r>
        <w:t xml:space="preserve">, that is also compliant with ISO14044:2006. </w:t>
      </w:r>
    </w:p>
    <w:p w14:paraId="2688F6D0" w14:textId="77777777" w:rsidR="003322F2" w:rsidRPr="003322F2" w:rsidRDefault="006740BE" w:rsidP="003322F2">
      <w:r>
        <w:t>A Stakeholder Review Panel was established, incorporating interested parties, including representatives from local governments, waste and recycling operators, material recovery facility operators, plastics industry, glass industry</w:t>
      </w:r>
      <w:r w:rsidR="00CC3651">
        <w:t xml:space="preserve"> and selected reprocessing industries. Also included in the SRP was an expert LCA reviewer who</w:t>
      </w:r>
      <w:r w:rsidR="001D74DD">
        <w:t>’</w:t>
      </w:r>
      <w:r w:rsidR="00CC3651">
        <w:t xml:space="preserve">s role it was to guide the group with respect to technical aspects of LCA. The SRP was chaired by a representative from SV, who was not associated with the </w:t>
      </w:r>
      <w:r w:rsidR="00CC3651" w:rsidRPr="003322F2">
        <w:t>study.</w:t>
      </w:r>
    </w:p>
    <w:p w14:paraId="0D49430E" w14:textId="7ACF9A45" w:rsidR="006740BE" w:rsidRDefault="00CC3651" w:rsidP="00707111">
      <w:r w:rsidRPr="003322F2">
        <w:rPr>
          <w:bCs/>
        </w:rPr>
        <w:t xml:space="preserve">The SRP met at two key points of the study. The first meeting formally reviewed the goal and scope of the study, and the second meeting reviewed the draft findings. In both instances feedback was sought during review meetings and directly in writing. Written feedback and author responses were </w:t>
      </w:r>
      <w:r w:rsidR="00E076B3" w:rsidRPr="003322F2">
        <w:rPr>
          <w:bCs/>
        </w:rPr>
        <w:t xml:space="preserve">documented and are presented in </w:t>
      </w:r>
      <w:r w:rsidR="00707111">
        <w:rPr>
          <w:bCs/>
        </w:rPr>
        <w:fldChar w:fldCharType="begin"/>
      </w:r>
      <w:r w:rsidR="00707111">
        <w:rPr>
          <w:bCs/>
        </w:rPr>
        <w:instrText xml:space="preserve"> REF _Ref367702657 \h </w:instrText>
      </w:r>
      <w:r w:rsidR="00707111">
        <w:rPr>
          <w:bCs/>
        </w:rPr>
      </w:r>
      <w:r w:rsidR="00707111">
        <w:rPr>
          <w:bCs/>
        </w:rPr>
        <w:fldChar w:fldCharType="separate"/>
      </w:r>
      <w:r w:rsidR="00564E5C">
        <w:t>Appendix E – Reviewer comments</w:t>
      </w:r>
      <w:r w:rsidR="00707111">
        <w:rPr>
          <w:bCs/>
        </w:rPr>
        <w:fldChar w:fldCharType="end"/>
      </w:r>
      <w:r w:rsidR="00707111">
        <w:rPr>
          <w:bCs/>
        </w:rPr>
        <w:t>.</w:t>
      </w:r>
    </w:p>
    <w:p w14:paraId="0D49430F" w14:textId="2489891B" w:rsidR="00CC3651" w:rsidRDefault="00CC3651" w:rsidP="00B94188">
      <w:r>
        <w:t>In addition to the SRP process, the LCA expert reviewer also under</w:t>
      </w:r>
      <w:r w:rsidR="00116F09">
        <w:t>took a review of the report vis-a-</w:t>
      </w:r>
      <w:r>
        <w:t>vis the ISO14044 standard. Review comments and assessment letter are attached in</w:t>
      </w:r>
      <w:r w:rsidR="00E076B3">
        <w:t xml:space="preserve"> </w:t>
      </w:r>
      <w:r w:rsidR="00E076B3">
        <w:fldChar w:fldCharType="begin"/>
      </w:r>
      <w:r w:rsidR="00E076B3">
        <w:instrText xml:space="preserve"> REF _Ref360130410 \h </w:instrText>
      </w:r>
      <w:r w:rsidR="00E076B3">
        <w:fldChar w:fldCharType="separate"/>
      </w:r>
      <w:r w:rsidR="00564E5C">
        <w:t>Appendix F – Reviewer letter</w:t>
      </w:r>
      <w:r w:rsidR="00E076B3">
        <w:fldChar w:fldCharType="end"/>
      </w:r>
      <w:r>
        <w:t>.</w:t>
      </w:r>
    </w:p>
    <w:p w14:paraId="0D494310" w14:textId="77777777" w:rsidR="00B94188" w:rsidRPr="00041296" w:rsidRDefault="00B94188" w:rsidP="00B94188">
      <w:pPr>
        <w:pStyle w:val="Heading1"/>
        <w:pageBreakBefore w:val="0"/>
      </w:pPr>
      <w:bookmarkStart w:id="53" w:name="_Toc343853106"/>
      <w:bookmarkStart w:id="54" w:name="_Toc433964533"/>
      <w:r w:rsidRPr="00041296">
        <w:t>Scope</w:t>
      </w:r>
      <w:bookmarkEnd w:id="53"/>
      <w:bookmarkEnd w:id="54"/>
    </w:p>
    <w:p w14:paraId="0D494311" w14:textId="77777777" w:rsidR="00B94188" w:rsidRDefault="00B94188" w:rsidP="00B94188">
      <w:pPr>
        <w:pStyle w:val="Heading2"/>
      </w:pPr>
      <w:bookmarkStart w:id="55" w:name="_Ref343770436"/>
      <w:bookmarkStart w:id="56" w:name="_Ref343775570"/>
      <w:bookmarkStart w:id="57" w:name="_Ref343850133"/>
      <w:bookmarkStart w:id="58" w:name="_Toc343853107"/>
      <w:bookmarkStart w:id="59" w:name="_Toc433964534"/>
      <w:r w:rsidRPr="00041296">
        <w:t>Description of systems under investigation</w:t>
      </w:r>
      <w:bookmarkEnd w:id="55"/>
      <w:bookmarkEnd w:id="56"/>
      <w:bookmarkEnd w:id="57"/>
      <w:bookmarkEnd w:id="58"/>
      <w:bookmarkEnd w:id="59"/>
    </w:p>
    <w:p w14:paraId="0D494312" w14:textId="0509C2EA" w:rsidR="00B94188" w:rsidRDefault="00B94188" w:rsidP="00B94188">
      <w:r>
        <w:t xml:space="preserve">The </w:t>
      </w:r>
      <w:r w:rsidR="00A4708F">
        <w:t>LCA</w:t>
      </w:r>
      <w:r>
        <w:t xml:space="preserve"> study </w:t>
      </w:r>
      <w:r w:rsidR="00CC3651">
        <w:t>is</w:t>
      </w:r>
      <w:r>
        <w:t xml:space="preserve"> limited to domestic waste that is collected from the kerbside in Victoria. In studying the recycling system it </w:t>
      </w:r>
      <w:r w:rsidR="00CC3651">
        <w:t xml:space="preserve">is necessary to </w:t>
      </w:r>
      <w:r>
        <w:t>consider</w:t>
      </w:r>
      <w:r w:rsidR="00CC3651">
        <w:t xml:space="preserve"> both the existing recycling system as well as an alternative system that might exist if recycling did not take place: t</w:t>
      </w:r>
      <w:r>
        <w:t xml:space="preserve">he Recycling System (including organics) and the </w:t>
      </w:r>
      <w:r w:rsidR="00CC3651">
        <w:t xml:space="preserve">Alternative System. Whereas </w:t>
      </w:r>
      <w:r>
        <w:t xml:space="preserve">the </w:t>
      </w:r>
      <w:r w:rsidR="00CC3651">
        <w:t xml:space="preserve">nature of the </w:t>
      </w:r>
      <w:r>
        <w:t xml:space="preserve">Recycling System </w:t>
      </w:r>
      <w:r w:rsidR="00CC3651">
        <w:t>can be</w:t>
      </w:r>
      <w:r>
        <w:t xml:space="preserve"> established by </w:t>
      </w:r>
      <w:r w:rsidR="00CC3651">
        <w:t>looking at the existing</w:t>
      </w:r>
      <w:r>
        <w:t xml:space="preserve"> recycling process, the </w:t>
      </w:r>
      <w:r w:rsidR="00CC3651">
        <w:t xml:space="preserve">nature of the Alternative System </w:t>
      </w:r>
      <w:r w:rsidR="00A4708F">
        <w:t>needs to be estimated</w:t>
      </w:r>
      <w:r>
        <w:t xml:space="preserve"> (refer Sectio</w:t>
      </w:r>
      <w:r w:rsidRPr="00E43759">
        <w:t xml:space="preserve">n </w:t>
      </w:r>
      <w:r w:rsidR="00E43759">
        <w:fldChar w:fldCharType="begin"/>
      </w:r>
      <w:r w:rsidR="00E43759">
        <w:instrText xml:space="preserve"> REF _Ref343775605 \r \h </w:instrText>
      </w:r>
      <w:r w:rsidR="00E43759">
        <w:fldChar w:fldCharType="separate"/>
      </w:r>
      <w:r w:rsidR="00564E5C">
        <w:t>5.3</w:t>
      </w:r>
      <w:r w:rsidR="00E43759">
        <w:fldChar w:fldCharType="end"/>
      </w:r>
      <w:r w:rsidR="00E43759">
        <w:t xml:space="preserve"> </w:t>
      </w:r>
      <w:r w:rsidRPr="00E43759">
        <w:t>for</w:t>
      </w:r>
      <w:r>
        <w:t xml:space="preserve"> a complete discussion).</w:t>
      </w:r>
    </w:p>
    <w:p w14:paraId="0D494313" w14:textId="0DA059AF" w:rsidR="00E076B3" w:rsidRDefault="00B94188" w:rsidP="00E47590">
      <w:r>
        <w:t xml:space="preserve">Drop-off recycling </w:t>
      </w:r>
      <w:r w:rsidR="00A4708F">
        <w:t>is not</w:t>
      </w:r>
      <w:r>
        <w:t xml:space="preserve"> directly addressed by the study, however results </w:t>
      </w:r>
      <w:r w:rsidR="00A4708F">
        <w:t>are</w:t>
      </w:r>
      <w:r>
        <w:t xml:space="preserve"> presented in sufficient detail to enable ‘collection’ related impacts to be removed. The exclusion of ‘collection’ to simulate </w:t>
      </w:r>
      <w:r>
        <w:lastRenderedPageBreak/>
        <w:t xml:space="preserve">drop-off recycling </w:t>
      </w:r>
      <w:r w:rsidR="00944DCE">
        <w:t xml:space="preserve">would be a crude approximation as it </w:t>
      </w:r>
      <w:r>
        <w:t>assumes that the transport of waste to the collection facility is not al</w:t>
      </w:r>
      <w:r w:rsidR="00944DCE">
        <w:t>l</w:t>
      </w:r>
      <w:r w:rsidR="00A4708F">
        <w:t>ocable to the recycling system.</w:t>
      </w:r>
    </w:p>
    <w:p w14:paraId="0D494314" w14:textId="77777777" w:rsidR="00B94188" w:rsidRDefault="00B94188" w:rsidP="00B94188">
      <w:pPr>
        <w:pStyle w:val="Heading2"/>
        <w:rPr>
          <w:lang w:val="en-AU"/>
        </w:rPr>
      </w:pPr>
      <w:bookmarkStart w:id="60" w:name="_Ref343847584"/>
      <w:bookmarkStart w:id="61" w:name="_Ref343850583"/>
      <w:bookmarkStart w:id="62" w:name="_Toc343853109"/>
      <w:bookmarkStart w:id="63" w:name="_Toc433964535"/>
      <w:r w:rsidRPr="00041296">
        <w:t>Functional unit</w:t>
      </w:r>
      <w:bookmarkEnd w:id="60"/>
      <w:bookmarkEnd w:id="61"/>
      <w:bookmarkEnd w:id="62"/>
      <w:bookmarkEnd w:id="63"/>
    </w:p>
    <w:p w14:paraId="0D494315" w14:textId="7633AF64" w:rsidR="00B82B1B" w:rsidRDefault="00B82B1B" w:rsidP="00B82B1B">
      <w:r>
        <w:t xml:space="preserve">The primary </w:t>
      </w:r>
      <w:r w:rsidR="00A4708F">
        <w:t>function</w:t>
      </w:r>
      <w:r>
        <w:t xml:space="preserve"> of both the Recycling System and the theoretical Alternative System is to dispose of waste generated by households.</w:t>
      </w:r>
    </w:p>
    <w:p w14:paraId="0D494316" w14:textId="1050C633" w:rsidR="00B82B1B" w:rsidRPr="00041296" w:rsidRDefault="00B82B1B" w:rsidP="00B82B1B">
      <w:r>
        <w:t xml:space="preserve">The Recycling System also has an important secondary function as it generates reprocessed materials for use in manufacturing. This secondary function is an important outcome from the system and therefore is considered as a </w:t>
      </w:r>
      <w:r w:rsidR="00A4708F">
        <w:t>necessary</w:t>
      </w:r>
      <w:r>
        <w:t xml:space="preserve"> function of the Alternative System as well.</w:t>
      </w:r>
    </w:p>
    <w:p w14:paraId="0D494317" w14:textId="77777777" w:rsidR="00B94188" w:rsidRDefault="00B94188" w:rsidP="00B94188">
      <w:r>
        <w:t>The functional unit for this study is defined as:</w:t>
      </w:r>
    </w:p>
    <w:p w14:paraId="0D494318" w14:textId="5076CE68" w:rsidR="00B94188" w:rsidRDefault="00B94188" w:rsidP="00B82B1B">
      <w:pPr>
        <w:ind w:left="567"/>
      </w:pPr>
      <w:r>
        <w:t>“The management of recyclable</w:t>
      </w:r>
      <w:r w:rsidR="00E30FD6">
        <w:rPr>
          <w:rStyle w:val="FootnoteReference"/>
        </w:rPr>
        <w:footnoteReference w:id="5"/>
      </w:r>
      <w:r>
        <w:t xml:space="preserve"> materials discarded at kerbside from the average Victorian household in one </w:t>
      </w:r>
      <w:r w:rsidR="00B82B1B">
        <w:t>year</w:t>
      </w:r>
      <w:r>
        <w:t>, including:</w:t>
      </w:r>
    </w:p>
    <w:p w14:paraId="0D494319" w14:textId="77777777" w:rsidR="00B94188" w:rsidRDefault="00B82B1B" w:rsidP="00B82B1B">
      <w:pPr>
        <w:numPr>
          <w:ilvl w:val="0"/>
          <w:numId w:val="18"/>
        </w:numPr>
        <w:tabs>
          <w:tab w:val="left" w:pos="567"/>
        </w:tabs>
        <w:spacing w:after="0"/>
        <w:ind w:left="1134" w:hanging="567"/>
      </w:pPr>
      <w:r>
        <w:t>Glass (clear</w:t>
      </w:r>
      <w:r w:rsidR="00E47590">
        <w:t>, green, brown</w:t>
      </w:r>
      <w:r>
        <w:t>)</w:t>
      </w:r>
    </w:p>
    <w:p w14:paraId="0D49431A" w14:textId="77777777" w:rsidR="00B94188" w:rsidRDefault="00B94188" w:rsidP="00B82B1B">
      <w:pPr>
        <w:numPr>
          <w:ilvl w:val="0"/>
          <w:numId w:val="18"/>
        </w:numPr>
        <w:tabs>
          <w:tab w:val="left" w:pos="567"/>
        </w:tabs>
        <w:spacing w:after="0"/>
        <w:ind w:left="1134" w:hanging="567"/>
      </w:pPr>
      <w:r>
        <w:t>Steel cans</w:t>
      </w:r>
    </w:p>
    <w:p w14:paraId="0D49431B" w14:textId="77777777" w:rsidR="00B94188" w:rsidRDefault="00B94188" w:rsidP="00B82B1B">
      <w:pPr>
        <w:numPr>
          <w:ilvl w:val="0"/>
          <w:numId w:val="18"/>
        </w:numPr>
        <w:tabs>
          <w:tab w:val="left" w:pos="567"/>
        </w:tabs>
        <w:spacing w:after="0"/>
        <w:ind w:left="1134" w:hanging="567"/>
      </w:pPr>
      <w:r>
        <w:t>Aluminium cans</w:t>
      </w:r>
    </w:p>
    <w:p w14:paraId="0D49431C" w14:textId="77777777" w:rsidR="00B94188" w:rsidRDefault="00E47590" w:rsidP="00B82B1B">
      <w:pPr>
        <w:numPr>
          <w:ilvl w:val="0"/>
          <w:numId w:val="18"/>
        </w:numPr>
        <w:tabs>
          <w:tab w:val="left" w:pos="567"/>
        </w:tabs>
        <w:spacing w:after="0"/>
        <w:ind w:left="1134" w:hanging="567"/>
      </w:pPr>
      <w:r>
        <w:t xml:space="preserve">Paper/card </w:t>
      </w:r>
      <w:r w:rsidR="008351DF">
        <w:t>(white</w:t>
      </w:r>
      <w:r>
        <w:t>, mixed, newsprint, LPB, cardboard</w:t>
      </w:r>
      <w:r w:rsidR="008351DF">
        <w:t>)</w:t>
      </w:r>
    </w:p>
    <w:p w14:paraId="0D49431D" w14:textId="77777777" w:rsidR="00B94188" w:rsidRDefault="00B94188" w:rsidP="00B82B1B">
      <w:pPr>
        <w:numPr>
          <w:ilvl w:val="0"/>
          <w:numId w:val="18"/>
        </w:numPr>
        <w:tabs>
          <w:tab w:val="left" w:pos="567"/>
        </w:tabs>
        <w:spacing w:after="0"/>
        <w:ind w:left="1134" w:hanging="567"/>
      </w:pPr>
      <w:r>
        <w:t>Plastic</w:t>
      </w:r>
      <w:r w:rsidR="00E47590">
        <w:t>s</w:t>
      </w:r>
      <w:r>
        <w:t xml:space="preserve"> (PET</w:t>
      </w:r>
      <w:r w:rsidR="00E47590">
        <w:t>, HDPE, PVC, PP, PS, mixed</w:t>
      </w:r>
      <w:r>
        <w:t>)</w:t>
      </w:r>
    </w:p>
    <w:p w14:paraId="0D49431E" w14:textId="77777777" w:rsidR="00B94188" w:rsidRDefault="00B94188" w:rsidP="00E47590">
      <w:pPr>
        <w:numPr>
          <w:ilvl w:val="0"/>
          <w:numId w:val="18"/>
        </w:numPr>
        <w:tabs>
          <w:tab w:val="left" w:pos="567"/>
        </w:tabs>
        <w:spacing w:after="0"/>
        <w:ind w:left="1134" w:hanging="567"/>
      </w:pPr>
      <w:r>
        <w:t>Organics (garden waste)”</w:t>
      </w:r>
    </w:p>
    <w:p w14:paraId="0D49431F" w14:textId="451DE400" w:rsidR="00B94188" w:rsidRPr="00041296" w:rsidRDefault="00B94188" w:rsidP="00B94188">
      <w:pPr>
        <w:spacing w:before="240"/>
      </w:pPr>
      <w:r>
        <w:t xml:space="preserve">This functional unit is similar to the functional unit used in the </w:t>
      </w:r>
      <w:r w:rsidR="00A4708F">
        <w:t>previous</w:t>
      </w:r>
      <w:r>
        <w:t xml:space="preserve"> study, with the exception that the </w:t>
      </w:r>
      <w:r w:rsidR="00E47590">
        <w:t>scope</w:t>
      </w:r>
      <w:r>
        <w:t xml:space="preserve"> is expanded to include all of Victoria (not just Melbourne)</w:t>
      </w:r>
      <w:r w:rsidR="00553C56">
        <w:t>,</w:t>
      </w:r>
      <w:r w:rsidR="00B82B1B">
        <w:t xml:space="preserve"> </w:t>
      </w:r>
      <w:r w:rsidR="00553C56">
        <w:t xml:space="preserve">the study includes organics recycling and </w:t>
      </w:r>
      <w:r w:rsidR="00B82B1B">
        <w:t>th</w:t>
      </w:r>
      <w:r w:rsidR="00E47590">
        <w:t>e timeframe has been expanded from one week to</w:t>
      </w:r>
      <w:r w:rsidR="00B82B1B">
        <w:t xml:space="preserve"> one year</w:t>
      </w:r>
      <w:r>
        <w:t>. The functional unit previously used was:</w:t>
      </w:r>
    </w:p>
    <w:p w14:paraId="0D494321" w14:textId="060FA4D7" w:rsidR="00E47590" w:rsidRDefault="00B94188" w:rsidP="00944DCE">
      <w:pPr>
        <w:pStyle w:val="PTNormalResponse"/>
        <w:spacing w:after="240"/>
        <w:ind w:left="567" w:right="522"/>
        <w:jc w:val="both"/>
      </w:pPr>
      <w:r>
        <w:t>“The man</w:t>
      </w:r>
      <w:r w:rsidR="00A4708F">
        <w:t>agement of the recyclable fractions of paper</w:t>
      </w:r>
      <w:r>
        <w:t xml:space="preserve">board, liquid paperboard, HDPE, PVC, PET, other plastics, glass, steel and aluminium packaging and old newspapers discarded at kerbside from the average Melbourne household in one week” </w:t>
      </w:r>
      <w:r>
        <w:fldChar w:fldCharType="begin"/>
      </w:r>
      <w:r w:rsidR="00F40CE2">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fldChar w:fldCharType="separate"/>
      </w:r>
      <w:r w:rsidR="00F40CE2">
        <w:rPr>
          <w:noProof/>
        </w:rPr>
        <w:t>(</w:t>
      </w:r>
      <w:hyperlink w:anchor="_ENREF_35" w:tooltip="Grant, 2001 #262" w:history="1">
        <w:r w:rsidR="00F40CE2">
          <w:rPr>
            <w:noProof/>
          </w:rPr>
          <w:t>Grant et al., 2001a</w:t>
        </w:r>
      </w:hyperlink>
      <w:r w:rsidR="00F40CE2">
        <w:rPr>
          <w:noProof/>
        </w:rPr>
        <w:t>)</w:t>
      </w:r>
      <w:r>
        <w:fldChar w:fldCharType="end"/>
      </w:r>
    </w:p>
    <w:p w14:paraId="0D494322" w14:textId="77777777" w:rsidR="00E47590" w:rsidRDefault="00E47590" w:rsidP="00E47590">
      <w:pPr>
        <w:pStyle w:val="Heading3"/>
      </w:pPr>
      <w:bookmarkStart w:id="64" w:name="_Toc433964536"/>
      <w:r>
        <w:rPr>
          <w:lang w:val="en-AU"/>
        </w:rPr>
        <w:t>Reference flow</w:t>
      </w:r>
      <w:bookmarkEnd w:id="64"/>
    </w:p>
    <w:p w14:paraId="0D494323" w14:textId="210ED106" w:rsidR="00B94188" w:rsidRPr="008E765C" w:rsidRDefault="00B94188" w:rsidP="00B94188">
      <w:pPr>
        <w:spacing w:before="240"/>
      </w:pPr>
      <w:r>
        <w:t xml:space="preserve">The functional unit chosen requires a definition of ‘recyclable materials discarded’ in one </w:t>
      </w:r>
      <w:r w:rsidR="00B82B1B">
        <w:t>year</w:t>
      </w:r>
      <w:r w:rsidR="00E47590">
        <w:t>, which becomes the reference flow</w:t>
      </w:r>
      <w:r>
        <w:t xml:space="preserve">. The average Victorian household disposes of 587 kg </w:t>
      </w:r>
      <w:r w:rsidR="00116F09">
        <w:t xml:space="preserve">of waste materials </w:t>
      </w:r>
      <w:r>
        <w:t xml:space="preserve">(283 </w:t>
      </w:r>
      <w:r w:rsidR="00116F09">
        <w:t xml:space="preserve">kg </w:t>
      </w:r>
      <w:r>
        <w:t xml:space="preserve">non organic, 304 </w:t>
      </w:r>
      <w:r w:rsidR="00116F09">
        <w:t xml:space="preserve">kg </w:t>
      </w:r>
      <w:r>
        <w:t xml:space="preserve">organic) for kerbside </w:t>
      </w:r>
      <w:r w:rsidR="00116F09">
        <w:t xml:space="preserve">recycling </w:t>
      </w:r>
      <w:r>
        <w:t xml:space="preserve">collection every year </w:t>
      </w:r>
      <w:r>
        <w:fldChar w:fldCharType="begin"/>
      </w:r>
      <w:r w:rsidR="00F40CE2">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fldChar w:fldCharType="separate"/>
      </w:r>
      <w:r w:rsidR="00F40CE2">
        <w:rPr>
          <w:noProof/>
        </w:rPr>
        <w:t>(</w:t>
      </w:r>
      <w:hyperlink w:anchor="_ENREF_73" w:tooltip="Sustainability Victoria, 2011 #39" w:history="1">
        <w:r w:rsidR="00F40CE2">
          <w:rPr>
            <w:noProof/>
          </w:rPr>
          <w:t>Sustainability Victoria, 2011a</w:t>
        </w:r>
      </w:hyperlink>
      <w:r w:rsidR="00F40CE2">
        <w:rPr>
          <w:noProof/>
        </w:rPr>
        <w:t>)</w:t>
      </w:r>
      <w:r>
        <w:fldChar w:fldCharType="end"/>
      </w:r>
      <w:r>
        <w:t xml:space="preserve">, equating to 11.29 kg of waste per week. </w:t>
      </w:r>
      <w:r w:rsidR="001D74DD">
        <w:fldChar w:fldCharType="begin"/>
      </w:r>
      <w:r w:rsidR="001D74DD">
        <w:instrText xml:space="preserve"> REF _Ref358407923 \h </w:instrText>
      </w:r>
      <w:r w:rsidR="001D74DD">
        <w:fldChar w:fldCharType="separate"/>
      </w:r>
      <w:r w:rsidR="00564E5C" w:rsidRPr="008E765C">
        <w:t xml:space="preserve">Table </w:t>
      </w:r>
      <w:r w:rsidR="00564E5C">
        <w:rPr>
          <w:noProof/>
        </w:rPr>
        <w:t>10</w:t>
      </w:r>
      <w:r w:rsidR="001D74DD">
        <w:fldChar w:fldCharType="end"/>
      </w:r>
      <w:r w:rsidR="001D74DD">
        <w:t xml:space="preserve"> </w:t>
      </w:r>
      <w:r w:rsidR="00E47590">
        <w:t>breaks this figure</w:t>
      </w:r>
      <w:r>
        <w:t xml:space="preserve"> down by the materials considered in the definition of the </w:t>
      </w:r>
      <w:r w:rsidRPr="008E765C">
        <w:t>functional unit.</w:t>
      </w:r>
      <w:r w:rsidR="00B032AD">
        <w:t xml:space="preserve"> The ‘Reference Flow’ column of </w:t>
      </w:r>
      <w:r w:rsidR="00B032AD">
        <w:fldChar w:fldCharType="begin"/>
      </w:r>
      <w:r w:rsidR="00B032AD">
        <w:instrText xml:space="preserve"> REF _Ref358407923 \h </w:instrText>
      </w:r>
      <w:r w:rsidR="00B032AD">
        <w:fldChar w:fldCharType="separate"/>
      </w:r>
      <w:r w:rsidR="00564E5C" w:rsidRPr="008E765C">
        <w:t xml:space="preserve">Table </w:t>
      </w:r>
      <w:r w:rsidR="00564E5C">
        <w:rPr>
          <w:noProof/>
        </w:rPr>
        <w:t>10</w:t>
      </w:r>
      <w:r w:rsidR="00B032AD">
        <w:fldChar w:fldCharType="end"/>
      </w:r>
      <w:r w:rsidR="00B032AD">
        <w:t xml:space="preserve"> defines the mass flow of waste described by the functional unit.</w:t>
      </w:r>
    </w:p>
    <w:p w14:paraId="0D494324" w14:textId="77777777" w:rsidR="00B94188" w:rsidRDefault="00B94188" w:rsidP="00B94188">
      <w:pPr>
        <w:pStyle w:val="Caption"/>
        <w:keepNext/>
        <w:jc w:val="left"/>
      </w:pPr>
      <w:bookmarkStart w:id="65" w:name="_Ref358407923"/>
      <w:r w:rsidRPr="008E765C">
        <w:lastRenderedPageBreak/>
        <w:t xml:space="preserve">Table </w:t>
      </w:r>
      <w:r w:rsidR="00FC7DE2">
        <w:fldChar w:fldCharType="begin"/>
      </w:r>
      <w:r w:rsidR="00FC7DE2">
        <w:instrText xml:space="preserve"> SEQ Table \* ARABIC </w:instrText>
      </w:r>
      <w:r w:rsidR="00FC7DE2">
        <w:fldChar w:fldCharType="separate"/>
      </w:r>
      <w:r w:rsidR="00564E5C">
        <w:rPr>
          <w:noProof/>
        </w:rPr>
        <w:t>10</w:t>
      </w:r>
      <w:r w:rsidR="00FC7DE2">
        <w:rPr>
          <w:noProof/>
        </w:rPr>
        <w:fldChar w:fldCharType="end"/>
      </w:r>
      <w:bookmarkEnd w:id="65"/>
      <w:r w:rsidRPr="008E765C">
        <w:t xml:space="preserve"> Calculated breakdown of average household recycling collection in Victoria (values shown are in kg).</w:t>
      </w:r>
    </w:p>
    <w:p w14:paraId="0D494325" w14:textId="7B1A3B2D" w:rsidR="00B94188" w:rsidRDefault="00CE6767" w:rsidP="00C109BF">
      <w:pPr>
        <w:pStyle w:val="PTNormalResponse"/>
        <w:jc w:val="center"/>
      </w:pPr>
      <w:r w:rsidRPr="00CE6767">
        <w:rPr>
          <w:noProof/>
          <w:lang w:eastAsia="en-AU"/>
        </w:rPr>
        <w:drawing>
          <wp:inline distT="0" distB="0" distL="0" distR="0" wp14:anchorId="7B5D0721" wp14:editId="2B9046FE">
            <wp:extent cx="3714514" cy="522092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368" cy="5223527"/>
                    </a:xfrm>
                    <a:prstGeom prst="rect">
                      <a:avLst/>
                    </a:prstGeom>
                    <a:noFill/>
                    <a:ln>
                      <a:noFill/>
                    </a:ln>
                  </pic:spPr>
                </pic:pic>
              </a:graphicData>
            </a:graphic>
          </wp:inline>
        </w:drawing>
      </w:r>
    </w:p>
    <w:p w14:paraId="0D494326" w14:textId="77777777" w:rsidR="00B94188" w:rsidRPr="009C76E6" w:rsidRDefault="00B94188" w:rsidP="00B94188">
      <w:pPr>
        <w:pStyle w:val="PTNormalResponse"/>
        <w:spacing w:before="0" w:after="0"/>
        <w:rPr>
          <w:sz w:val="16"/>
          <w:szCs w:val="16"/>
        </w:rPr>
      </w:pPr>
      <w:r w:rsidRPr="009C76E6">
        <w:rPr>
          <w:sz w:val="16"/>
          <w:szCs w:val="16"/>
        </w:rPr>
        <w:t>Notes:</w:t>
      </w:r>
    </w:p>
    <w:p w14:paraId="0D494327" w14:textId="1DE85A2F" w:rsidR="00B94188" w:rsidRPr="009C76E6" w:rsidRDefault="00B94188" w:rsidP="00B94188">
      <w:pPr>
        <w:pStyle w:val="PTNormalResponse"/>
        <w:spacing w:before="0" w:after="0"/>
        <w:rPr>
          <w:sz w:val="16"/>
          <w:szCs w:val="16"/>
        </w:rPr>
      </w:pPr>
      <w:r w:rsidRPr="009C76E6">
        <w:rPr>
          <w:sz w:val="16"/>
          <w:szCs w:val="16"/>
        </w:rPr>
        <w:t xml:space="preserve">All recycling breakdown information is taken from </w:t>
      </w:r>
      <w:r w:rsidRPr="009C76E6">
        <w:rPr>
          <w:sz w:val="16"/>
          <w:szCs w:val="16"/>
        </w:rPr>
        <w:fldChar w:fldCharType="begin"/>
      </w:r>
      <w:r w:rsidR="00F40CE2">
        <w:rPr>
          <w:sz w:val="16"/>
          <w:szCs w:val="16"/>
        </w:rPr>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Pr="009C76E6">
        <w:rPr>
          <w:sz w:val="16"/>
          <w:szCs w:val="16"/>
        </w:rPr>
        <w:fldChar w:fldCharType="separate"/>
      </w:r>
      <w:r w:rsidR="00F40CE2">
        <w:rPr>
          <w:noProof/>
          <w:sz w:val="16"/>
          <w:szCs w:val="16"/>
        </w:rPr>
        <w:t>(</w:t>
      </w:r>
      <w:hyperlink w:anchor="_ENREF_73" w:tooltip="Sustainability Victoria, 2011 #39" w:history="1">
        <w:r w:rsidR="00F40CE2">
          <w:rPr>
            <w:noProof/>
            <w:sz w:val="16"/>
            <w:szCs w:val="16"/>
          </w:rPr>
          <w:t>Sustainability Victoria, 2011a</w:t>
        </w:r>
      </w:hyperlink>
      <w:r w:rsidR="00F40CE2">
        <w:rPr>
          <w:noProof/>
          <w:sz w:val="16"/>
          <w:szCs w:val="16"/>
        </w:rPr>
        <w:t>)</w:t>
      </w:r>
      <w:r w:rsidRPr="009C76E6">
        <w:rPr>
          <w:sz w:val="16"/>
          <w:szCs w:val="16"/>
        </w:rPr>
        <w:fldChar w:fldCharType="end"/>
      </w:r>
      <w:r>
        <w:rPr>
          <w:sz w:val="16"/>
          <w:szCs w:val="16"/>
        </w:rPr>
        <w:t>:</w:t>
      </w:r>
    </w:p>
    <w:p w14:paraId="0D494328" w14:textId="4F09F134" w:rsidR="00B94188" w:rsidRPr="009C76E6" w:rsidRDefault="00D341A6" w:rsidP="00B94188">
      <w:pPr>
        <w:pStyle w:val="PTNormalResponse"/>
        <w:numPr>
          <w:ilvl w:val="0"/>
          <w:numId w:val="21"/>
        </w:numPr>
        <w:spacing w:before="0" w:after="0"/>
        <w:rPr>
          <w:sz w:val="16"/>
          <w:szCs w:val="16"/>
        </w:rPr>
      </w:pPr>
      <w:r>
        <w:rPr>
          <w:sz w:val="16"/>
          <w:szCs w:val="16"/>
        </w:rPr>
        <w:t>Yield calculated from (non-</w:t>
      </w:r>
      <w:r w:rsidR="00B94188" w:rsidRPr="009C76E6">
        <w:rPr>
          <w:sz w:val="16"/>
          <w:szCs w:val="16"/>
        </w:rPr>
        <w:t>organics p</w:t>
      </w:r>
      <w:r>
        <w:rPr>
          <w:sz w:val="16"/>
          <w:szCs w:val="16"/>
        </w:rPr>
        <w:t>.</w:t>
      </w:r>
      <w:r w:rsidR="00B94188" w:rsidRPr="009C76E6">
        <w:rPr>
          <w:sz w:val="16"/>
          <w:szCs w:val="16"/>
        </w:rPr>
        <w:t>27, organics p</w:t>
      </w:r>
      <w:r>
        <w:rPr>
          <w:sz w:val="16"/>
          <w:szCs w:val="16"/>
        </w:rPr>
        <w:t>.</w:t>
      </w:r>
      <w:r w:rsidR="00B94188" w:rsidRPr="009C76E6">
        <w:rPr>
          <w:sz w:val="16"/>
          <w:szCs w:val="16"/>
        </w:rPr>
        <w:t>38)</w:t>
      </w:r>
    </w:p>
    <w:p w14:paraId="0D494329" w14:textId="1D3C5573" w:rsidR="00B94188" w:rsidRPr="009C76E6" w:rsidRDefault="00B94188" w:rsidP="00B94188">
      <w:pPr>
        <w:pStyle w:val="PTNormalResponse"/>
        <w:numPr>
          <w:ilvl w:val="0"/>
          <w:numId w:val="21"/>
        </w:numPr>
        <w:spacing w:before="0" w:after="0"/>
        <w:rPr>
          <w:sz w:val="16"/>
          <w:szCs w:val="16"/>
        </w:rPr>
      </w:pPr>
      <w:r w:rsidRPr="009C76E6">
        <w:rPr>
          <w:sz w:val="16"/>
          <w:szCs w:val="16"/>
        </w:rPr>
        <w:t>Nett yield (after removal of con</w:t>
      </w:r>
      <w:r w:rsidR="00A4708F">
        <w:rPr>
          <w:sz w:val="16"/>
          <w:szCs w:val="16"/>
        </w:rPr>
        <w:t>taminants) determined from (non-</w:t>
      </w:r>
      <w:r w:rsidRPr="009C76E6">
        <w:rPr>
          <w:sz w:val="16"/>
          <w:szCs w:val="16"/>
        </w:rPr>
        <w:t>organics p</w:t>
      </w:r>
      <w:r w:rsidR="00D341A6">
        <w:rPr>
          <w:sz w:val="16"/>
          <w:szCs w:val="16"/>
        </w:rPr>
        <w:t>.</w:t>
      </w:r>
      <w:r w:rsidRPr="009C76E6">
        <w:rPr>
          <w:sz w:val="16"/>
          <w:szCs w:val="16"/>
        </w:rPr>
        <w:t>28, organics assumed 100% yield)</w:t>
      </w:r>
    </w:p>
    <w:p w14:paraId="0D49432B" w14:textId="2EA6D9D8" w:rsidR="00B94188" w:rsidRDefault="00B94188" w:rsidP="00116F09">
      <w:pPr>
        <w:pStyle w:val="PTNormalResponse"/>
        <w:numPr>
          <w:ilvl w:val="0"/>
          <w:numId w:val="21"/>
        </w:numPr>
        <w:spacing w:before="0" w:after="0"/>
        <w:ind w:left="714" w:hanging="357"/>
        <w:rPr>
          <w:sz w:val="16"/>
          <w:szCs w:val="16"/>
        </w:rPr>
      </w:pPr>
      <w:r w:rsidRPr="009C76E6">
        <w:rPr>
          <w:sz w:val="16"/>
          <w:szCs w:val="16"/>
        </w:rPr>
        <w:t>Collection breakdown for non-organics from p</w:t>
      </w:r>
      <w:r w:rsidR="00D341A6">
        <w:rPr>
          <w:sz w:val="16"/>
          <w:szCs w:val="16"/>
        </w:rPr>
        <w:t>.</w:t>
      </w:r>
      <w:r w:rsidRPr="009C76E6">
        <w:rPr>
          <w:sz w:val="16"/>
          <w:szCs w:val="16"/>
        </w:rPr>
        <w:t>34</w:t>
      </w:r>
    </w:p>
    <w:p w14:paraId="71FF1E5F" w14:textId="71112C74" w:rsidR="00116F09" w:rsidRPr="00944DCE" w:rsidRDefault="00116F09" w:rsidP="00116F09">
      <w:pPr>
        <w:pStyle w:val="PTNormalResponse"/>
        <w:spacing w:before="0" w:after="240"/>
        <w:rPr>
          <w:sz w:val="16"/>
          <w:szCs w:val="16"/>
        </w:rPr>
      </w:pPr>
      <w:r>
        <w:rPr>
          <w:sz w:val="16"/>
          <w:szCs w:val="16"/>
        </w:rPr>
        <w:t>‘Contam.’ refers to contamination.</w:t>
      </w:r>
    </w:p>
    <w:p w14:paraId="0D49432C" w14:textId="77777777" w:rsidR="00B94188" w:rsidRDefault="00B94188" w:rsidP="00B94188">
      <w:pPr>
        <w:pStyle w:val="Heading3"/>
      </w:pPr>
      <w:bookmarkStart w:id="66" w:name="_Ref343842091"/>
      <w:bookmarkStart w:id="67" w:name="_Toc343853110"/>
      <w:bookmarkStart w:id="68" w:name="_Toc433964537"/>
      <w:r>
        <w:t>Materials excluded from the study</w:t>
      </w:r>
      <w:bookmarkEnd w:id="66"/>
      <w:bookmarkEnd w:id="67"/>
      <w:bookmarkEnd w:id="68"/>
    </w:p>
    <w:p w14:paraId="0D49432D" w14:textId="77777777" w:rsidR="00B94188" w:rsidRDefault="00B94188" w:rsidP="00B94188">
      <w:r>
        <w:t>The following materials are excluded from the study:</w:t>
      </w:r>
    </w:p>
    <w:p w14:paraId="0D49432E" w14:textId="77777777" w:rsidR="00B94188" w:rsidRPr="00962F9F" w:rsidRDefault="00B94188" w:rsidP="00B84C97">
      <w:pPr>
        <w:widowControl/>
        <w:numPr>
          <w:ilvl w:val="0"/>
          <w:numId w:val="27"/>
        </w:numPr>
        <w:spacing w:after="0" w:line="276" w:lineRule="auto"/>
        <w:ind w:left="714" w:hanging="357"/>
        <w:jc w:val="left"/>
      </w:pPr>
      <w:r w:rsidRPr="00962F9F">
        <w:t>Bioplastics</w:t>
      </w:r>
    </w:p>
    <w:p w14:paraId="0D49432F" w14:textId="77777777" w:rsidR="00B94188" w:rsidRPr="00962F9F" w:rsidRDefault="00B94188" w:rsidP="00B84C97">
      <w:pPr>
        <w:widowControl/>
        <w:numPr>
          <w:ilvl w:val="0"/>
          <w:numId w:val="27"/>
        </w:numPr>
        <w:spacing w:after="0" w:line="276" w:lineRule="auto"/>
        <w:ind w:left="714" w:hanging="357"/>
        <w:jc w:val="left"/>
      </w:pPr>
      <w:r w:rsidRPr="00962F9F">
        <w:t>Nappies (including compostable)</w:t>
      </w:r>
    </w:p>
    <w:p w14:paraId="0D494330" w14:textId="77777777" w:rsidR="00B032AD" w:rsidRDefault="00B032AD" w:rsidP="00B84C97">
      <w:pPr>
        <w:widowControl/>
        <w:numPr>
          <w:ilvl w:val="0"/>
          <w:numId w:val="27"/>
        </w:numPr>
        <w:spacing w:after="0" w:line="276" w:lineRule="auto"/>
        <w:ind w:left="714" w:hanging="357"/>
        <w:jc w:val="left"/>
      </w:pPr>
      <w:r>
        <w:t>Textiles</w:t>
      </w:r>
    </w:p>
    <w:p w14:paraId="0D494331" w14:textId="77777777" w:rsidR="00B94188" w:rsidRPr="00962F9F" w:rsidRDefault="00B94188" w:rsidP="00B84C97">
      <w:pPr>
        <w:widowControl/>
        <w:numPr>
          <w:ilvl w:val="0"/>
          <w:numId w:val="27"/>
        </w:numPr>
        <w:spacing w:after="0" w:line="276" w:lineRule="auto"/>
        <w:ind w:left="714" w:hanging="357"/>
        <w:jc w:val="left"/>
      </w:pPr>
      <w:r w:rsidRPr="00962F9F">
        <w:t>Sewerage</w:t>
      </w:r>
    </w:p>
    <w:p w14:paraId="0D494332" w14:textId="77777777" w:rsidR="00B94188" w:rsidRPr="00962F9F" w:rsidRDefault="00B94188" w:rsidP="00B84C97">
      <w:pPr>
        <w:widowControl/>
        <w:numPr>
          <w:ilvl w:val="0"/>
          <w:numId w:val="27"/>
        </w:numPr>
        <w:spacing w:after="0" w:line="276" w:lineRule="auto"/>
        <w:ind w:left="714" w:hanging="357"/>
        <w:jc w:val="left"/>
      </w:pPr>
      <w:r w:rsidRPr="00962F9F">
        <w:t>Electronic waste</w:t>
      </w:r>
    </w:p>
    <w:p w14:paraId="0D494333" w14:textId="77777777" w:rsidR="00B94188" w:rsidRPr="00962F9F" w:rsidRDefault="00B94188" w:rsidP="00B84C97">
      <w:pPr>
        <w:widowControl/>
        <w:numPr>
          <w:ilvl w:val="0"/>
          <w:numId w:val="27"/>
        </w:numPr>
        <w:spacing w:after="0" w:line="276" w:lineRule="auto"/>
        <w:ind w:left="714" w:hanging="357"/>
        <w:jc w:val="left"/>
      </w:pPr>
      <w:r w:rsidRPr="00962F9F">
        <w:t>Engineered wood products</w:t>
      </w:r>
    </w:p>
    <w:p w14:paraId="0D494334" w14:textId="77777777" w:rsidR="00B94188" w:rsidRPr="00962F9F" w:rsidRDefault="00B94188" w:rsidP="00B84C97">
      <w:pPr>
        <w:widowControl/>
        <w:numPr>
          <w:ilvl w:val="0"/>
          <w:numId w:val="27"/>
        </w:numPr>
        <w:spacing w:after="0" w:line="276" w:lineRule="auto"/>
        <w:ind w:left="714" w:hanging="357"/>
        <w:jc w:val="left"/>
      </w:pPr>
      <w:r w:rsidRPr="00962F9F">
        <w:t>Mining and agricultural waste</w:t>
      </w:r>
    </w:p>
    <w:p w14:paraId="0D494335" w14:textId="77777777" w:rsidR="00B94188" w:rsidRPr="00962F9F" w:rsidRDefault="00B94188" w:rsidP="00B84C97">
      <w:pPr>
        <w:widowControl/>
        <w:numPr>
          <w:ilvl w:val="0"/>
          <w:numId w:val="27"/>
        </w:numPr>
        <w:spacing w:after="0" w:line="276" w:lineRule="auto"/>
        <w:ind w:left="714" w:hanging="357"/>
        <w:jc w:val="left"/>
      </w:pPr>
      <w:r w:rsidRPr="00962F9F">
        <w:t>Waste from energy generation (including fly ash)</w:t>
      </w:r>
    </w:p>
    <w:p w14:paraId="0D494336" w14:textId="77777777" w:rsidR="00B94188" w:rsidRDefault="00B94188" w:rsidP="00B84C97">
      <w:pPr>
        <w:widowControl/>
        <w:numPr>
          <w:ilvl w:val="0"/>
          <w:numId w:val="27"/>
        </w:numPr>
        <w:spacing w:after="0" w:line="276" w:lineRule="auto"/>
        <w:ind w:left="714" w:hanging="357"/>
        <w:jc w:val="left"/>
      </w:pPr>
      <w:r w:rsidRPr="00962F9F">
        <w:t>Rubber/ waste tyres</w:t>
      </w:r>
    </w:p>
    <w:p w14:paraId="0D494337" w14:textId="77777777" w:rsidR="00B94188" w:rsidRDefault="00B94188" w:rsidP="00B94188">
      <w:pPr>
        <w:widowControl/>
        <w:spacing w:after="0" w:line="276" w:lineRule="auto"/>
        <w:jc w:val="left"/>
      </w:pPr>
    </w:p>
    <w:p w14:paraId="0D494338" w14:textId="77777777" w:rsidR="00B94188" w:rsidRDefault="00B94188" w:rsidP="00B94188">
      <w:pPr>
        <w:pStyle w:val="Heading3"/>
      </w:pPr>
      <w:bookmarkStart w:id="69" w:name="_Ref343850772"/>
      <w:bookmarkStart w:id="70" w:name="_Toc343853111"/>
      <w:bookmarkStart w:id="71" w:name="_Toc433964538"/>
      <w:r>
        <w:lastRenderedPageBreak/>
        <w:t>The Recycling System</w:t>
      </w:r>
      <w:bookmarkEnd w:id="69"/>
      <w:bookmarkEnd w:id="70"/>
      <w:bookmarkEnd w:id="71"/>
    </w:p>
    <w:p w14:paraId="0D494339" w14:textId="0BA9D945" w:rsidR="00B94188" w:rsidRDefault="00B032AD" w:rsidP="00B94188">
      <w:r>
        <w:t>The Recycling S</w:t>
      </w:r>
      <w:r w:rsidR="00B94188">
        <w:t xml:space="preserve">ystem consists of those unit processes needed to recover and reprocess materials collected from kerbside recycling and green waste bins. Such processes include: collection and transport, materials recovery and sorting, reprocessing (both organic and inorganic), transport and some landfill. Background processes include but are not limited to electricity generation, natural gas extraction and supply and water supply. Material reprocessing pathways considered by the study are those </w:t>
      </w:r>
      <w:r w:rsidR="00D341A6">
        <w:t xml:space="preserve">associated with materials </w:t>
      </w:r>
      <w:r w:rsidR="00B94188">
        <w:t>mentioned in the definition of the functional unit. The processes that comprise the Recycling System are shown to the left of</w:t>
      </w:r>
      <w:r w:rsidR="001D74DD">
        <w:t xml:space="preserve"> </w:t>
      </w:r>
      <w:r w:rsidR="001D74DD">
        <w:fldChar w:fldCharType="begin"/>
      </w:r>
      <w:r w:rsidR="001D74DD">
        <w:instrText xml:space="preserve"> REF _Ref358407972 \h </w:instrText>
      </w:r>
      <w:r w:rsidR="001D74DD">
        <w:fldChar w:fldCharType="separate"/>
      </w:r>
      <w:r w:rsidR="00564E5C">
        <w:t xml:space="preserve">Figure </w:t>
      </w:r>
      <w:r w:rsidR="00564E5C">
        <w:rPr>
          <w:noProof/>
        </w:rPr>
        <w:t>8</w:t>
      </w:r>
      <w:r w:rsidR="001D74DD">
        <w:fldChar w:fldCharType="end"/>
      </w:r>
      <w:r w:rsidR="00B94188">
        <w:t>.</w:t>
      </w:r>
    </w:p>
    <w:p w14:paraId="0D49433A" w14:textId="77777777" w:rsidR="00B94188" w:rsidRDefault="00B94188" w:rsidP="00B94188">
      <w:pPr>
        <w:pStyle w:val="Heading3"/>
      </w:pPr>
      <w:bookmarkStart w:id="72" w:name="_Toc343853112"/>
      <w:bookmarkStart w:id="73" w:name="_Toc433964539"/>
      <w:r>
        <w:t>The Alternative System</w:t>
      </w:r>
      <w:bookmarkEnd w:id="72"/>
      <w:bookmarkEnd w:id="73"/>
    </w:p>
    <w:p w14:paraId="0D49433B" w14:textId="3AE34BE9" w:rsidR="00B94188" w:rsidRDefault="00B94188" w:rsidP="00B94188">
      <w:r>
        <w:t>The Alternative System can be defined as a ‘shadow’ of the Recycling System. It includes unit processes sufficient to generate the same primary and secondary functions as the Recycling System, however by different means. In the Alternative System, waste is disposed of to landfill and materials (equivalent to those produced by the Recycling System) are produced from virgin</w:t>
      </w:r>
      <w:r>
        <w:rPr>
          <w:rStyle w:val="FootnoteReference"/>
        </w:rPr>
        <w:footnoteReference w:id="6"/>
      </w:r>
      <w:r>
        <w:t xml:space="preserve"> feedstock</w:t>
      </w:r>
      <w:r w:rsidR="00116F09">
        <w:t>s</w:t>
      </w:r>
      <w:r>
        <w:t>. The processes that comprise the Alternative System are shown to the right of</w:t>
      </w:r>
      <w:r w:rsidR="001D74DD">
        <w:t xml:space="preserve"> </w:t>
      </w:r>
      <w:r w:rsidR="001D74DD">
        <w:fldChar w:fldCharType="begin"/>
      </w:r>
      <w:r w:rsidR="001D74DD">
        <w:instrText xml:space="preserve"> REF _Ref358407972 \h </w:instrText>
      </w:r>
      <w:r w:rsidR="001D74DD">
        <w:fldChar w:fldCharType="separate"/>
      </w:r>
      <w:r w:rsidR="00564E5C">
        <w:t xml:space="preserve">Figure </w:t>
      </w:r>
      <w:r w:rsidR="00564E5C">
        <w:rPr>
          <w:noProof/>
        </w:rPr>
        <w:t>8</w:t>
      </w:r>
      <w:r w:rsidR="001D74DD">
        <w:fldChar w:fldCharType="end"/>
      </w:r>
      <w:r>
        <w:t>.</w:t>
      </w:r>
    </w:p>
    <w:p w14:paraId="0D49433C" w14:textId="77777777" w:rsidR="00B94188" w:rsidRDefault="00B94188" w:rsidP="00B94188">
      <w:pPr>
        <w:pStyle w:val="Heading2"/>
      </w:pPr>
      <w:bookmarkStart w:id="74" w:name="_Ref343775605"/>
      <w:bookmarkStart w:id="75" w:name="_Toc343853113"/>
      <w:bookmarkStart w:id="76" w:name="_Toc433964540"/>
      <w:r w:rsidRPr="00041296">
        <w:t>System boundary</w:t>
      </w:r>
      <w:bookmarkEnd w:id="74"/>
      <w:bookmarkEnd w:id="75"/>
      <w:bookmarkEnd w:id="76"/>
    </w:p>
    <w:p w14:paraId="0D49433D" w14:textId="3B36C9E5" w:rsidR="00B94188" w:rsidRDefault="00B94188" w:rsidP="00B94188">
      <w:pPr>
        <w:rPr>
          <w:lang w:val="en-GB"/>
        </w:rPr>
      </w:pPr>
      <w:r w:rsidRPr="00474B2D">
        <w:rPr>
          <w:lang w:val="en-GB"/>
        </w:rPr>
        <w:t xml:space="preserve">The system boundary describes the </w:t>
      </w:r>
      <w:r>
        <w:rPr>
          <w:lang w:val="en-GB"/>
        </w:rPr>
        <w:t xml:space="preserve">unit </w:t>
      </w:r>
      <w:r w:rsidRPr="00474B2D">
        <w:rPr>
          <w:lang w:val="en-GB"/>
        </w:rPr>
        <w:t>processes whi</w:t>
      </w:r>
      <w:r w:rsidR="00CB0AA7">
        <w:rPr>
          <w:lang w:val="en-GB"/>
        </w:rPr>
        <w:t>ch are included in the analysis.</w:t>
      </w:r>
    </w:p>
    <w:p w14:paraId="0D49433E" w14:textId="77777777" w:rsidR="00B94188" w:rsidRDefault="001D74DD" w:rsidP="00B94188">
      <w:pPr>
        <w:rPr>
          <w:lang w:val="en-GB"/>
        </w:rPr>
      </w:pPr>
      <w:r>
        <w:rPr>
          <w:lang w:val="en-GB"/>
        </w:rPr>
        <w:fldChar w:fldCharType="begin"/>
      </w:r>
      <w:r>
        <w:rPr>
          <w:lang w:val="en-GB"/>
        </w:rPr>
        <w:instrText xml:space="preserve"> REF _Ref358407972 \h </w:instrText>
      </w:r>
      <w:r>
        <w:rPr>
          <w:lang w:val="en-GB"/>
        </w:rPr>
      </w:r>
      <w:r>
        <w:rPr>
          <w:lang w:val="en-GB"/>
        </w:rPr>
        <w:fldChar w:fldCharType="separate"/>
      </w:r>
      <w:r w:rsidR="00564E5C">
        <w:t xml:space="preserve">Figure </w:t>
      </w:r>
      <w:r w:rsidR="00564E5C">
        <w:rPr>
          <w:noProof/>
        </w:rPr>
        <w:t>8</w:t>
      </w:r>
      <w:r>
        <w:rPr>
          <w:lang w:val="en-GB"/>
        </w:rPr>
        <w:fldChar w:fldCharType="end"/>
      </w:r>
      <w:r>
        <w:rPr>
          <w:lang w:val="en-GB"/>
        </w:rPr>
        <w:t xml:space="preserve"> </w:t>
      </w:r>
      <w:r w:rsidR="00B94188">
        <w:rPr>
          <w:lang w:val="en-GB"/>
        </w:rPr>
        <w:t>describes the system boundary used in the study. Note that for clarity the following background processes are not shown on the diagram but are included within the system boundary:</w:t>
      </w:r>
    </w:p>
    <w:p w14:paraId="0D49433F" w14:textId="77777777" w:rsidR="00B94188" w:rsidRDefault="00B94188" w:rsidP="00B94188">
      <w:pPr>
        <w:numPr>
          <w:ilvl w:val="0"/>
          <w:numId w:val="20"/>
        </w:numPr>
        <w:spacing w:after="0"/>
        <w:ind w:left="567" w:hanging="567"/>
        <w:rPr>
          <w:lang w:val="en-GB"/>
        </w:rPr>
      </w:pPr>
      <w:r>
        <w:rPr>
          <w:lang w:val="en-GB"/>
        </w:rPr>
        <w:t>electricity generation and supply (including supporting supply chains, such as coal extraction)</w:t>
      </w:r>
    </w:p>
    <w:p w14:paraId="0D494340" w14:textId="77777777" w:rsidR="00B94188" w:rsidRDefault="00B94188" w:rsidP="00B94188">
      <w:pPr>
        <w:numPr>
          <w:ilvl w:val="0"/>
          <w:numId w:val="20"/>
        </w:numPr>
        <w:spacing w:after="0"/>
        <w:ind w:left="567" w:hanging="567"/>
        <w:rPr>
          <w:lang w:val="en-GB"/>
        </w:rPr>
      </w:pPr>
      <w:r>
        <w:rPr>
          <w:lang w:val="en-GB"/>
        </w:rPr>
        <w:t>natural gas extraction and supply</w:t>
      </w:r>
    </w:p>
    <w:p w14:paraId="0D494341" w14:textId="77777777" w:rsidR="00B94188" w:rsidRDefault="00B94188" w:rsidP="00B94188">
      <w:pPr>
        <w:numPr>
          <w:ilvl w:val="0"/>
          <w:numId w:val="20"/>
        </w:numPr>
        <w:spacing w:after="0"/>
        <w:ind w:left="567" w:hanging="567"/>
        <w:rPr>
          <w:lang w:val="en-GB"/>
        </w:rPr>
      </w:pPr>
      <w:r>
        <w:rPr>
          <w:lang w:val="en-GB"/>
        </w:rPr>
        <w:t>reticulated water supply</w:t>
      </w:r>
    </w:p>
    <w:p w14:paraId="0D494342" w14:textId="77777777" w:rsidR="00B94188" w:rsidRDefault="00B94188" w:rsidP="00B94188">
      <w:pPr>
        <w:numPr>
          <w:ilvl w:val="0"/>
          <w:numId w:val="20"/>
        </w:numPr>
        <w:spacing w:after="0"/>
        <w:ind w:left="567" w:hanging="567"/>
        <w:rPr>
          <w:lang w:val="en-GB"/>
        </w:rPr>
      </w:pPr>
      <w:r>
        <w:rPr>
          <w:lang w:val="en-GB"/>
        </w:rPr>
        <w:t>fossil fuel extraction and processing (transport fuels)</w:t>
      </w:r>
    </w:p>
    <w:p w14:paraId="0E00E949" w14:textId="3B27EBAD" w:rsidR="00D341A6" w:rsidRDefault="00D341A6" w:rsidP="00B94188">
      <w:pPr>
        <w:numPr>
          <w:ilvl w:val="0"/>
          <w:numId w:val="20"/>
        </w:numPr>
        <w:spacing w:after="0"/>
        <w:ind w:left="567" w:hanging="567"/>
        <w:rPr>
          <w:lang w:val="en-GB"/>
        </w:rPr>
      </w:pPr>
      <w:r>
        <w:rPr>
          <w:lang w:val="en-GB"/>
        </w:rPr>
        <w:t>infrastructure</w:t>
      </w:r>
    </w:p>
    <w:p w14:paraId="0D494343" w14:textId="77777777" w:rsidR="00B94188" w:rsidRDefault="00B94188" w:rsidP="00B94188">
      <w:pPr>
        <w:spacing w:after="0"/>
        <w:ind w:left="714"/>
        <w:rPr>
          <w:lang w:val="en-GB"/>
        </w:rPr>
      </w:pPr>
    </w:p>
    <w:p w14:paraId="0D494344" w14:textId="6363433D" w:rsidR="00B94188" w:rsidRDefault="00B94188" w:rsidP="00B94188">
      <w:pPr>
        <w:rPr>
          <w:lang w:val="en-GB"/>
        </w:rPr>
      </w:pPr>
      <w:r>
        <w:rPr>
          <w:lang w:val="en-GB"/>
        </w:rPr>
        <w:t>Excluded from the system boundary are process</w:t>
      </w:r>
      <w:r w:rsidR="00D341A6">
        <w:rPr>
          <w:lang w:val="en-GB"/>
        </w:rPr>
        <w:t>es associated with human labour.</w:t>
      </w:r>
    </w:p>
    <w:p w14:paraId="0D494345" w14:textId="58022855" w:rsidR="00B94188" w:rsidRDefault="00B94188" w:rsidP="00B94188">
      <w:pPr>
        <w:rPr>
          <w:lang w:val="en-GB"/>
        </w:rPr>
      </w:pPr>
      <w:r>
        <w:rPr>
          <w:lang w:val="en-GB"/>
        </w:rPr>
        <w:t>The reprocessing and manufa</w:t>
      </w:r>
      <w:r w:rsidR="00D341A6">
        <w:rPr>
          <w:lang w:val="en-GB"/>
        </w:rPr>
        <w:t>cturing processes shown in the R</w:t>
      </w:r>
      <w:r>
        <w:rPr>
          <w:lang w:val="en-GB"/>
        </w:rPr>
        <w:t xml:space="preserve">ecycling </w:t>
      </w:r>
      <w:r w:rsidR="00D341A6">
        <w:rPr>
          <w:lang w:val="en-GB"/>
        </w:rPr>
        <w:t>System and Alternative S</w:t>
      </w:r>
      <w:r>
        <w:rPr>
          <w:lang w:val="en-GB"/>
        </w:rPr>
        <w:t>ystems have been simplified to allow for pr</w:t>
      </w:r>
      <w:r w:rsidR="00D341A6">
        <w:rPr>
          <w:lang w:val="en-GB"/>
        </w:rPr>
        <w:t>esentation on a single diagram.</w:t>
      </w:r>
    </w:p>
    <w:p w14:paraId="0D494347" w14:textId="77777777" w:rsidR="00B94188" w:rsidRDefault="00B94188" w:rsidP="00B94188">
      <w:pPr>
        <w:rPr>
          <w:lang w:val="en-GB"/>
        </w:rPr>
      </w:pPr>
    </w:p>
    <w:p w14:paraId="0D494348" w14:textId="77777777" w:rsidR="00B94188" w:rsidRDefault="00B94188" w:rsidP="00B94188">
      <w:pPr>
        <w:rPr>
          <w:lang w:val="en-GB"/>
        </w:rPr>
      </w:pPr>
    </w:p>
    <w:p w14:paraId="0D494349" w14:textId="77777777" w:rsidR="00B94188" w:rsidRDefault="00B94188" w:rsidP="00B94188">
      <w:pPr>
        <w:rPr>
          <w:lang w:val="en-GB"/>
        </w:rPr>
        <w:sectPr w:rsidR="00B94188" w:rsidSect="006555B4">
          <w:pgSz w:w="11906" w:h="16838"/>
          <w:pgMar w:top="1276" w:right="1440" w:bottom="1418" w:left="1440" w:header="709" w:footer="488" w:gutter="0"/>
          <w:cols w:space="708"/>
          <w:docGrid w:linePitch="360"/>
        </w:sectPr>
      </w:pPr>
    </w:p>
    <w:p w14:paraId="0D49434A" w14:textId="6717C787" w:rsidR="00B94188" w:rsidRDefault="00002EF8" w:rsidP="00B94188">
      <w:pPr>
        <w:keepNext/>
      </w:pPr>
      <w:r>
        <w:object w:dxaOrig="18378" w:dyaOrig="9992" w14:anchorId="6ABC9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95pt;height:381.05pt" o:ole="">
            <v:imagedata r:id="rId23" o:title=""/>
          </v:shape>
          <o:OLEObject Type="Embed" ProgID="Visio.Drawing.11" ShapeID="_x0000_i1025" DrawAspect="Content" ObjectID="_1507706615" r:id="rId24"/>
        </w:object>
      </w:r>
    </w:p>
    <w:p w14:paraId="0D49434B" w14:textId="77777777" w:rsidR="00B94188" w:rsidRDefault="00B94188" w:rsidP="00B94188">
      <w:pPr>
        <w:pStyle w:val="Caption"/>
      </w:pPr>
      <w:bookmarkStart w:id="77" w:name="_Ref358407972"/>
      <w:r>
        <w:t xml:space="preserve">Figure </w:t>
      </w:r>
      <w:r w:rsidR="00FC7DE2">
        <w:fldChar w:fldCharType="begin"/>
      </w:r>
      <w:r w:rsidR="00FC7DE2">
        <w:instrText xml:space="preserve"> SEQ Figure \* ARABIC </w:instrText>
      </w:r>
      <w:r w:rsidR="00FC7DE2">
        <w:fldChar w:fldCharType="separate"/>
      </w:r>
      <w:r w:rsidR="00564E5C">
        <w:rPr>
          <w:noProof/>
        </w:rPr>
        <w:t>8</w:t>
      </w:r>
      <w:r w:rsidR="00FC7DE2">
        <w:rPr>
          <w:noProof/>
        </w:rPr>
        <w:fldChar w:fldCharType="end"/>
      </w:r>
      <w:bookmarkEnd w:id="77"/>
      <w:r>
        <w:t xml:space="preserve"> System boundary diagram.</w:t>
      </w:r>
    </w:p>
    <w:p w14:paraId="0D49434C" w14:textId="77777777" w:rsidR="00B94188" w:rsidRDefault="00B94188" w:rsidP="00B94188">
      <w:pPr>
        <w:sectPr w:rsidR="00B94188" w:rsidSect="006555B4">
          <w:footerReference w:type="default" r:id="rId25"/>
          <w:pgSz w:w="16838" w:h="11906" w:orient="landscape"/>
          <w:pgMar w:top="1440" w:right="1418" w:bottom="1440" w:left="1418" w:header="709" w:footer="488" w:gutter="0"/>
          <w:cols w:space="708"/>
          <w:docGrid w:linePitch="360"/>
        </w:sectPr>
      </w:pPr>
    </w:p>
    <w:p w14:paraId="0D49434D" w14:textId="77777777" w:rsidR="00B94188" w:rsidRDefault="00B94188" w:rsidP="00B94188">
      <w:pPr>
        <w:pStyle w:val="Heading2"/>
      </w:pPr>
      <w:bookmarkStart w:id="78" w:name="_Toc343853114"/>
      <w:bookmarkStart w:id="79" w:name="_Toc433964541"/>
      <w:r>
        <w:lastRenderedPageBreak/>
        <w:t>Data quality requirements</w:t>
      </w:r>
      <w:bookmarkEnd w:id="78"/>
      <w:bookmarkEnd w:id="79"/>
    </w:p>
    <w:p w14:paraId="0D49434F" w14:textId="7C7C2A5D" w:rsidR="00B032AD" w:rsidRDefault="00B032AD" w:rsidP="00B94188">
      <w:r>
        <w:t>The goal of the study is to quantify the benefit of recycling in Victoria</w:t>
      </w:r>
      <w:r w:rsidR="00D341A6">
        <w:t>, in terms of specific environmental indicators</w:t>
      </w:r>
      <w:r>
        <w:t xml:space="preserve">. To achieve this goal, two systems </w:t>
      </w:r>
      <w:r w:rsidR="00D341A6">
        <w:t>are</w:t>
      </w:r>
      <w:r>
        <w:t xml:space="preserve"> assessed, the Recycling System and the Alternative System. Both these systems cover a broad scope, as described by </w:t>
      </w:r>
      <w:r>
        <w:fldChar w:fldCharType="begin"/>
      </w:r>
      <w:r>
        <w:instrText xml:space="preserve"> REF _Ref358407972 \h </w:instrText>
      </w:r>
      <w:r>
        <w:fldChar w:fldCharType="separate"/>
      </w:r>
      <w:r w:rsidR="00564E5C">
        <w:t xml:space="preserve">Figure </w:t>
      </w:r>
      <w:r w:rsidR="00564E5C">
        <w:rPr>
          <w:noProof/>
        </w:rPr>
        <w:t>8</w:t>
      </w:r>
      <w:r>
        <w:fldChar w:fldCharType="end"/>
      </w:r>
      <w:r>
        <w:t>. Individual subsystems within these systems, such as landfill waste processing present significant assessment challenges and are worthy of dedicated LCA studies in their own right. Therefore, to achieve the study aim, significant reliance upon secondary data sources (</w:t>
      </w:r>
      <w:r w:rsidR="00D341A6">
        <w:t>other</w:t>
      </w:r>
      <w:r>
        <w:t xml:space="preserve"> LCA studies</w:t>
      </w:r>
      <w:r w:rsidR="00D341A6">
        <w:t xml:space="preserve"> and environmental reports</w:t>
      </w:r>
      <w:r>
        <w:t xml:space="preserve">) is required </w:t>
      </w:r>
      <w:r w:rsidR="00D341A6">
        <w:t xml:space="preserve">in order </w:t>
      </w:r>
      <w:r>
        <w:t>to cover the system scope.</w:t>
      </w:r>
    </w:p>
    <w:p w14:paraId="0D494350" w14:textId="77777777" w:rsidR="00B032AD" w:rsidRDefault="00B032AD" w:rsidP="00B94188">
      <w:r>
        <w:t>Incorporation of secondary LCA studies requires that studies utilised are sufficiently transparent to enable assumptions to be evaluated and where necessary adjusted to suit the attendant situation. Transparency in secondary data sources is therefore a key priority.</w:t>
      </w:r>
    </w:p>
    <w:p w14:paraId="0D494351" w14:textId="77777777" w:rsidR="00B032AD" w:rsidRDefault="00B032AD" w:rsidP="00B94188">
      <w:r>
        <w:t>The quality of secondary sources must also be evaluated. Data sources must be able to be compared to other similar studies, and selected based upon a ‘triangulation’ of multiple study outcomes. Adoption of singular studies that cannot be evaluated by comparison is avoided.</w:t>
      </w:r>
    </w:p>
    <w:p w14:paraId="0D494352" w14:textId="77777777" w:rsidR="00B032AD" w:rsidRDefault="00B032AD" w:rsidP="00B94188">
      <w:r>
        <w:t>Despite a large library of secondary LCA studies being available, unique elements of the Victorian recycling system must be evaluated using primary data. The most important data for this purpose is the definition of the quantity and type of waste collected and disposed of (</w:t>
      </w:r>
      <w:r>
        <w:fldChar w:fldCharType="begin"/>
      </w:r>
      <w:r>
        <w:instrText xml:space="preserve"> REF _Ref358407923 \h </w:instrText>
      </w:r>
      <w:r>
        <w:fldChar w:fldCharType="separate"/>
      </w:r>
      <w:r w:rsidR="00564E5C" w:rsidRPr="008E765C">
        <w:t xml:space="preserve">Table </w:t>
      </w:r>
      <w:r w:rsidR="00564E5C">
        <w:rPr>
          <w:noProof/>
        </w:rPr>
        <w:t>10</w:t>
      </w:r>
      <w:r>
        <w:fldChar w:fldCharType="end"/>
      </w:r>
      <w:r>
        <w:t>) at the kerbside, and it’s ultimate fate in the system. A key node of mass flow in a comingled waste system is the MRF as it determines how materials disposed of in a recycling bin are directed to reprocessors. In this study, lack of transparency of the MRF has been a significant data impediment.</w:t>
      </w:r>
    </w:p>
    <w:p w14:paraId="0D494353" w14:textId="77777777" w:rsidR="00B032AD" w:rsidRDefault="00B032AD" w:rsidP="00B94188">
      <w:r>
        <w:t>Other primary data is required to assess unique systems such as collection and garden and green waste processing. Garden and green waste processing, in particular, must be considered over annual periods at a minimum due to the seasonal nature of waste flows.</w:t>
      </w:r>
    </w:p>
    <w:p w14:paraId="0D494354" w14:textId="77777777" w:rsidR="00B032AD" w:rsidRDefault="00B032AD" w:rsidP="001A7891">
      <w:pPr>
        <w:pStyle w:val="Heading3"/>
      </w:pPr>
      <w:bookmarkStart w:id="80" w:name="_Toc433964542"/>
      <w:r>
        <w:t xml:space="preserve">Strategies employed to address </w:t>
      </w:r>
      <w:r w:rsidR="001A7891">
        <w:rPr>
          <w:lang w:val="en-AU"/>
        </w:rPr>
        <w:t xml:space="preserve">data quality </w:t>
      </w:r>
      <w:r>
        <w:t>requirements</w:t>
      </w:r>
      <w:bookmarkEnd w:id="80"/>
    </w:p>
    <w:p w14:paraId="0D494355" w14:textId="77777777" w:rsidR="00B032AD" w:rsidRDefault="00B032AD" w:rsidP="00B94188">
      <w:r>
        <w:t>The wide range of data sources utilised in compiling the study brings with it a range of data quality. System complexity combined with this range of data qualities makes it difficult to subjectively assess the overall quality of the inventory, as the sensitivity of study outcomes to individual inventories is not necessarily clear. Recycling is particularly susceptible to this as it often (as in this study) involves the comparison of two systems with common elements. As the study outcome is determined by the difference between systems, not the systems in an absolute sense, predicting data quality implications becomes tricky. To address this issue, two strategies are employed:</w:t>
      </w:r>
    </w:p>
    <w:p w14:paraId="0D494356" w14:textId="77777777" w:rsidR="00B032AD" w:rsidRDefault="00B032AD" w:rsidP="009E73CF">
      <w:pPr>
        <w:pStyle w:val="ListParagraph"/>
        <w:numPr>
          <w:ilvl w:val="0"/>
          <w:numId w:val="32"/>
        </w:numPr>
      </w:pPr>
      <w:r>
        <w:t>Standardised data quality assessment and uncertainty analysis</w:t>
      </w:r>
    </w:p>
    <w:p w14:paraId="0D494357" w14:textId="77777777" w:rsidR="00B032AD" w:rsidRDefault="001A7891" w:rsidP="009E73CF">
      <w:pPr>
        <w:pStyle w:val="ListParagraph"/>
        <w:numPr>
          <w:ilvl w:val="0"/>
          <w:numId w:val="32"/>
        </w:numPr>
      </w:pPr>
      <w:r>
        <w:t>Sensitivity analysis</w:t>
      </w:r>
    </w:p>
    <w:p w14:paraId="0D494358" w14:textId="3098F4A6" w:rsidR="00B032AD" w:rsidRDefault="00D341A6" w:rsidP="00B94188">
      <w:r>
        <w:t>The first strategy employs the Pedigree M</w:t>
      </w:r>
      <w:r w:rsidR="001A7891">
        <w:t xml:space="preserve">atrix </w:t>
      </w:r>
      <w:r w:rsidR="00553C56">
        <w:fldChar w:fldCharType="begin"/>
      </w:r>
      <w:r w:rsidR="00F40CE2">
        <w:instrText xml:space="preserve"> ADDIN EN.CITE &lt;EndNote&gt;&lt;Cite&gt;&lt;Author&gt;Weidema&lt;/Author&gt;&lt;Year&gt;1996&lt;/Year&gt;&lt;RecNum&gt;633&lt;/RecNum&gt;&lt;DisplayText&gt;(Weidema and Wesnæs, 1996)&lt;/DisplayText&gt;&lt;record&gt;&lt;rec-number&gt;633&lt;/rec-number&gt;&lt;foreign-keys&gt;&lt;key app="EN" db-id="tfpv5staxsvs2nexzpp5taewzsvpx0er5fap"&gt;633&lt;/key&gt;&lt;/foreign-keys&gt;&lt;ref-type name="Journal Article"&gt;17&lt;/ref-type&gt;&lt;contributors&gt;&lt;authors&gt;&lt;author&gt;Weidema, Bo Pedersen&lt;/author&gt;&lt;author&gt;Wesnæs, Marianne Suhr&lt;/author&gt;&lt;/authors&gt;&lt;/contributors&gt;&lt;titles&gt;&lt;title&gt;Data quality management for life cycle inventories—an example of using data quality indicators&lt;/title&gt;&lt;secondary-title&gt;Journal of Cleaner Production&lt;/secondary-title&gt;&lt;/titles&gt;&lt;periodical&gt;&lt;full-title&gt;Journal of Cleaner Production&lt;/full-title&gt;&lt;/periodical&gt;&lt;pages&gt;167-174&lt;/pages&gt;&lt;volume&gt;4&lt;/volume&gt;&lt;number&gt;3–4&lt;/number&gt;&lt;keywords&gt;&lt;keyword&gt;data quality&lt;/keyword&gt;&lt;keyword&gt;life cycle inventory&lt;/keyword&gt;&lt;keyword&gt;uncertainty&lt;/keyword&gt;&lt;/keywords&gt;&lt;dates&gt;&lt;year&gt;1996&lt;/year&gt;&lt;pub-dates&gt;&lt;date&gt;//&lt;/date&gt;&lt;/pub-dates&gt;&lt;/dates&gt;&lt;isbn&gt;0959-6526&lt;/isbn&gt;&lt;urls&gt;&lt;related-urls&gt;&lt;url&gt;http://www.sciencedirect.com/science/article/pii/S0959652696000431&lt;/url&gt;&lt;/related-urls&gt;&lt;/urls&gt;&lt;electronic-resource-num&gt;http://dx.doi.org/10.1016/S0959-6526(96)00043-1&lt;/electronic-resource-num&gt;&lt;/record&gt;&lt;/Cite&gt;&lt;/EndNote&gt;</w:instrText>
      </w:r>
      <w:r w:rsidR="00553C56">
        <w:fldChar w:fldCharType="separate"/>
      </w:r>
      <w:r w:rsidR="00F40CE2">
        <w:rPr>
          <w:noProof/>
        </w:rPr>
        <w:t>(</w:t>
      </w:r>
      <w:hyperlink w:anchor="_ENREF_85" w:tooltip="Weidema, 1996 #633" w:history="1">
        <w:r w:rsidR="00F40CE2">
          <w:rPr>
            <w:noProof/>
          </w:rPr>
          <w:t>Weidema and Wesnæs, 1996</w:t>
        </w:r>
      </w:hyperlink>
      <w:r w:rsidR="00F40CE2">
        <w:rPr>
          <w:noProof/>
        </w:rPr>
        <w:t>)</w:t>
      </w:r>
      <w:r w:rsidR="00553C56">
        <w:fldChar w:fldCharType="end"/>
      </w:r>
      <w:r w:rsidR="001A7891">
        <w:t xml:space="preserve"> to assess the quality of each foreground data element included in the inventory. The matrix highlights data quality issues</w:t>
      </w:r>
      <w:r>
        <w:t xml:space="preserve">, but more importantly allows </w:t>
      </w:r>
      <w:r w:rsidR="001A7891">
        <w:t xml:space="preserve">data uncertainty to be calculated which can be aggregated </w:t>
      </w:r>
      <w:r w:rsidR="00553C56">
        <w:fldChar w:fldCharType="begin"/>
      </w:r>
      <w:r w:rsidR="00F40CE2">
        <w:instrText xml:space="preserve"> ADDIN EN.CITE &lt;EndNote&gt;&lt;Cite&gt;&lt;Author&gt;Frischknecht&lt;/Author&gt;&lt;Year&gt;2004&lt;/Year&gt;&lt;RecNum&gt;260&lt;/RecNum&gt;&lt;DisplayText&gt;(Frischknecht and Jungbluth, 2004)&lt;/DisplayText&gt;&lt;record&gt;&lt;rec-number&gt;260&lt;/rec-number&gt;&lt;foreign-keys&gt;&lt;key app="EN" db-id="tfpv5staxsvs2nexzpp5taewzsvpx0er5fap"&gt;260&lt;/key&gt;&lt;/foreign-keys&gt;&lt;ref-type name="Report"&gt;27&lt;/ref-type&gt;&lt;contributors&gt;&lt;authors&gt;&lt;author&gt;Frischknecht, R&lt;/author&gt;&lt;author&gt;Jungbluth, N&lt;/author&gt;&lt;/authors&gt;&lt;/contributors&gt;&lt;titles&gt;&lt;title&gt;Ecoinvent Report No. 1 - Overview and Methodology&lt;/title&gt;&lt;/titles&gt;&lt;dates&gt;&lt;year&gt;2004&lt;/year&gt;&lt;/dates&gt;&lt;pub-location&gt;Dübendorf&lt;/pub-location&gt;&lt;publisher&gt;Swiss Centre for Life Cycle Inventories&lt;/publisher&gt;&lt;urls&gt;&lt;/urls&gt;&lt;/record&gt;&lt;/Cite&gt;&lt;/EndNote&gt;</w:instrText>
      </w:r>
      <w:r w:rsidR="00553C56">
        <w:fldChar w:fldCharType="separate"/>
      </w:r>
      <w:r w:rsidR="00F40CE2">
        <w:rPr>
          <w:noProof/>
        </w:rPr>
        <w:t>(</w:t>
      </w:r>
      <w:hyperlink w:anchor="_ENREF_30" w:tooltip="Frischknecht, 2004 #260" w:history="1">
        <w:r w:rsidR="00F40CE2">
          <w:rPr>
            <w:noProof/>
          </w:rPr>
          <w:t>Frischknecht and Jungbluth, 2004</w:t>
        </w:r>
      </w:hyperlink>
      <w:r w:rsidR="00F40CE2">
        <w:rPr>
          <w:noProof/>
        </w:rPr>
        <w:t>)</w:t>
      </w:r>
      <w:r w:rsidR="00553C56">
        <w:fldChar w:fldCharType="end"/>
      </w:r>
      <w:r w:rsidR="001A7891">
        <w:t>. Uncertainty simulation across the entire inventory can then be undertaken and a</w:t>
      </w:r>
      <w:r>
        <w:t>n</w:t>
      </w:r>
      <w:r w:rsidR="001A7891">
        <w:t xml:space="preserve"> aggregate uncertainty reported, which takes into account each elemental uncertainty. Of particular importance is the ability of the technique to address the offsetting effects of uncertainty in a difference equation, such as the recycling equation. More detail </w:t>
      </w:r>
      <w:r>
        <w:t xml:space="preserve">regarding this approach </w:t>
      </w:r>
      <w:r w:rsidR="001A7891">
        <w:t xml:space="preserve">is described in Section </w:t>
      </w:r>
      <w:r w:rsidR="001A7891">
        <w:fldChar w:fldCharType="begin"/>
      </w:r>
      <w:r w:rsidR="001A7891">
        <w:instrText xml:space="preserve"> REF _Ref358489433 \r \h </w:instrText>
      </w:r>
      <w:r w:rsidR="001A7891">
        <w:fldChar w:fldCharType="separate"/>
      </w:r>
      <w:r w:rsidR="00564E5C">
        <w:t>5.6</w:t>
      </w:r>
      <w:r w:rsidR="001A7891">
        <w:fldChar w:fldCharType="end"/>
      </w:r>
      <w:r w:rsidR="001A7891">
        <w:t>.</w:t>
      </w:r>
    </w:p>
    <w:p w14:paraId="0D494359" w14:textId="0FE6BCC3" w:rsidR="001A7891" w:rsidRDefault="001A7891" w:rsidP="00B94188">
      <w:r>
        <w:t xml:space="preserve">The other strategy used is the </w:t>
      </w:r>
      <w:r w:rsidR="00D341A6">
        <w:t>‘</w:t>
      </w:r>
      <w:r>
        <w:t>tried and trusted</w:t>
      </w:r>
      <w:r w:rsidR="00D341A6">
        <w:t>’</w:t>
      </w:r>
      <w:r>
        <w:t xml:space="preserve"> technique of sensitivity analysis, whereby an uncertain data point is deliberately altered and the impacts on the study conclusions assessed.</w:t>
      </w:r>
    </w:p>
    <w:p w14:paraId="0D49435A" w14:textId="4943ECF9" w:rsidR="001A7891" w:rsidRDefault="001A7891" w:rsidP="00B94188">
      <w:r>
        <w:t>The above strategies in combination with an emphasis on selecting secondary data sources which are transparent and which can be verified is believed to have been sufficient to address the study goals.</w:t>
      </w:r>
      <w:r w:rsidR="00D341A6">
        <w:t xml:space="preserve"> In contrast to other LCA studies and the prior report, the approach has also enabled a range of possible outcomes for each indicator to be determined – clearly conveying aggregate uncertainty to the reader.</w:t>
      </w:r>
    </w:p>
    <w:p w14:paraId="0D49435B" w14:textId="77777777" w:rsidR="00B032AD" w:rsidRDefault="00B032AD" w:rsidP="00B94188"/>
    <w:p w14:paraId="0D49435C" w14:textId="77777777" w:rsidR="00B94188" w:rsidRDefault="00B94188" w:rsidP="00B94188">
      <w:pPr>
        <w:pStyle w:val="Heading2"/>
      </w:pPr>
      <w:bookmarkStart w:id="81" w:name="_Ref343850378"/>
      <w:bookmarkStart w:id="82" w:name="_Toc343853115"/>
      <w:bookmarkStart w:id="83" w:name="_Toc433964543"/>
      <w:r w:rsidRPr="00041296">
        <w:t>Data collection</w:t>
      </w:r>
      <w:bookmarkEnd w:id="81"/>
      <w:bookmarkEnd w:id="82"/>
      <w:bookmarkEnd w:id="83"/>
    </w:p>
    <w:p w14:paraId="0D49435D" w14:textId="79598640" w:rsidR="008351DF" w:rsidRDefault="00493961" w:rsidP="00B94188">
      <w:r>
        <w:t>The study utilised</w:t>
      </w:r>
      <w:r w:rsidR="008351DF">
        <w:t xml:space="preserve"> detailed survey information regarding waste collection by local governments as the basis for characterising the recycling system</w:t>
      </w:r>
      <w:r w:rsidR="001A7891">
        <w:t xml:space="preserve"> (compiled by Sustainability Victoria)</w:t>
      </w:r>
      <w:r w:rsidR="008351DF">
        <w:t xml:space="preserve">. </w:t>
      </w:r>
      <w:r>
        <w:t xml:space="preserve">This information included collection quantities, locations, recycling rates, service frequencies and other information, providing a basis for waste mass flows across the state. From this basic flow information, secondary data sources were used to estimate distances to landfill and MRF locations and reprocessors. Regional </w:t>
      </w:r>
      <w:r w:rsidR="00EB636D">
        <w:t>and m</w:t>
      </w:r>
      <w:r>
        <w:t>etropolitan waste management association reports were also utilised as a</w:t>
      </w:r>
      <w:r w:rsidR="00BC67AF">
        <w:t xml:space="preserve"> </w:t>
      </w:r>
      <w:r>
        <w:t xml:space="preserve">part of this </w:t>
      </w:r>
      <w:r w:rsidR="00BC67AF">
        <w:t>exercise.</w:t>
      </w:r>
    </w:p>
    <w:p w14:paraId="0D49435E" w14:textId="77777777" w:rsidR="00493961" w:rsidRDefault="00493961" w:rsidP="00B94188">
      <w:r>
        <w:t xml:space="preserve">Although primary data was requested from sorting facilities, data was considered </w:t>
      </w:r>
      <w:r w:rsidR="00BC67AF">
        <w:t xml:space="preserve">to be </w:t>
      </w:r>
      <w:r>
        <w:t xml:space="preserve">of a sensitive nature </w:t>
      </w:r>
      <w:r w:rsidR="00BC67AF">
        <w:t xml:space="preserve">and was not able to be released. Although clear reasons were not provided, </w:t>
      </w:r>
      <w:r>
        <w:t xml:space="preserve">the </w:t>
      </w:r>
      <w:r w:rsidR="00BC67AF">
        <w:t xml:space="preserve">MRF </w:t>
      </w:r>
      <w:r>
        <w:t>industry is made u</w:t>
      </w:r>
      <w:r w:rsidR="00BC67AF">
        <w:t>p of few organisations making results easily identifiable</w:t>
      </w:r>
      <w:r>
        <w:t>. In the absence of comprehensive primary data regarding recy</w:t>
      </w:r>
      <w:r w:rsidR="00BC67AF">
        <w:t>c</w:t>
      </w:r>
      <w:r>
        <w:t xml:space="preserve">late flows from MRF’s, a model of recyclate reprocessing was developed based upon a combination of national and Victorian </w:t>
      </w:r>
      <w:r w:rsidR="00BC67AF">
        <w:t xml:space="preserve">secondary </w:t>
      </w:r>
      <w:r>
        <w:t>data sources.</w:t>
      </w:r>
    </w:p>
    <w:p w14:paraId="0D49435F" w14:textId="7A803198" w:rsidR="00493961" w:rsidRDefault="00493961" w:rsidP="00B94188">
      <w:r>
        <w:t>The complex nature of recyclate reprocessing makes each process considered an LCA all of its own. For this reason, the highest quality outcome was considered to be achieved through the use of existing reprocessing studies</w:t>
      </w:r>
      <w:r w:rsidR="00BC67AF">
        <w:t xml:space="preserve"> which were adjusted as necessary to suit known local conditions. In many cases adjustment involved ensuring background processes, such as electricity generation w</w:t>
      </w:r>
      <w:r w:rsidR="00EB636D">
        <w:t>h</w:t>
      </w:r>
      <w:r w:rsidR="00BC67AF">
        <w:t>ere appropriate to process location.</w:t>
      </w:r>
    </w:p>
    <w:p w14:paraId="0D494360" w14:textId="77777777" w:rsidR="00BC67AF" w:rsidRDefault="00BC67AF" w:rsidP="00B94188">
      <w:r>
        <w:t>Globalisation of the recyclate reprocessing industry has been identified as a key change in the nature of the recycling system since the original study in 2001. This has necessitated the modelling of systems in countries where data can be scarce. Where possible, models have utilised secondary data from reports appropriate to the locality. In some cases data quality is acknowledged as poor.</w:t>
      </w:r>
    </w:p>
    <w:p w14:paraId="0D494361" w14:textId="77777777" w:rsidR="00BC67AF" w:rsidRDefault="00BC67AF" w:rsidP="00B94188">
      <w:r>
        <w:t xml:space="preserve">The vast scale of the recycling system and the diverse nature of data qualities used in the report has necessitated a rigorous approach to data quality assessment and aggregation. To cater to the range of qualities employed in the study, a uniform data pedigree matrix has been employed to assess and present the quality </w:t>
      </w:r>
      <w:r w:rsidR="00C345A2">
        <w:t>of data. Importantly, the resulting foreground data uncertainties have also been employed in a comprehensive data uncertainty analysis, the results of which transparently indicate the veracity of the study findings.</w:t>
      </w:r>
    </w:p>
    <w:p w14:paraId="0D494362" w14:textId="77777777" w:rsidR="00C345A2" w:rsidRDefault="00C345A2" w:rsidP="00C345A2">
      <w:pPr>
        <w:pStyle w:val="Heading2"/>
      </w:pPr>
      <w:bookmarkStart w:id="84" w:name="_Ref358489433"/>
      <w:bookmarkStart w:id="85" w:name="_Toc433964544"/>
      <w:r>
        <w:rPr>
          <w:lang w:val="en-AU"/>
        </w:rPr>
        <w:t>Use of the Pedigree Matrix</w:t>
      </w:r>
      <w:bookmarkEnd w:id="84"/>
      <w:bookmarkEnd w:id="85"/>
    </w:p>
    <w:p w14:paraId="0D494363" w14:textId="506B42CC" w:rsidR="00BC67AF" w:rsidRDefault="00895C57" w:rsidP="00895C57">
      <w:r>
        <w:t xml:space="preserve">This study has made extensive use of the data </w:t>
      </w:r>
      <w:r w:rsidR="00E62E3D">
        <w:t>Pedigree M</w:t>
      </w:r>
      <w:r>
        <w:t>atrix which is utilised by Ecoinvent to assess the quality and uncertainty of foreground data. The me</w:t>
      </w:r>
      <w:r w:rsidR="002E1C2D">
        <w:t xml:space="preserve">thod utilised was developed by </w:t>
      </w:r>
      <w:r w:rsidR="002E1C2D">
        <w:fldChar w:fldCharType="begin"/>
      </w:r>
      <w:r w:rsidR="00F40CE2">
        <w:instrText xml:space="preserve"> ADDIN EN.CITE &lt;EndNote&gt;&lt;Cite&gt;&lt;Author&gt;Weidema&lt;/Author&gt;&lt;Year&gt;1996&lt;/Year&gt;&lt;RecNum&gt;633&lt;/RecNum&gt;&lt;DisplayText&gt;(Weidema and Wesnæs, 1996)&lt;/DisplayText&gt;&lt;record&gt;&lt;rec-number&gt;633&lt;/rec-number&gt;&lt;foreign-keys&gt;&lt;key app="EN" db-id="tfpv5staxsvs2nexzpp5taewzsvpx0er5fap"&gt;633&lt;/key&gt;&lt;/foreign-keys&gt;&lt;ref-type name="Journal Article"&gt;17&lt;/ref-type&gt;&lt;contributors&gt;&lt;authors&gt;&lt;author&gt;Weidema, Bo Pedersen&lt;/author&gt;&lt;author&gt;Wesnæs, Marianne Suhr&lt;/author&gt;&lt;/authors&gt;&lt;/contributors&gt;&lt;titles&gt;&lt;title&gt;Data quality management for life cycle inventories—an example of using data quality indicators&lt;/title&gt;&lt;secondary-title&gt;Journal of Cleaner Production&lt;/secondary-title&gt;&lt;/titles&gt;&lt;periodical&gt;&lt;full-title&gt;Journal of Cleaner Production&lt;/full-title&gt;&lt;/periodical&gt;&lt;pages&gt;167-174&lt;/pages&gt;&lt;volume&gt;4&lt;/volume&gt;&lt;number&gt;3–4&lt;/number&gt;&lt;keywords&gt;&lt;keyword&gt;data quality&lt;/keyword&gt;&lt;keyword&gt;life cycle inventory&lt;/keyword&gt;&lt;keyword&gt;uncertainty&lt;/keyword&gt;&lt;/keywords&gt;&lt;dates&gt;&lt;year&gt;1996&lt;/year&gt;&lt;pub-dates&gt;&lt;date&gt;//&lt;/date&gt;&lt;/pub-dates&gt;&lt;/dates&gt;&lt;isbn&gt;0959-6526&lt;/isbn&gt;&lt;urls&gt;&lt;related-urls&gt;&lt;url&gt;http://www.sciencedirect.com/science/article/pii/S0959652696000431&lt;/url&gt;&lt;/related-urls&gt;&lt;/urls&gt;&lt;electronic-resource-num&gt;http://dx.doi.org/10.1016/S0959-6526(96)00043-1&lt;/electronic-resource-num&gt;&lt;/record&gt;&lt;/Cite&gt;&lt;/EndNote&gt;</w:instrText>
      </w:r>
      <w:r w:rsidR="002E1C2D">
        <w:fldChar w:fldCharType="separate"/>
      </w:r>
      <w:r w:rsidR="00F40CE2">
        <w:rPr>
          <w:noProof/>
        </w:rPr>
        <w:t>(</w:t>
      </w:r>
      <w:hyperlink w:anchor="_ENREF_85" w:tooltip="Weidema, 1996 #633" w:history="1">
        <w:r w:rsidR="00F40CE2">
          <w:rPr>
            <w:noProof/>
          </w:rPr>
          <w:t>Weidema and Wesnæs, 1996</w:t>
        </w:r>
      </w:hyperlink>
      <w:r w:rsidR="00F40CE2">
        <w:rPr>
          <w:noProof/>
        </w:rPr>
        <w:t>)</w:t>
      </w:r>
      <w:r w:rsidR="002E1C2D">
        <w:fldChar w:fldCharType="end"/>
      </w:r>
      <w:r>
        <w:t xml:space="preserve"> and subsequently modified by Ecoinvent for utilisation in the data inventory they developed. In this study the data Pedigre</w:t>
      </w:r>
      <w:r w:rsidR="002E1C2D">
        <w:t xml:space="preserve">e Matrix utilised by Ecoinvent </w:t>
      </w:r>
      <w:r w:rsidR="002E1C2D">
        <w:fldChar w:fldCharType="begin"/>
      </w:r>
      <w:r w:rsidR="00F40CE2">
        <w:instrText xml:space="preserve"> ADDIN EN.CITE &lt;EndNote&gt;&lt;Cite&gt;&lt;Author&gt;Frischknecht&lt;/Author&gt;&lt;Year&gt;2004&lt;/Year&gt;&lt;RecNum&gt;260&lt;/RecNum&gt;&lt;DisplayText&gt;(Frischknecht and Jungbluth, 2004)&lt;/DisplayText&gt;&lt;record&gt;&lt;rec-number&gt;260&lt;/rec-number&gt;&lt;foreign-keys&gt;&lt;key app="EN" db-id="tfpv5staxsvs2nexzpp5taewzsvpx0er5fap"&gt;260&lt;/key&gt;&lt;/foreign-keys&gt;&lt;ref-type name="Report"&gt;27&lt;/ref-type&gt;&lt;contributors&gt;&lt;authors&gt;&lt;author&gt;Frischknecht, R&lt;/author&gt;&lt;author&gt;Jungbluth, N&lt;/author&gt;&lt;/authors&gt;&lt;/contributors&gt;&lt;titles&gt;&lt;title&gt;Ecoinvent Report No. 1 - Overview and Methodology&lt;/title&gt;&lt;/titles&gt;&lt;dates&gt;&lt;year&gt;2004&lt;/year&gt;&lt;/dates&gt;&lt;pub-location&gt;Dübendorf&lt;/pub-location&gt;&lt;publisher&gt;Swiss Centre for Life Cycle Inventories&lt;/publisher&gt;&lt;urls&gt;&lt;/urls&gt;&lt;/record&gt;&lt;/Cite&gt;&lt;/EndNote&gt;</w:instrText>
      </w:r>
      <w:r w:rsidR="002E1C2D">
        <w:fldChar w:fldCharType="separate"/>
      </w:r>
      <w:r w:rsidR="00F40CE2">
        <w:rPr>
          <w:noProof/>
        </w:rPr>
        <w:t>(</w:t>
      </w:r>
      <w:hyperlink w:anchor="_ENREF_30" w:tooltip="Frischknecht, 2004 #260" w:history="1">
        <w:r w:rsidR="00F40CE2">
          <w:rPr>
            <w:noProof/>
          </w:rPr>
          <w:t>Frischknecht and Jungbluth, 2004</w:t>
        </w:r>
      </w:hyperlink>
      <w:r w:rsidR="00F40CE2">
        <w:rPr>
          <w:noProof/>
        </w:rPr>
        <w:t>)</w:t>
      </w:r>
      <w:r w:rsidR="002E1C2D">
        <w:fldChar w:fldCharType="end"/>
      </w:r>
      <w:r w:rsidR="00E62E3D">
        <w:t xml:space="preserve"> is used and </w:t>
      </w:r>
      <w:r>
        <w:t>identical ‘basic uncertainty’ factors</w:t>
      </w:r>
      <w:r w:rsidR="00E62E3D">
        <w:t xml:space="preserve"> adopted</w:t>
      </w:r>
      <w:r>
        <w:t>.</w:t>
      </w:r>
    </w:p>
    <w:p w14:paraId="0D494364" w14:textId="77777777" w:rsidR="00895C57" w:rsidRDefault="00895C57" w:rsidP="00895C57">
      <w:r>
        <w:t xml:space="preserve">The method requires that each data point be assessed in terms of the dimensions described in </w:t>
      </w:r>
      <w:r>
        <w:fldChar w:fldCharType="begin"/>
      </w:r>
      <w:r>
        <w:instrText xml:space="preserve"> REF _Ref358661612 \h </w:instrText>
      </w:r>
      <w:r>
        <w:fldChar w:fldCharType="separate"/>
      </w:r>
      <w:r w:rsidR="00564E5C">
        <w:t xml:space="preserve">Table </w:t>
      </w:r>
      <w:r w:rsidR="00564E5C">
        <w:rPr>
          <w:noProof/>
        </w:rPr>
        <w:t>12</w:t>
      </w:r>
      <w:r>
        <w:fldChar w:fldCharType="end"/>
      </w:r>
      <w:r>
        <w:t xml:space="preserve"> and given a score out of 5. These scores are used with underlying ‘basic uncertainties’ to develop a lognormal standard deviation measure for the respective data point.</w:t>
      </w:r>
    </w:p>
    <w:p w14:paraId="0D494365" w14:textId="77777777" w:rsidR="00895C57" w:rsidRDefault="00895C57" w:rsidP="00895C57">
      <w:r>
        <w:t>Throughout the inventory, data uncertainties are presented as well as a pedigree summary from which the uncertainty was determined. These summaries and uncertainties are useful in their own right for highlighting areas of data uncertainty, however are also utilised in the calculation of aggregated uncertainties for each of the results considered.</w:t>
      </w:r>
    </w:p>
    <w:p w14:paraId="0D494366" w14:textId="5F10EE34" w:rsidR="0055198B" w:rsidRDefault="0055198B" w:rsidP="00895C57">
      <w:r>
        <w:t>Data points within the inventory are also marked with a quality indicator. The indicator describes the quality of the data element according to its calculated standard deviation and an arbitrary scale. A red dot reflects poor quality data (standard deviation greater than 2), a yellow medium quality (standard deviation between 1.5 and 2) and green good quality (standard deviation less than 1.5). The</w:t>
      </w:r>
      <w:r w:rsidR="00EB636D">
        <w:t xml:space="preserve"> scale is unashamedly arbitrary</w:t>
      </w:r>
      <w:r>
        <w:t xml:space="preserve"> however</w:t>
      </w:r>
      <w:r w:rsidR="00EB636D">
        <w:t>,</w:t>
      </w:r>
      <w:r>
        <w:t xml:space="preserve"> it seems to accord well with an instinctive assessment of</w:t>
      </w:r>
      <w:r w:rsidR="005840CC">
        <w:t xml:space="preserve"> data quality, highlighting those elements where quality is a concern (</w:t>
      </w:r>
      <w:r w:rsidR="005840CC">
        <w:fldChar w:fldCharType="begin"/>
      </w:r>
      <w:r w:rsidR="005840CC">
        <w:instrText xml:space="preserve"> REF _Ref360135440 \h </w:instrText>
      </w:r>
      <w:r w:rsidR="005840CC">
        <w:fldChar w:fldCharType="separate"/>
      </w:r>
      <w:r w:rsidR="00564E5C">
        <w:t xml:space="preserve">Table </w:t>
      </w:r>
      <w:r w:rsidR="00564E5C">
        <w:rPr>
          <w:noProof/>
        </w:rPr>
        <w:t>11</w:t>
      </w:r>
      <w:r w:rsidR="005840CC">
        <w:fldChar w:fldCharType="end"/>
      </w:r>
      <w:r w:rsidR="005840CC">
        <w:t>).</w:t>
      </w:r>
    </w:p>
    <w:p w14:paraId="0D494367" w14:textId="77777777" w:rsidR="0055198B" w:rsidRDefault="0055198B" w:rsidP="0055198B">
      <w:pPr>
        <w:pStyle w:val="Caption"/>
        <w:keepNext/>
      </w:pPr>
      <w:bookmarkStart w:id="86" w:name="_Ref360135440"/>
      <w:r>
        <w:lastRenderedPageBreak/>
        <w:t xml:space="preserve">Table </w:t>
      </w:r>
      <w:r w:rsidR="00FC7DE2">
        <w:fldChar w:fldCharType="begin"/>
      </w:r>
      <w:r w:rsidR="00FC7DE2">
        <w:instrText xml:space="preserve"> SEQ Table \* ARABIC </w:instrText>
      </w:r>
      <w:r w:rsidR="00FC7DE2">
        <w:fldChar w:fldCharType="separate"/>
      </w:r>
      <w:r w:rsidR="00564E5C">
        <w:rPr>
          <w:noProof/>
        </w:rPr>
        <w:t>11</w:t>
      </w:r>
      <w:r w:rsidR="00FC7DE2">
        <w:rPr>
          <w:noProof/>
        </w:rPr>
        <w:fldChar w:fldCharType="end"/>
      </w:r>
      <w:bookmarkEnd w:id="86"/>
      <w:r>
        <w:rPr>
          <w:lang w:val="en-AU"/>
        </w:rPr>
        <w:t xml:space="preserve"> Example of Pedigree Matrix implementation in inventory.</w:t>
      </w:r>
    </w:p>
    <w:p w14:paraId="0D494368" w14:textId="77777777" w:rsidR="0055198B" w:rsidRDefault="0055198B" w:rsidP="00895C57">
      <w:r w:rsidRPr="0055198B">
        <w:rPr>
          <w:noProof/>
        </w:rPr>
        <w:drawing>
          <wp:inline distT="0" distB="0" distL="0" distR="0" wp14:anchorId="0D4946EE" wp14:editId="0D4946EF">
            <wp:extent cx="4352925" cy="12072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0997" cy="1206694"/>
                    </a:xfrm>
                    <a:prstGeom prst="rect">
                      <a:avLst/>
                    </a:prstGeom>
                    <a:noFill/>
                    <a:ln>
                      <a:noFill/>
                    </a:ln>
                  </pic:spPr>
                </pic:pic>
              </a:graphicData>
            </a:graphic>
          </wp:inline>
        </w:drawing>
      </w:r>
    </w:p>
    <w:p w14:paraId="66661B1C" w14:textId="77777777" w:rsidR="00C02CE6" w:rsidRDefault="00C02CE6" w:rsidP="00895C57"/>
    <w:p w14:paraId="0D49436A" w14:textId="77777777" w:rsidR="00895C57" w:rsidRDefault="00895C57" w:rsidP="00895C57">
      <w:pPr>
        <w:pStyle w:val="Caption"/>
        <w:keepNext/>
      </w:pPr>
      <w:bookmarkStart w:id="87" w:name="_Ref358661612"/>
      <w:r>
        <w:t xml:space="preserve">Table </w:t>
      </w:r>
      <w:r w:rsidR="00FC7DE2">
        <w:fldChar w:fldCharType="begin"/>
      </w:r>
      <w:r w:rsidR="00FC7DE2">
        <w:instrText xml:space="preserve"> SEQ Table \* ARABIC </w:instrText>
      </w:r>
      <w:r w:rsidR="00FC7DE2">
        <w:fldChar w:fldCharType="separate"/>
      </w:r>
      <w:r w:rsidR="00564E5C">
        <w:rPr>
          <w:noProof/>
        </w:rPr>
        <w:t>12</w:t>
      </w:r>
      <w:r w:rsidR="00FC7DE2">
        <w:rPr>
          <w:noProof/>
        </w:rPr>
        <w:fldChar w:fldCharType="end"/>
      </w:r>
      <w:bookmarkEnd w:id="87"/>
      <w:r>
        <w:rPr>
          <w:lang w:val="en-AU"/>
        </w:rPr>
        <w:t xml:space="preserve"> Data Pedigree Matrix.</w:t>
      </w:r>
    </w:p>
    <w:p w14:paraId="0D49436B" w14:textId="1EE86FFA" w:rsidR="00895C57" w:rsidRDefault="002D7982" w:rsidP="00895C57">
      <w:r w:rsidRPr="002D7982">
        <w:rPr>
          <w:noProof/>
        </w:rPr>
        <w:drawing>
          <wp:inline distT="0" distB="0" distL="0" distR="0" wp14:anchorId="70A7FB57" wp14:editId="3A3BA67E">
            <wp:extent cx="5731510" cy="4279094"/>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79094"/>
                    </a:xfrm>
                    <a:prstGeom prst="rect">
                      <a:avLst/>
                    </a:prstGeom>
                    <a:noFill/>
                    <a:ln>
                      <a:noFill/>
                    </a:ln>
                  </pic:spPr>
                </pic:pic>
              </a:graphicData>
            </a:graphic>
          </wp:inline>
        </w:drawing>
      </w:r>
    </w:p>
    <w:p w14:paraId="0D49436C" w14:textId="77777777" w:rsidR="00B94188" w:rsidRDefault="00B94188" w:rsidP="00B94188">
      <w:pPr>
        <w:pStyle w:val="Heading2"/>
      </w:pPr>
      <w:bookmarkStart w:id="88" w:name="_Ref340582977"/>
      <w:bookmarkStart w:id="89" w:name="_Toc343853116"/>
      <w:bookmarkStart w:id="90" w:name="_Toc433964545"/>
      <w:r w:rsidRPr="00041296">
        <w:t>Allocation procedures</w:t>
      </w:r>
      <w:bookmarkEnd w:id="88"/>
      <w:bookmarkEnd w:id="89"/>
      <w:bookmarkEnd w:id="90"/>
    </w:p>
    <w:p w14:paraId="0D49436D" w14:textId="77777777" w:rsidR="00B94188" w:rsidRDefault="00B94188" w:rsidP="00B94188">
      <w:r w:rsidRPr="001C1FA1">
        <w:t xml:space="preserve">A number of processes </w:t>
      </w:r>
      <w:r>
        <w:t xml:space="preserve">within the system boundary are associated with </w:t>
      </w:r>
      <w:r w:rsidRPr="001C1FA1">
        <w:t>hav</w:t>
      </w:r>
      <w:r>
        <w:t xml:space="preserve">ing </w:t>
      </w:r>
      <w:r w:rsidRPr="001C1FA1">
        <w:t xml:space="preserve">multiple </w:t>
      </w:r>
      <w:r>
        <w:t xml:space="preserve">inputs and/or </w:t>
      </w:r>
      <w:r w:rsidRPr="001C1FA1">
        <w:t xml:space="preserve">outputs. </w:t>
      </w:r>
      <w:r>
        <w:t>For delivering the functional unit, a</w:t>
      </w:r>
      <w:r w:rsidRPr="001C1FA1">
        <w:t xml:space="preserve"> </w:t>
      </w:r>
      <w:r>
        <w:t>procedure for partitioning impacts associated with these processes is required.</w:t>
      </w:r>
    </w:p>
    <w:p w14:paraId="0D49436E" w14:textId="12BAD501" w:rsidR="00B94188" w:rsidRDefault="00B94188" w:rsidP="00B94188">
      <w:r>
        <w:rPr>
          <w:noProof/>
        </w:rPr>
        <w:t xml:space="preserve">ISO 14044:2006 </w:t>
      </w:r>
      <w:r>
        <w:rPr>
          <w:noProof/>
        </w:rPr>
        <w:fldChar w:fldCharType="begin"/>
      </w:r>
      <w:r w:rsidR="00F40CE2">
        <w:rPr>
          <w:noProof/>
        </w:rPr>
        <w:instrText xml:space="preserve"> ADDIN EN.CITE &lt;EndNote&gt;&lt;Cite&gt;&lt;Author&gt;International Organization for Standardization&lt;/Author&gt;&lt;Year&gt;2006&lt;/Year&gt;&lt;RecNum&gt;65&lt;/RecNum&gt;&lt;DisplayText&gt;(International Organization for Standardization, 2006)&lt;/DisplayText&gt;&lt;record&gt;&lt;rec-number&gt;65&lt;/rec-number&gt;&lt;foreign-keys&gt;&lt;key app="EN" db-id="ze9fwxztjsrvxievad7vt9wl2fd2za000ewr"&gt;65&lt;/key&gt;&lt;/foreign-keys&gt;&lt;ref-type name="Report"&gt;27&lt;/ref-type&gt;&lt;contributors&gt;&lt;authors&gt;&lt;author&gt;International Organization for Standardization,&lt;/author&gt;&lt;/authors&gt;&lt;/contributors&gt;&lt;titles&gt;&lt;title&gt;ISO 14044: Environmental Management - Life Cycle Assessment - Requirements and guidelinges&lt;/title&gt;&lt;/titles&gt;&lt;dates&gt;&lt;year&gt;2006&lt;/year&gt;&lt;/dates&gt;&lt;pub-location&gt;Geneva&lt;/pub-location&gt;&lt;publisher&gt;International Organization for Standardization&lt;/publisher&gt;&lt;urls&gt;&lt;/urls&gt;&lt;/record&gt;&lt;/Cite&gt;&lt;/EndNote&gt;</w:instrText>
      </w:r>
      <w:r>
        <w:rPr>
          <w:noProof/>
        </w:rPr>
        <w:fldChar w:fldCharType="separate"/>
      </w:r>
      <w:r w:rsidR="00F40CE2">
        <w:rPr>
          <w:noProof/>
        </w:rPr>
        <w:t>(</w:t>
      </w:r>
      <w:hyperlink w:anchor="_ENREF_50" w:tooltip="International Organization for Standardization, 2006 #65" w:history="1">
        <w:r w:rsidR="00F40CE2">
          <w:rPr>
            <w:noProof/>
          </w:rPr>
          <w:t>International Organization for Standardization, 2006</w:t>
        </w:r>
      </w:hyperlink>
      <w:r w:rsidR="00F40CE2">
        <w:rPr>
          <w:noProof/>
        </w:rPr>
        <w:t>)</w:t>
      </w:r>
      <w:r>
        <w:rPr>
          <w:noProof/>
        </w:rPr>
        <w:fldChar w:fldCharType="end"/>
      </w:r>
      <w:r>
        <w:t>, contains a hierarchal procedure for partitioning:</w:t>
      </w:r>
    </w:p>
    <w:p w14:paraId="0D49436F" w14:textId="77777777" w:rsidR="00B94188" w:rsidRDefault="00B94188" w:rsidP="00351F51">
      <w:pPr>
        <w:pStyle w:val="ListParagraph"/>
        <w:widowControl/>
        <w:numPr>
          <w:ilvl w:val="0"/>
          <w:numId w:val="0"/>
        </w:numPr>
        <w:autoSpaceDE w:val="0"/>
        <w:autoSpaceDN w:val="0"/>
        <w:adjustRightInd w:val="0"/>
        <w:spacing w:after="0"/>
        <w:ind w:left="360"/>
        <w:jc w:val="left"/>
        <w:rPr>
          <w:i/>
          <w:lang w:val="en-US"/>
        </w:rPr>
      </w:pPr>
      <w:r w:rsidRPr="00942F73">
        <w:rPr>
          <w:b/>
          <w:i/>
          <w:lang w:val="en-US"/>
        </w:rPr>
        <w:t>Step 1:</w:t>
      </w:r>
      <w:r>
        <w:rPr>
          <w:i/>
          <w:lang w:val="en-US"/>
        </w:rPr>
        <w:t xml:space="preserve"> </w:t>
      </w:r>
      <w:r w:rsidRPr="00942F73">
        <w:rPr>
          <w:i/>
          <w:lang w:val="en-US"/>
        </w:rPr>
        <w:t>Wherever possible, allocation should be avoided by:</w:t>
      </w:r>
      <w:r w:rsidRPr="00942F73">
        <w:rPr>
          <w:i/>
          <w:lang w:val="en-US"/>
        </w:rPr>
        <w:tab/>
      </w:r>
    </w:p>
    <w:p w14:paraId="0D494370" w14:textId="77777777" w:rsidR="00B94188" w:rsidRPr="00942F73" w:rsidRDefault="00B94188" w:rsidP="00B94188">
      <w:pPr>
        <w:pStyle w:val="ListParagraph"/>
        <w:widowControl/>
        <w:numPr>
          <w:ilvl w:val="3"/>
          <w:numId w:val="6"/>
        </w:numPr>
        <w:tabs>
          <w:tab w:val="clear" w:pos="567"/>
          <w:tab w:val="left" w:pos="1134"/>
        </w:tabs>
        <w:autoSpaceDE w:val="0"/>
        <w:autoSpaceDN w:val="0"/>
        <w:adjustRightInd w:val="0"/>
        <w:spacing w:after="0"/>
        <w:ind w:left="1134" w:hanging="708"/>
        <w:jc w:val="left"/>
        <w:rPr>
          <w:i/>
          <w:lang w:val="en-US"/>
        </w:rPr>
      </w:pPr>
      <w:r w:rsidRPr="00942F73">
        <w:rPr>
          <w:i/>
          <w:lang w:val="en-US"/>
        </w:rPr>
        <w:t>dividing the unit process to be allocated into two or more sub-processes and collecting the input and output data related to these sub-processes, or</w:t>
      </w:r>
    </w:p>
    <w:p w14:paraId="0D494371" w14:textId="77777777" w:rsidR="00B94188" w:rsidRDefault="00B94188" w:rsidP="00B94188">
      <w:pPr>
        <w:pStyle w:val="ListParagraph"/>
        <w:widowControl/>
        <w:numPr>
          <w:ilvl w:val="3"/>
          <w:numId w:val="6"/>
        </w:numPr>
        <w:tabs>
          <w:tab w:val="clear" w:pos="567"/>
          <w:tab w:val="left" w:pos="1134"/>
        </w:tabs>
        <w:autoSpaceDE w:val="0"/>
        <w:autoSpaceDN w:val="0"/>
        <w:adjustRightInd w:val="0"/>
        <w:spacing w:after="0"/>
        <w:ind w:left="1134" w:hanging="708"/>
        <w:jc w:val="left"/>
        <w:rPr>
          <w:i/>
          <w:lang w:val="en-US"/>
        </w:rPr>
      </w:pPr>
      <w:r w:rsidRPr="00942F73">
        <w:rPr>
          <w:i/>
          <w:lang w:val="en-US"/>
        </w:rPr>
        <w:t>expanding the product system to include the additional functions related to the co-products, taking into account the requirements of 4.2.3.3.</w:t>
      </w:r>
    </w:p>
    <w:p w14:paraId="0D494372" w14:textId="77777777" w:rsidR="00B94188" w:rsidRPr="009D4832" w:rsidRDefault="00B94188" w:rsidP="00B94188">
      <w:pPr>
        <w:widowControl/>
        <w:tabs>
          <w:tab w:val="left" w:pos="1134"/>
        </w:tabs>
        <w:autoSpaceDE w:val="0"/>
        <w:autoSpaceDN w:val="0"/>
        <w:adjustRightInd w:val="0"/>
        <w:spacing w:after="0"/>
        <w:jc w:val="left"/>
        <w:rPr>
          <w:i/>
          <w:lang w:val="en-US"/>
        </w:rPr>
      </w:pPr>
    </w:p>
    <w:p w14:paraId="0D494373" w14:textId="77777777" w:rsidR="00B94188" w:rsidRDefault="00B94188" w:rsidP="00351F51">
      <w:pPr>
        <w:pStyle w:val="ListParagraph"/>
        <w:widowControl/>
        <w:numPr>
          <w:ilvl w:val="0"/>
          <w:numId w:val="0"/>
        </w:numPr>
        <w:autoSpaceDE w:val="0"/>
        <w:autoSpaceDN w:val="0"/>
        <w:adjustRightInd w:val="0"/>
        <w:spacing w:after="0"/>
        <w:ind w:left="360"/>
        <w:jc w:val="left"/>
        <w:rPr>
          <w:i/>
        </w:rPr>
      </w:pPr>
      <w:r w:rsidRPr="00942F73">
        <w:rPr>
          <w:b/>
          <w:i/>
        </w:rPr>
        <w:lastRenderedPageBreak/>
        <w:t>Step 2.</w:t>
      </w:r>
      <w:r w:rsidRPr="00942F73">
        <w:rPr>
          <w:i/>
        </w:rPr>
        <w:t xml:space="preserve"> Where allocation cannot be avoided, the inputs and outputs of the system should be partitioned between its different products or functions in a way that reflects the underlying physical relationships between them; i.e. they should reflect the way in which the inputs and outputs are changed by</w:t>
      </w:r>
      <w:r>
        <w:rPr>
          <w:i/>
        </w:rPr>
        <w:t xml:space="preserve"> </w:t>
      </w:r>
      <w:r w:rsidRPr="00942F73">
        <w:rPr>
          <w:i/>
        </w:rPr>
        <w:t>quantitative changes in the products or functions delivered by the system</w:t>
      </w:r>
      <w:r>
        <w:rPr>
          <w:i/>
        </w:rPr>
        <w:t>.</w:t>
      </w:r>
    </w:p>
    <w:p w14:paraId="0D494374" w14:textId="77777777" w:rsidR="00B94188" w:rsidRPr="009D4832" w:rsidRDefault="00B94188" w:rsidP="00B94188">
      <w:pPr>
        <w:widowControl/>
        <w:autoSpaceDE w:val="0"/>
        <w:autoSpaceDN w:val="0"/>
        <w:adjustRightInd w:val="0"/>
        <w:spacing w:after="0"/>
        <w:jc w:val="left"/>
        <w:rPr>
          <w:i/>
        </w:rPr>
      </w:pPr>
    </w:p>
    <w:p w14:paraId="0D494375" w14:textId="77777777" w:rsidR="00B94188" w:rsidRPr="00942F73" w:rsidRDefault="00B94188" w:rsidP="00351F51">
      <w:pPr>
        <w:pStyle w:val="ListParagraph"/>
        <w:widowControl/>
        <w:numPr>
          <w:ilvl w:val="0"/>
          <w:numId w:val="0"/>
        </w:numPr>
        <w:spacing w:after="200"/>
        <w:ind w:left="360"/>
        <w:jc w:val="left"/>
        <w:rPr>
          <w:i/>
        </w:rPr>
      </w:pPr>
      <w:r w:rsidRPr="00942F73">
        <w:rPr>
          <w:b/>
          <w:i/>
        </w:rPr>
        <w:t xml:space="preserve">Step 3. </w:t>
      </w:r>
      <w:r w:rsidRPr="00942F73">
        <w:rPr>
          <w:i/>
        </w:rPr>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p>
    <w:p w14:paraId="0D494376" w14:textId="6781EED8" w:rsidR="00B94188" w:rsidRDefault="00B94188" w:rsidP="00B94188">
      <w:r>
        <w:t xml:space="preserve">In accordance to ISO 14044:2006, where possible, allocation </w:t>
      </w:r>
      <w:r w:rsidR="005840CC">
        <w:t xml:space="preserve">has </w:t>
      </w:r>
      <w:r>
        <w:t>b</w:t>
      </w:r>
      <w:r w:rsidR="005840CC">
        <w:t>e</w:t>
      </w:r>
      <w:r w:rsidR="002D7982">
        <w:t>e</w:t>
      </w:r>
      <w:r w:rsidR="005840CC">
        <w:t>n</w:t>
      </w:r>
      <w:r>
        <w:t xml:space="preserve"> avoided by </w:t>
      </w:r>
      <w:r w:rsidR="002D7982">
        <w:t>using</w:t>
      </w:r>
      <w:r>
        <w:t xml:space="preserve"> systems expansion. </w:t>
      </w:r>
    </w:p>
    <w:tbl>
      <w:tblPr>
        <w:tblW w:w="0" w:type="auto"/>
        <w:tblLook w:val="00A0" w:firstRow="1" w:lastRow="0" w:firstColumn="1" w:lastColumn="0" w:noHBand="0" w:noVBand="0"/>
      </w:tblPr>
      <w:tblGrid>
        <w:gridCol w:w="9242"/>
      </w:tblGrid>
      <w:tr w:rsidR="00B94188" w:rsidRPr="00474B2D" w14:paraId="0D494379" w14:textId="77777777" w:rsidTr="00B94188">
        <w:tc>
          <w:tcPr>
            <w:tcW w:w="9242" w:type="dxa"/>
          </w:tcPr>
          <w:p w14:paraId="0D494377" w14:textId="688D0F5A" w:rsidR="00B94188" w:rsidRDefault="00B94188" w:rsidP="00B94188">
            <w:pPr>
              <w:widowControl/>
              <w:spacing w:after="0"/>
            </w:pPr>
            <w:r w:rsidRPr="000E3E33">
              <w:t xml:space="preserve">In this study, the systems which have been subject to the ISO 14044:2006 hierarchy are multi-input, multi-output and recycling processes. Allocation for multi-input processes </w:t>
            </w:r>
            <w:r>
              <w:t>is</w:t>
            </w:r>
            <w:r w:rsidRPr="000E3E33">
              <w:t xml:space="preserve"> based </w:t>
            </w:r>
            <w:r>
              <w:t>up</w:t>
            </w:r>
            <w:r w:rsidRPr="000E3E33">
              <w:t xml:space="preserve">on the physical composition of the inputs, with emissions from related stoichiometric reactions. </w:t>
            </w:r>
            <w:r>
              <w:t>M</w:t>
            </w:r>
            <w:r w:rsidRPr="000E3E33">
              <w:t>ulti-input processes, such as waste treatment in landfill</w:t>
            </w:r>
            <w:r>
              <w:t>, will be avoided by increasing detail. Specific emissions have been</w:t>
            </w:r>
            <w:r w:rsidRPr="000E3E33">
              <w:t xml:space="preserve"> modelled for specific material types</w:t>
            </w:r>
            <w:r>
              <w:t xml:space="preserve"> that are being disposed</w:t>
            </w:r>
            <w:r w:rsidRPr="000E3E33">
              <w:t>. The impacts of transport tasks have been allocated based on the mass of the materials being transported</w:t>
            </w:r>
            <w:r w:rsidR="002D7982">
              <w:t xml:space="preserve"> and the distance travelled, with the exception of the waste collection systems which are modelled differently</w:t>
            </w:r>
            <w:r w:rsidRPr="000E3E33">
              <w:t>.</w:t>
            </w:r>
            <w:r>
              <w:t xml:space="preserve"> </w:t>
            </w:r>
            <w:r w:rsidR="002D7982">
              <w:t xml:space="preserve">Waste collection impacts are </w:t>
            </w:r>
            <w:r w:rsidR="006F6A8F">
              <w:t>allocated to materials by</w:t>
            </w:r>
            <w:r w:rsidR="002D7982">
              <w:t xml:space="preserve"> a model which address</w:t>
            </w:r>
            <w:r w:rsidR="006F6A8F">
              <w:t>es</w:t>
            </w:r>
            <w:r w:rsidR="002D7982">
              <w:t xml:space="preserve"> a range of </w:t>
            </w:r>
            <w:r w:rsidR="006F6A8F">
              <w:t xml:space="preserve">fuel consumption drivers (refer to </w:t>
            </w:r>
            <w:r w:rsidR="006F6A8F">
              <w:fldChar w:fldCharType="begin"/>
            </w:r>
            <w:r w:rsidR="006F6A8F">
              <w:instrText xml:space="preserve"> REF _Ref360560152 \h </w:instrText>
            </w:r>
            <w:r w:rsidR="006F6A8F">
              <w:fldChar w:fldCharType="separate"/>
            </w:r>
            <w:r w:rsidR="00564E5C">
              <w:t>Appendix B – Inventory Report</w:t>
            </w:r>
            <w:r w:rsidR="006F6A8F">
              <w:fldChar w:fldCharType="end"/>
            </w:r>
            <w:r w:rsidR="006F6A8F">
              <w:t>).</w:t>
            </w:r>
          </w:p>
          <w:p w14:paraId="0D494378" w14:textId="77777777" w:rsidR="00B94188" w:rsidRPr="00474B2D" w:rsidRDefault="00B94188" w:rsidP="002E1C2D">
            <w:pPr>
              <w:widowControl/>
              <w:spacing w:after="0"/>
              <w:rPr>
                <w:lang w:val="en-GB"/>
              </w:rPr>
            </w:pPr>
          </w:p>
        </w:tc>
      </w:tr>
    </w:tbl>
    <w:p w14:paraId="0D49437A" w14:textId="281EC2E9" w:rsidR="00B94188" w:rsidRPr="00041296" w:rsidRDefault="006F6A8F" w:rsidP="00B94188">
      <w:pPr>
        <w:pStyle w:val="Heading2"/>
      </w:pPr>
      <w:bookmarkStart w:id="91" w:name="_Toc343853119"/>
      <w:bookmarkStart w:id="92" w:name="_Ref362525976"/>
      <w:bookmarkStart w:id="93" w:name="_Ref363068978"/>
      <w:bookmarkStart w:id="94" w:name="_Ref367799406"/>
      <w:bookmarkStart w:id="95" w:name="_Toc433964546"/>
      <w:r>
        <w:t xml:space="preserve">Impact Assessment </w:t>
      </w:r>
      <w:r>
        <w:rPr>
          <w:lang w:val="en-AU"/>
        </w:rPr>
        <w:t>M</w:t>
      </w:r>
      <w:r w:rsidR="00B94188" w:rsidRPr="00041296">
        <w:t>ethod</w:t>
      </w:r>
      <w:bookmarkEnd w:id="91"/>
      <w:bookmarkEnd w:id="92"/>
      <w:bookmarkEnd w:id="93"/>
      <w:bookmarkEnd w:id="94"/>
      <w:bookmarkEnd w:id="95"/>
    </w:p>
    <w:p w14:paraId="0D49437B" w14:textId="5BF4A572" w:rsidR="00B94188" w:rsidRDefault="00B94188" w:rsidP="00B94188">
      <w:r>
        <w:t xml:space="preserve">The impact assessment </w:t>
      </w:r>
      <w:r w:rsidR="006F6A8F">
        <w:t xml:space="preserve">method </w:t>
      </w:r>
      <w:r w:rsidR="00BB3054">
        <w:t>used in</w:t>
      </w:r>
      <w:r>
        <w:t xml:space="preserve"> this study is intended to provide sufficient information to assess the environmental impact of recycling in Victoria. The method selected is a mid-point </w:t>
      </w:r>
      <w:r w:rsidR="00BE08DC">
        <w:t xml:space="preserve">method (refer </w:t>
      </w:r>
      <w:r w:rsidR="00BE08DC">
        <w:fldChar w:fldCharType="begin"/>
      </w:r>
      <w:r w:rsidR="00BE08DC">
        <w:instrText xml:space="preserve"> REF _Ref360135617 \h </w:instrText>
      </w:r>
      <w:r w:rsidR="00BE08DC">
        <w:fldChar w:fldCharType="separate"/>
      </w:r>
      <w:r w:rsidR="00564E5C">
        <w:t>Appendix A – Life Cycle Assessment and Recycling</w:t>
      </w:r>
      <w:r w:rsidR="00BE08DC">
        <w:fldChar w:fldCharType="end"/>
      </w:r>
      <w:r>
        <w:t>) in order to retain a backward comparability to prior Australian recycling studies, and to avoid the complexity, subjectivity and lack of transparency associated with end-point methods.</w:t>
      </w:r>
    </w:p>
    <w:p w14:paraId="0D49437C" w14:textId="0AE8FE7E" w:rsidR="00944DCE" w:rsidRDefault="00B94188" w:rsidP="00B94188">
      <w:r>
        <w:t xml:space="preserve">The indicators selected, and the rationale for inclusion of each, are described in </w:t>
      </w:r>
      <w:r w:rsidR="001D74DD" w:rsidRPr="00BE08DC">
        <w:fldChar w:fldCharType="begin"/>
      </w:r>
      <w:r w:rsidR="001D74DD" w:rsidRPr="00BE08DC">
        <w:instrText xml:space="preserve"> REF _Ref358408062 \h </w:instrText>
      </w:r>
      <w:r w:rsidR="00BE08DC" w:rsidRPr="00BE08DC">
        <w:instrText xml:space="preserve"> \* MERGEFORMAT </w:instrText>
      </w:r>
      <w:r w:rsidR="001D74DD" w:rsidRPr="00BE08DC">
        <w:fldChar w:fldCharType="separate"/>
      </w:r>
      <w:r w:rsidR="00564E5C" w:rsidRPr="00564E5C">
        <w:t xml:space="preserve">Table </w:t>
      </w:r>
      <w:r w:rsidR="00564E5C" w:rsidRPr="00564E5C">
        <w:rPr>
          <w:noProof/>
        </w:rPr>
        <w:t>13</w:t>
      </w:r>
      <w:r w:rsidR="001D74DD" w:rsidRPr="00BE08DC">
        <w:fldChar w:fldCharType="end"/>
      </w:r>
      <w:r w:rsidR="001D74DD">
        <w:t xml:space="preserve"> </w:t>
      </w:r>
      <w:r>
        <w:t>which comprises the characterisation method.</w:t>
      </w:r>
      <w:r w:rsidR="006F6A8F">
        <w:t xml:space="preserve"> It is acknowledged that even the nine indicators considered only represent a fraction of possible environmental impacts that could be caused by the systems studied. This is a limitation of the study.</w:t>
      </w:r>
    </w:p>
    <w:p w14:paraId="6079BA5C" w14:textId="0F0693E4" w:rsidR="008A4D0C" w:rsidRDefault="008A4D0C" w:rsidP="008A4D0C">
      <w:r>
        <w:t xml:space="preserve">The impact assessment method considers global warming, eutrophication, photochemical oxidation, minerals depletion, fossil fuels depletion, land use, water use, solid waste and cumulative energy demand, as shown in </w:t>
      </w:r>
      <w:r w:rsidRPr="00BE08DC">
        <w:fldChar w:fldCharType="begin"/>
      </w:r>
      <w:r w:rsidRPr="00BE08DC">
        <w:instrText xml:space="preserve"> REF _Ref358408062 \h </w:instrText>
      </w:r>
      <w:r w:rsidR="00BE08DC" w:rsidRPr="00BE08DC">
        <w:instrText xml:space="preserve"> \* MERGEFORMAT </w:instrText>
      </w:r>
      <w:r w:rsidRPr="00BE08DC">
        <w:fldChar w:fldCharType="separate"/>
      </w:r>
      <w:r w:rsidR="00564E5C" w:rsidRPr="00564E5C">
        <w:t xml:space="preserve">Table </w:t>
      </w:r>
      <w:r w:rsidR="00564E5C" w:rsidRPr="00564E5C">
        <w:rPr>
          <w:noProof/>
        </w:rPr>
        <w:t>13</w:t>
      </w:r>
      <w:r w:rsidRPr="00BE08DC">
        <w:fldChar w:fldCharType="end"/>
      </w:r>
      <w:r>
        <w:t>. Global warming, eutrophication, photochemical oxidation, minerals depletion, fossil fuels depletion could all be considered indicators of environmental impact, however the remaining indicators are more correctly considered pre-cursor indicators that may or may not indicate environmental impact. For example, cumulative energy demand tells us what quantum of primary energy is being used by a system, it does not tell us if that that energy has come from fossil or renewable sources. Therefore, the exact nature of the environmental impact is unknown.</w:t>
      </w:r>
    </w:p>
    <w:p w14:paraId="38EF4AC4" w14:textId="2F9827A0" w:rsidR="008A4D0C" w:rsidRDefault="008A4D0C" w:rsidP="008A4D0C">
      <w:r>
        <w:t>The indicators chosen (</w:t>
      </w:r>
      <w:r w:rsidRPr="00BE08DC">
        <w:fldChar w:fldCharType="begin"/>
      </w:r>
      <w:r w:rsidRPr="00BE08DC">
        <w:instrText xml:space="preserve"> REF _Ref358408062 \h </w:instrText>
      </w:r>
      <w:r w:rsidR="00BE08DC" w:rsidRPr="00BE08DC">
        <w:instrText xml:space="preserve"> \* MERGEFORMAT </w:instrText>
      </w:r>
      <w:r w:rsidRPr="00BE08DC">
        <w:fldChar w:fldCharType="separate"/>
      </w:r>
      <w:r w:rsidR="00564E5C" w:rsidRPr="00564E5C">
        <w:t xml:space="preserve">Table </w:t>
      </w:r>
      <w:r w:rsidR="00564E5C" w:rsidRPr="00564E5C">
        <w:rPr>
          <w:noProof/>
        </w:rPr>
        <w:t>13</w:t>
      </w:r>
      <w:r w:rsidRPr="00BE08DC">
        <w:fldChar w:fldCharType="end"/>
      </w:r>
      <w:r>
        <w:t xml:space="preserve">) were selected to assess a range of issues that recycling would be likely to affect. They were also chosen to maintain consistency and comparability with the previous LCA study </w:t>
      </w:r>
      <w:r>
        <w:fldChar w:fldCharType="begin"/>
      </w:r>
      <w:r w:rsidR="00F40CE2">
        <w:instrText xml:space="preserve"> ADDIN EN.CITE &lt;EndNote&gt;&lt;Cite&gt;&lt;Author&gt;Grant&lt;/Author&gt;&lt;Year&gt;2001&lt;/Year&gt;&lt;RecNum&gt;262&lt;/RecNum&gt;&lt;DisplayText&gt;(Grant et al., 2001a)&lt;/DisplayText&gt;&lt;record&gt;&lt;rec-number&gt;262&lt;/rec-number&gt;&lt;foreign-keys&gt;&lt;key app="EN" db-id="tfpv5staxsvs2nexzpp5taewzsvpx0er5fap"&gt;262&lt;/key&gt;&lt;/foreign-keys&gt;&lt;ref-type name="Report"&gt;27&lt;/ref-type&gt;&lt;contributors&gt;&lt;authors&gt;&lt;author&gt;Grant, Tim&lt;/author&gt;&lt;author&gt;James, Karli&lt;/author&gt;&lt;author&gt;Lundie, Sven&lt;/author&gt;&lt;author&gt;Sonneveld, Kees&lt;/author&gt;&lt;/authors&gt;&lt;/contributors&gt;&lt;titles&gt;&lt;title&gt;Stage 2 Report for Life Cycle Assessment for Paper and Packaging Waste Management Scenarios in Victoria&lt;/title&gt;&lt;/titles&gt;&lt;dates&gt;&lt;year&gt;2001&lt;/year&gt;&lt;pub-dates&gt;&lt;date&gt;January&lt;/date&gt;&lt;/pub-dates&gt;&lt;/dates&gt;&lt;pub-location&gt;Melbourne&lt;/pub-location&gt;&lt;publisher&gt;EcoRecycle Victoria&lt;/publisher&gt;&lt;urls&gt;&lt;/urls&gt;&lt;/record&gt;&lt;/Cite&gt;&lt;/EndNote&gt;</w:instrText>
      </w:r>
      <w:r>
        <w:fldChar w:fldCharType="separate"/>
      </w:r>
      <w:r w:rsidR="00F40CE2">
        <w:rPr>
          <w:noProof/>
        </w:rPr>
        <w:t>(</w:t>
      </w:r>
      <w:hyperlink w:anchor="_ENREF_35" w:tooltip="Grant, 2001 #262" w:history="1">
        <w:r w:rsidR="00F40CE2">
          <w:rPr>
            <w:noProof/>
          </w:rPr>
          <w:t>Grant et al., 2001a</w:t>
        </w:r>
      </w:hyperlink>
      <w:r w:rsidR="00F40CE2">
        <w:rPr>
          <w:noProof/>
        </w:rPr>
        <w:t>)</w:t>
      </w:r>
      <w:r>
        <w:fldChar w:fldCharType="end"/>
      </w:r>
      <w:r>
        <w:t>, and due to known inventory constraints. Human toxicity and ecotoxicity were excluded as their inclusion would have involved significant additional inventory development.</w:t>
      </w:r>
    </w:p>
    <w:p w14:paraId="537BE2CD" w14:textId="77777777" w:rsidR="00BE08DC" w:rsidRDefault="008A4D0C" w:rsidP="005F3C7F">
      <w:r>
        <w:t>Some environmental indicators, such as photochemical oxidation and eutrophication tend to cause locally observable environmental impacts under certain conditions. Photochemical oxidation tends to cause smog where transport activities are concentrated in urban areas, whereas impact</w:t>
      </w:r>
      <w:r w:rsidR="00D07733">
        <w:t>s</w:t>
      </w:r>
      <w:r>
        <w:t xml:space="preserve"> are unlikely </w:t>
      </w:r>
      <w:r w:rsidR="00D07733">
        <w:t xml:space="preserve">to be observed </w:t>
      </w:r>
      <w:r>
        <w:t xml:space="preserve">if emissions occur in </w:t>
      </w:r>
      <w:r w:rsidR="005F3C7F">
        <w:t>sparsely</w:t>
      </w:r>
      <w:r>
        <w:t xml:space="preserve"> populated areas, such as at sea</w:t>
      </w:r>
      <w:r w:rsidR="005F3C7F">
        <w:t xml:space="preserve"> or in rural areas</w:t>
      </w:r>
      <w:r>
        <w:t>.</w:t>
      </w:r>
      <w:r w:rsidR="005F3C7F">
        <w:t xml:space="preserve"> Eutrophication impacts tend to be most pronounced when emissions are to waterways, or through atmospheric transmission to waterways. As the LCA technique involved does not automatically consider these factors, interpretation of these indicators, in particular, needs to consider the likely type and location of the emission.</w:t>
      </w:r>
    </w:p>
    <w:p w14:paraId="5E78DFA8" w14:textId="0F2DEB4F" w:rsidR="00944DCE" w:rsidRDefault="00BE08DC" w:rsidP="005F3C7F">
      <w:r>
        <w:lastRenderedPageBreak/>
        <w:t xml:space="preserve">Detailed impact assessment factors for substances assessed are shown in </w:t>
      </w:r>
      <w:r>
        <w:fldChar w:fldCharType="begin"/>
      </w:r>
      <w:r>
        <w:instrText xml:space="preserve"> REF _Ref367702929 \h </w:instrText>
      </w:r>
      <w:r>
        <w:fldChar w:fldCharType="separate"/>
      </w:r>
      <w:r w:rsidR="00564E5C">
        <w:t>Appendix D – Impact Assessment Method (Factors)</w:t>
      </w:r>
      <w:r>
        <w:fldChar w:fldCharType="end"/>
      </w:r>
      <w:r>
        <w:t>.</w:t>
      </w:r>
    </w:p>
    <w:p w14:paraId="0D49437D" w14:textId="77777777" w:rsidR="00B94188" w:rsidRPr="005F3C7F" w:rsidRDefault="00B94188" w:rsidP="00B94188">
      <w:pPr>
        <w:rPr>
          <w:b/>
        </w:rPr>
      </w:pPr>
      <w:bookmarkStart w:id="96" w:name="_Ref358408062"/>
      <w:r w:rsidRPr="005F3C7F">
        <w:rPr>
          <w:b/>
        </w:rPr>
        <w:t xml:space="preserve">Table </w:t>
      </w:r>
      <w:r w:rsidR="00564256" w:rsidRPr="005F3C7F">
        <w:rPr>
          <w:b/>
        </w:rPr>
        <w:fldChar w:fldCharType="begin"/>
      </w:r>
      <w:r w:rsidR="00564256" w:rsidRPr="005F3C7F">
        <w:rPr>
          <w:b/>
        </w:rPr>
        <w:instrText xml:space="preserve"> SEQ Table \* ARABIC </w:instrText>
      </w:r>
      <w:r w:rsidR="00564256" w:rsidRPr="005F3C7F">
        <w:rPr>
          <w:b/>
        </w:rPr>
        <w:fldChar w:fldCharType="separate"/>
      </w:r>
      <w:r w:rsidR="00564E5C">
        <w:rPr>
          <w:b/>
          <w:noProof/>
        </w:rPr>
        <w:t>13</w:t>
      </w:r>
      <w:r w:rsidR="00564256" w:rsidRPr="005F3C7F">
        <w:rPr>
          <w:b/>
          <w:noProof/>
        </w:rPr>
        <w:fldChar w:fldCharType="end"/>
      </w:r>
      <w:bookmarkEnd w:id="96"/>
      <w:r w:rsidRPr="005F3C7F">
        <w:rPr>
          <w:b/>
        </w:rPr>
        <w:t xml:space="preserve"> Characterisation method.</w:t>
      </w:r>
    </w:p>
    <w:tbl>
      <w:tblPr>
        <w:tblW w:w="97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4512"/>
        <w:gridCol w:w="961"/>
        <w:gridCol w:w="3008"/>
      </w:tblGrid>
      <w:tr w:rsidR="00B94188" w:rsidRPr="001F0FBA" w14:paraId="0D494382" w14:textId="77777777" w:rsidTr="00B94188">
        <w:trPr>
          <w:tblHeader/>
        </w:trPr>
        <w:tc>
          <w:tcPr>
            <w:tcW w:w="1266" w:type="dxa"/>
            <w:shd w:val="clear" w:color="auto" w:fill="D9D9D9"/>
          </w:tcPr>
          <w:p w14:paraId="0D49437E" w14:textId="77777777" w:rsidR="00B94188" w:rsidRPr="001F0FBA" w:rsidRDefault="00B94188" w:rsidP="00B94188">
            <w:pPr>
              <w:spacing w:after="0"/>
              <w:jc w:val="center"/>
              <w:rPr>
                <w:sz w:val="16"/>
                <w:szCs w:val="16"/>
              </w:rPr>
            </w:pPr>
            <w:r w:rsidRPr="001F0FBA">
              <w:rPr>
                <w:sz w:val="16"/>
                <w:szCs w:val="16"/>
              </w:rPr>
              <w:t>Indicator</w:t>
            </w:r>
          </w:p>
        </w:tc>
        <w:tc>
          <w:tcPr>
            <w:tcW w:w="4512" w:type="dxa"/>
            <w:shd w:val="clear" w:color="auto" w:fill="D9D9D9"/>
          </w:tcPr>
          <w:p w14:paraId="0D49437F" w14:textId="77777777" w:rsidR="00B94188" w:rsidRPr="001F0FBA" w:rsidRDefault="00B94188" w:rsidP="00B94188">
            <w:pPr>
              <w:spacing w:after="0"/>
              <w:jc w:val="center"/>
              <w:rPr>
                <w:sz w:val="16"/>
                <w:szCs w:val="16"/>
              </w:rPr>
            </w:pPr>
            <w:r w:rsidRPr="001F0FBA">
              <w:rPr>
                <w:sz w:val="16"/>
                <w:szCs w:val="16"/>
              </w:rPr>
              <w:t>Description</w:t>
            </w:r>
          </w:p>
        </w:tc>
        <w:tc>
          <w:tcPr>
            <w:tcW w:w="961" w:type="dxa"/>
            <w:shd w:val="clear" w:color="auto" w:fill="D9D9D9"/>
          </w:tcPr>
          <w:p w14:paraId="0D494380" w14:textId="77777777" w:rsidR="00B94188" w:rsidRPr="001F0FBA" w:rsidRDefault="00B94188" w:rsidP="00B94188">
            <w:pPr>
              <w:spacing w:after="0"/>
              <w:jc w:val="center"/>
              <w:rPr>
                <w:sz w:val="16"/>
                <w:szCs w:val="16"/>
              </w:rPr>
            </w:pPr>
            <w:r w:rsidRPr="001F0FBA">
              <w:rPr>
                <w:sz w:val="16"/>
                <w:szCs w:val="16"/>
              </w:rPr>
              <w:t>Unit</w:t>
            </w:r>
          </w:p>
        </w:tc>
        <w:tc>
          <w:tcPr>
            <w:tcW w:w="3008" w:type="dxa"/>
            <w:shd w:val="clear" w:color="auto" w:fill="D9D9D9"/>
          </w:tcPr>
          <w:p w14:paraId="0D494381" w14:textId="77777777" w:rsidR="00B94188" w:rsidRPr="001F0FBA" w:rsidRDefault="00B94188" w:rsidP="00B94188">
            <w:pPr>
              <w:spacing w:after="0"/>
              <w:jc w:val="center"/>
              <w:rPr>
                <w:sz w:val="16"/>
                <w:szCs w:val="16"/>
              </w:rPr>
            </w:pPr>
            <w:r w:rsidRPr="001F0FBA">
              <w:rPr>
                <w:sz w:val="16"/>
                <w:szCs w:val="16"/>
              </w:rPr>
              <w:t>Rationale for inclusion</w:t>
            </w:r>
          </w:p>
        </w:tc>
      </w:tr>
      <w:tr w:rsidR="00B94188" w:rsidRPr="001F0FBA" w14:paraId="0D494384" w14:textId="77777777" w:rsidTr="00B94188">
        <w:tc>
          <w:tcPr>
            <w:tcW w:w="9747" w:type="dxa"/>
            <w:gridSpan w:val="4"/>
            <w:shd w:val="clear" w:color="auto" w:fill="D9D9D9"/>
          </w:tcPr>
          <w:p w14:paraId="0D494383" w14:textId="77777777" w:rsidR="00B94188" w:rsidRPr="001F0FBA" w:rsidRDefault="00B94188" w:rsidP="00B94188">
            <w:pPr>
              <w:spacing w:after="0"/>
              <w:jc w:val="center"/>
              <w:rPr>
                <w:sz w:val="16"/>
                <w:szCs w:val="16"/>
              </w:rPr>
            </w:pPr>
            <w:r w:rsidRPr="001F0FBA">
              <w:rPr>
                <w:sz w:val="16"/>
                <w:szCs w:val="16"/>
              </w:rPr>
              <w:t>Indicators of environmental impact</w:t>
            </w:r>
          </w:p>
        </w:tc>
      </w:tr>
      <w:tr w:rsidR="00B94188" w:rsidRPr="001F0FBA" w14:paraId="0D494390" w14:textId="77777777" w:rsidTr="00B94188">
        <w:trPr>
          <w:trHeight w:val="1400"/>
        </w:trPr>
        <w:tc>
          <w:tcPr>
            <w:tcW w:w="1266" w:type="dxa"/>
            <w:vAlign w:val="center"/>
          </w:tcPr>
          <w:p w14:paraId="0D494385" w14:textId="77777777" w:rsidR="00B94188" w:rsidRPr="00B142A8" w:rsidRDefault="00B94188" w:rsidP="00B94188">
            <w:pPr>
              <w:spacing w:after="0"/>
              <w:jc w:val="center"/>
              <w:rPr>
                <w:sz w:val="14"/>
                <w:szCs w:val="16"/>
              </w:rPr>
            </w:pPr>
            <w:r w:rsidRPr="00B142A8">
              <w:rPr>
                <w:sz w:val="14"/>
                <w:szCs w:val="16"/>
              </w:rPr>
              <w:t>Global warming</w:t>
            </w:r>
          </w:p>
        </w:tc>
        <w:tc>
          <w:tcPr>
            <w:tcW w:w="4512" w:type="dxa"/>
            <w:vAlign w:val="center"/>
          </w:tcPr>
          <w:p w14:paraId="0D494386" w14:textId="77777777" w:rsidR="00B94188" w:rsidRPr="00B142A8" w:rsidRDefault="00B94188" w:rsidP="00C109BF">
            <w:pPr>
              <w:spacing w:after="0"/>
              <w:jc w:val="left"/>
              <w:rPr>
                <w:sz w:val="14"/>
                <w:szCs w:val="16"/>
              </w:rPr>
            </w:pPr>
            <w:r w:rsidRPr="00B142A8">
              <w:rPr>
                <w:sz w:val="14"/>
                <w:szCs w:val="16"/>
              </w:rPr>
              <w:t>Climate change effects resulting from the emission of carbon dioxide (CO</w:t>
            </w:r>
            <w:r w:rsidRPr="00B142A8">
              <w:rPr>
                <w:sz w:val="14"/>
                <w:szCs w:val="16"/>
                <w:vertAlign w:val="subscript"/>
              </w:rPr>
              <w:t>2</w:t>
            </w:r>
            <w:r w:rsidRPr="00B142A8">
              <w:rPr>
                <w:sz w:val="14"/>
                <w:szCs w:val="16"/>
              </w:rPr>
              <w:t>), methane or other global warming gases into the atmosphere – this indicator is represented in CO</w:t>
            </w:r>
            <w:r w:rsidRPr="00B142A8">
              <w:rPr>
                <w:sz w:val="14"/>
                <w:szCs w:val="16"/>
                <w:vertAlign w:val="subscript"/>
              </w:rPr>
              <w:t>2</w:t>
            </w:r>
            <w:r w:rsidRPr="00B142A8">
              <w:rPr>
                <w:sz w:val="14"/>
                <w:szCs w:val="16"/>
              </w:rPr>
              <w:t xml:space="preserve"> equivalents.</w:t>
            </w:r>
          </w:p>
          <w:p w14:paraId="0D494387" w14:textId="77777777" w:rsidR="00B94188" w:rsidRPr="00B142A8" w:rsidRDefault="00B94188" w:rsidP="00C109BF">
            <w:pPr>
              <w:spacing w:after="0"/>
              <w:jc w:val="left"/>
              <w:rPr>
                <w:sz w:val="14"/>
                <w:szCs w:val="16"/>
              </w:rPr>
            </w:pPr>
          </w:p>
          <w:p w14:paraId="0D494388" w14:textId="77777777" w:rsidR="00B94188" w:rsidRPr="00B142A8" w:rsidRDefault="00B94188" w:rsidP="00C109BF">
            <w:pPr>
              <w:spacing w:after="0"/>
              <w:jc w:val="left"/>
              <w:rPr>
                <w:sz w:val="14"/>
                <w:szCs w:val="16"/>
              </w:rPr>
            </w:pPr>
            <w:r w:rsidRPr="00B142A8">
              <w:rPr>
                <w:sz w:val="14"/>
                <w:szCs w:val="16"/>
              </w:rPr>
              <w:t>Factors applied to convert emissions of greenhouse gas emissions into CO</w:t>
            </w:r>
            <w:r w:rsidRPr="00B142A8">
              <w:rPr>
                <w:sz w:val="14"/>
                <w:szCs w:val="16"/>
                <w:vertAlign w:val="subscript"/>
              </w:rPr>
              <w:t>2</w:t>
            </w:r>
            <w:r w:rsidRPr="00B142A8">
              <w:rPr>
                <w:sz w:val="14"/>
                <w:szCs w:val="16"/>
              </w:rPr>
              <w:t xml:space="preserve"> equivalents emissions are taken from the IPCC Fourth Assessment Report (2007). The values used are based on a 100 year time horizon.</w:t>
            </w:r>
          </w:p>
        </w:tc>
        <w:tc>
          <w:tcPr>
            <w:tcW w:w="961" w:type="dxa"/>
            <w:vAlign w:val="center"/>
          </w:tcPr>
          <w:p w14:paraId="0D494389" w14:textId="77777777" w:rsidR="00B94188" w:rsidRPr="00B142A8" w:rsidRDefault="00B94188" w:rsidP="00B94188">
            <w:pPr>
              <w:spacing w:after="0"/>
              <w:jc w:val="center"/>
              <w:rPr>
                <w:sz w:val="14"/>
                <w:szCs w:val="16"/>
              </w:rPr>
            </w:pPr>
            <w:r w:rsidRPr="00B142A8">
              <w:rPr>
                <w:sz w:val="14"/>
                <w:szCs w:val="16"/>
              </w:rPr>
              <w:t>kg CO</w:t>
            </w:r>
            <w:r w:rsidRPr="00B142A8">
              <w:rPr>
                <w:sz w:val="14"/>
                <w:szCs w:val="16"/>
                <w:vertAlign w:val="subscript"/>
              </w:rPr>
              <w:t>2</w:t>
            </w:r>
            <w:r w:rsidRPr="00B142A8">
              <w:rPr>
                <w:sz w:val="14"/>
                <w:szCs w:val="16"/>
              </w:rPr>
              <w:t xml:space="preserve"> eq</w:t>
            </w:r>
          </w:p>
        </w:tc>
        <w:tc>
          <w:tcPr>
            <w:tcW w:w="3008" w:type="dxa"/>
            <w:vAlign w:val="center"/>
          </w:tcPr>
          <w:p w14:paraId="0D49438A" w14:textId="77777777" w:rsidR="00B94188" w:rsidRDefault="00B94188" w:rsidP="00C109BF">
            <w:pPr>
              <w:spacing w:after="0"/>
              <w:jc w:val="left"/>
              <w:rPr>
                <w:sz w:val="14"/>
                <w:szCs w:val="16"/>
              </w:rPr>
            </w:pPr>
            <w:r w:rsidRPr="00B142A8">
              <w:rPr>
                <w:sz w:val="14"/>
                <w:szCs w:val="16"/>
              </w:rPr>
              <w:t>Global warming is an issue of national and international importance.</w:t>
            </w:r>
          </w:p>
          <w:p w14:paraId="0D49438B" w14:textId="77777777" w:rsidR="00B94188" w:rsidRDefault="00B94188" w:rsidP="00C109BF">
            <w:pPr>
              <w:spacing w:after="0"/>
              <w:jc w:val="left"/>
              <w:rPr>
                <w:sz w:val="14"/>
                <w:szCs w:val="16"/>
              </w:rPr>
            </w:pPr>
          </w:p>
          <w:p w14:paraId="0D49438C" w14:textId="77777777" w:rsidR="00B94188" w:rsidRDefault="00B94188" w:rsidP="00C109BF">
            <w:pPr>
              <w:spacing w:after="0"/>
              <w:jc w:val="left"/>
              <w:rPr>
                <w:sz w:val="14"/>
                <w:szCs w:val="16"/>
              </w:rPr>
            </w:pPr>
            <w:r>
              <w:rPr>
                <w:sz w:val="14"/>
                <w:szCs w:val="16"/>
              </w:rPr>
              <w:t>Key factors:</w:t>
            </w:r>
          </w:p>
          <w:p w14:paraId="0D49438D" w14:textId="77777777" w:rsidR="00B94188" w:rsidRDefault="00B94188" w:rsidP="00C109BF">
            <w:pPr>
              <w:spacing w:after="0"/>
              <w:jc w:val="left"/>
              <w:rPr>
                <w:sz w:val="14"/>
                <w:szCs w:val="16"/>
              </w:rPr>
            </w:pPr>
            <w:r>
              <w:rPr>
                <w:sz w:val="14"/>
                <w:szCs w:val="16"/>
              </w:rPr>
              <w:t>Carbon dioxide: 1</w:t>
            </w:r>
          </w:p>
          <w:p w14:paraId="0D49438E" w14:textId="77777777" w:rsidR="00B94188" w:rsidRDefault="00B94188" w:rsidP="00C109BF">
            <w:pPr>
              <w:spacing w:after="0"/>
              <w:jc w:val="left"/>
              <w:rPr>
                <w:sz w:val="14"/>
                <w:szCs w:val="16"/>
              </w:rPr>
            </w:pPr>
            <w:r>
              <w:rPr>
                <w:sz w:val="14"/>
                <w:szCs w:val="16"/>
              </w:rPr>
              <w:t>Methane: 25</w:t>
            </w:r>
          </w:p>
          <w:p w14:paraId="0D49438F" w14:textId="77777777" w:rsidR="00B94188" w:rsidRPr="00B142A8" w:rsidRDefault="00B94188" w:rsidP="00C109BF">
            <w:pPr>
              <w:spacing w:after="0"/>
              <w:jc w:val="left"/>
              <w:rPr>
                <w:sz w:val="14"/>
                <w:szCs w:val="16"/>
              </w:rPr>
            </w:pPr>
            <w:r w:rsidRPr="004B00B2">
              <w:rPr>
                <w:sz w:val="14"/>
                <w:szCs w:val="16"/>
              </w:rPr>
              <w:t>Dinitrogen monoxide</w:t>
            </w:r>
            <w:r>
              <w:rPr>
                <w:sz w:val="14"/>
                <w:szCs w:val="16"/>
              </w:rPr>
              <w:t>: 298</w:t>
            </w:r>
          </w:p>
        </w:tc>
      </w:tr>
      <w:tr w:rsidR="00B94188" w:rsidRPr="001F0FBA" w14:paraId="0D494395" w14:textId="77777777" w:rsidTr="00B94188">
        <w:tc>
          <w:tcPr>
            <w:tcW w:w="1266" w:type="dxa"/>
            <w:vAlign w:val="center"/>
          </w:tcPr>
          <w:p w14:paraId="0D494391" w14:textId="77777777" w:rsidR="00B94188" w:rsidRPr="008A4D0C" w:rsidRDefault="00B94188" w:rsidP="00B94188">
            <w:pPr>
              <w:spacing w:after="0"/>
              <w:jc w:val="center"/>
              <w:rPr>
                <w:sz w:val="14"/>
                <w:szCs w:val="16"/>
              </w:rPr>
            </w:pPr>
            <w:r w:rsidRPr="008A4D0C">
              <w:rPr>
                <w:sz w:val="14"/>
                <w:szCs w:val="16"/>
              </w:rPr>
              <w:t>Photochemical oxidation</w:t>
            </w:r>
          </w:p>
        </w:tc>
        <w:tc>
          <w:tcPr>
            <w:tcW w:w="4512" w:type="dxa"/>
            <w:vAlign w:val="center"/>
          </w:tcPr>
          <w:p w14:paraId="6EB24B7B" w14:textId="77777777" w:rsidR="008A4D0C" w:rsidRPr="008A4D0C" w:rsidRDefault="008A4D0C" w:rsidP="008A4D0C">
            <w:pPr>
              <w:spacing w:after="0"/>
              <w:jc w:val="left"/>
              <w:rPr>
                <w:sz w:val="14"/>
                <w:szCs w:val="16"/>
              </w:rPr>
            </w:pPr>
            <w:r w:rsidRPr="008A4D0C">
              <w:rPr>
                <w:sz w:val="14"/>
                <w:szCs w:val="16"/>
              </w:rPr>
              <w:t xml:space="preserve">Measurement of the increased potential of photochemical smog events due to the chemical reaction between sunlight and specific gases released into the atmosphere. These gases include nitrogen oxides (NOx), volatile organic compounds (VOCs), peroxyacyl nitrates (PANs), aldehydes and ozone. </w:t>
            </w:r>
          </w:p>
          <w:p w14:paraId="0D494392" w14:textId="6409D999" w:rsidR="00B94188" w:rsidRPr="008A4D0C" w:rsidRDefault="008A4D0C" w:rsidP="008A4D0C">
            <w:pPr>
              <w:spacing w:after="0"/>
              <w:jc w:val="left"/>
              <w:rPr>
                <w:sz w:val="14"/>
                <w:szCs w:val="16"/>
              </w:rPr>
            </w:pPr>
            <w:r w:rsidRPr="008A4D0C">
              <w:rPr>
                <w:sz w:val="14"/>
                <w:szCs w:val="16"/>
              </w:rPr>
              <w:t xml:space="preserve">This indicator is of importance in areas where photochemical smog is likely to be a problem, such as in urban transport environments. </w:t>
            </w:r>
          </w:p>
        </w:tc>
        <w:tc>
          <w:tcPr>
            <w:tcW w:w="961" w:type="dxa"/>
            <w:vAlign w:val="center"/>
          </w:tcPr>
          <w:p w14:paraId="0D494393" w14:textId="50AC2B87" w:rsidR="00B94188" w:rsidRPr="00D07733" w:rsidRDefault="008A4D0C" w:rsidP="00D07733">
            <w:pPr>
              <w:spacing w:after="0"/>
              <w:jc w:val="center"/>
              <w:rPr>
                <w:sz w:val="14"/>
                <w:szCs w:val="14"/>
              </w:rPr>
            </w:pPr>
            <w:r w:rsidRPr="00D07733">
              <w:rPr>
                <w:rStyle w:val="Style10pt"/>
                <w:sz w:val="14"/>
                <w:szCs w:val="14"/>
              </w:rPr>
              <w:t xml:space="preserve">kg </w:t>
            </w:r>
            <w:r w:rsidR="00D07733" w:rsidRPr="00D07733">
              <w:rPr>
                <w:rStyle w:val="Style10pt"/>
                <w:sz w:val="14"/>
                <w:szCs w:val="14"/>
              </w:rPr>
              <w:t>NMVOC</w:t>
            </w:r>
          </w:p>
        </w:tc>
        <w:tc>
          <w:tcPr>
            <w:tcW w:w="3008" w:type="dxa"/>
            <w:vAlign w:val="center"/>
          </w:tcPr>
          <w:p w14:paraId="0D494394" w14:textId="77777777" w:rsidR="00B94188" w:rsidRPr="008A4D0C" w:rsidRDefault="00B94188" w:rsidP="00C109BF">
            <w:pPr>
              <w:spacing w:after="0"/>
              <w:jc w:val="left"/>
              <w:rPr>
                <w:sz w:val="14"/>
                <w:szCs w:val="16"/>
              </w:rPr>
            </w:pPr>
            <w:r w:rsidRPr="008A4D0C">
              <w:rPr>
                <w:sz w:val="14"/>
                <w:szCs w:val="16"/>
              </w:rPr>
              <w:t>Waste treatment processes involve the emissions of chemicals to air, many of which could contribute to smog. Smog is an important consideration in metropolitan areas.</w:t>
            </w:r>
          </w:p>
        </w:tc>
      </w:tr>
      <w:tr w:rsidR="00B94188" w:rsidRPr="001F0FBA" w14:paraId="0D49439C" w14:textId="77777777" w:rsidTr="00B94188">
        <w:tc>
          <w:tcPr>
            <w:tcW w:w="1266" w:type="dxa"/>
            <w:vAlign w:val="center"/>
          </w:tcPr>
          <w:p w14:paraId="0D494396" w14:textId="77777777" w:rsidR="00B94188" w:rsidRPr="00B142A8" w:rsidRDefault="00B94188" w:rsidP="00B94188">
            <w:pPr>
              <w:spacing w:after="0"/>
              <w:jc w:val="center"/>
              <w:rPr>
                <w:sz w:val="14"/>
                <w:szCs w:val="16"/>
              </w:rPr>
            </w:pPr>
            <w:r w:rsidRPr="00B142A8">
              <w:rPr>
                <w:sz w:val="14"/>
                <w:szCs w:val="16"/>
              </w:rPr>
              <w:t>Eutrophication</w:t>
            </w:r>
          </w:p>
        </w:tc>
        <w:tc>
          <w:tcPr>
            <w:tcW w:w="4512" w:type="dxa"/>
            <w:vAlign w:val="center"/>
          </w:tcPr>
          <w:p w14:paraId="0D494397" w14:textId="77777777" w:rsidR="00B94188" w:rsidRPr="00B142A8" w:rsidRDefault="00B94188" w:rsidP="00C109BF">
            <w:pPr>
              <w:spacing w:after="0"/>
              <w:jc w:val="left"/>
              <w:rPr>
                <w:sz w:val="14"/>
                <w:szCs w:val="16"/>
              </w:rPr>
            </w:pPr>
            <w:r w:rsidRPr="00B142A8">
              <w:rPr>
                <w:sz w:val="14"/>
                <w:szCs w:val="16"/>
              </w:rPr>
              <w:t>Eutrophication is the release of nutrients (mainly phosphorous and nitrogen) into land and water systems, altering biotopes, and potentially causing oxygen depletion effects such as increased algal growth.</w:t>
            </w:r>
          </w:p>
          <w:p w14:paraId="0D494398" w14:textId="77777777" w:rsidR="00B94188" w:rsidRPr="00B142A8" w:rsidRDefault="00B94188" w:rsidP="00C109BF">
            <w:pPr>
              <w:spacing w:after="0"/>
              <w:jc w:val="left"/>
              <w:rPr>
                <w:sz w:val="14"/>
                <w:szCs w:val="16"/>
              </w:rPr>
            </w:pPr>
          </w:p>
          <w:p w14:paraId="0D494399" w14:textId="77777777" w:rsidR="00B94188" w:rsidRPr="00B142A8" w:rsidRDefault="00B94188" w:rsidP="00C109BF">
            <w:pPr>
              <w:spacing w:after="0"/>
              <w:jc w:val="left"/>
              <w:rPr>
                <w:sz w:val="14"/>
                <w:szCs w:val="16"/>
              </w:rPr>
            </w:pPr>
            <w:r w:rsidRPr="00B142A8">
              <w:rPr>
                <w:sz w:val="14"/>
                <w:szCs w:val="16"/>
              </w:rPr>
              <w:t>Factors applied to convert emissions into PO</w:t>
            </w:r>
            <w:r w:rsidRPr="00B142A8">
              <w:rPr>
                <w:sz w:val="14"/>
                <w:szCs w:val="16"/>
                <w:vertAlign w:val="subscript"/>
              </w:rPr>
              <w:t>4</w:t>
            </w:r>
            <w:r w:rsidRPr="00B142A8">
              <w:rPr>
                <w:sz w:val="14"/>
                <w:szCs w:val="16"/>
                <w:vertAlign w:val="superscript"/>
              </w:rPr>
              <w:t>3-</w:t>
            </w:r>
            <w:r w:rsidRPr="00B142A8">
              <w:rPr>
                <w:sz w:val="14"/>
                <w:szCs w:val="16"/>
              </w:rPr>
              <w:t xml:space="preserve"> equivalents are taken from the CML impact assessment method from 2000 (CML baseline 2000 all impact categories V2.04).</w:t>
            </w:r>
          </w:p>
        </w:tc>
        <w:tc>
          <w:tcPr>
            <w:tcW w:w="961" w:type="dxa"/>
            <w:vAlign w:val="center"/>
          </w:tcPr>
          <w:p w14:paraId="0D49439A" w14:textId="77777777" w:rsidR="00B94188" w:rsidRPr="00B142A8" w:rsidRDefault="00B94188" w:rsidP="00B94188">
            <w:pPr>
              <w:spacing w:after="0"/>
              <w:jc w:val="center"/>
              <w:rPr>
                <w:sz w:val="14"/>
                <w:szCs w:val="16"/>
              </w:rPr>
            </w:pPr>
            <w:r w:rsidRPr="00B142A8">
              <w:rPr>
                <w:sz w:val="14"/>
                <w:szCs w:val="16"/>
              </w:rPr>
              <w:t>kg PO</w:t>
            </w:r>
            <w:r w:rsidRPr="00B142A8">
              <w:rPr>
                <w:sz w:val="14"/>
                <w:szCs w:val="16"/>
                <w:vertAlign w:val="subscript"/>
              </w:rPr>
              <w:t>4</w:t>
            </w:r>
            <w:r w:rsidRPr="00B142A8">
              <w:rPr>
                <w:sz w:val="14"/>
                <w:szCs w:val="16"/>
                <w:vertAlign w:val="superscript"/>
              </w:rPr>
              <w:t>3-</w:t>
            </w:r>
            <w:r w:rsidRPr="00B142A8">
              <w:rPr>
                <w:sz w:val="14"/>
                <w:szCs w:val="16"/>
              </w:rPr>
              <w:t xml:space="preserve"> eq</w:t>
            </w:r>
          </w:p>
        </w:tc>
        <w:tc>
          <w:tcPr>
            <w:tcW w:w="3008" w:type="dxa"/>
            <w:vAlign w:val="center"/>
          </w:tcPr>
          <w:p w14:paraId="0D49439B" w14:textId="77777777" w:rsidR="00B94188" w:rsidRPr="00B142A8" w:rsidRDefault="00B94188" w:rsidP="00C109BF">
            <w:pPr>
              <w:spacing w:after="0"/>
              <w:jc w:val="left"/>
              <w:rPr>
                <w:sz w:val="14"/>
                <w:szCs w:val="16"/>
              </w:rPr>
            </w:pPr>
            <w:r w:rsidRPr="00B142A8">
              <w:rPr>
                <w:sz w:val="14"/>
                <w:szCs w:val="16"/>
              </w:rPr>
              <w:t>Waste treatment processes could contribute to the eutrophication of waterways directly through processes relating to organics processing or their alternatives. Landfill systems could also contribute.</w:t>
            </w:r>
          </w:p>
        </w:tc>
      </w:tr>
      <w:tr w:rsidR="00B94188" w:rsidRPr="001F0FBA" w14:paraId="0D4943A1" w14:textId="77777777" w:rsidTr="00B94188">
        <w:tc>
          <w:tcPr>
            <w:tcW w:w="1266" w:type="dxa"/>
            <w:vAlign w:val="center"/>
          </w:tcPr>
          <w:p w14:paraId="0D49439D" w14:textId="77777777" w:rsidR="00B94188" w:rsidRPr="00B142A8" w:rsidRDefault="00B94188" w:rsidP="00B94188">
            <w:pPr>
              <w:spacing w:after="0"/>
              <w:jc w:val="center"/>
              <w:rPr>
                <w:sz w:val="14"/>
                <w:szCs w:val="16"/>
              </w:rPr>
            </w:pPr>
            <w:r w:rsidRPr="00B142A8">
              <w:rPr>
                <w:sz w:val="14"/>
                <w:szCs w:val="16"/>
              </w:rPr>
              <w:t>Mineral resource depletion</w:t>
            </w:r>
          </w:p>
        </w:tc>
        <w:tc>
          <w:tcPr>
            <w:tcW w:w="4512" w:type="dxa"/>
            <w:vAlign w:val="center"/>
          </w:tcPr>
          <w:p w14:paraId="0D49439E" w14:textId="77777777" w:rsidR="00B94188" w:rsidRPr="00B142A8" w:rsidRDefault="00B94188" w:rsidP="00C109BF">
            <w:pPr>
              <w:spacing w:after="0"/>
              <w:jc w:val="left"/>
              <w:rPr>
                <w:sz w:val="14"/>
                <w:szCs w:val="16"/>
              </w:rPr>
            </w:pPr>
            <w:r w:rsidRPr="00B142A8">
              <w:rPr>
                <w:sz w:val="14"/>
                <w:szCs w:val="16"/>
              </w:rPr>
              <w:t>The additional investment required to extract minerals resources due to depletion of reserves, leaving lower quality reserves behind, which will require more effort to harvest. Factors to convert raw material inputs into $ equivalents are taken from the ReCiPe method (Version 1.07 - July 2012, © PRé Consultants, Radboud University Nijmegen, Leiden University, RIVM, www.lcia-recipe.net).</w:t>
            </w:r>
          </w:p>
        </w:tc>
        <w:tc>
          <w:tcPr>
            <w:tcW w:w="961" w:type="dxa"/>
            <w:vAlign w:val="center"/>
          </w:tcPr>
          <w:p w14:paraId="0D49439F" w14:textId="77777777" w:rsidR="00B94188" w:rsidRPr="00B142A8" w:rsidRDefault="00B94188" w:rsidP="00B94188">
            <w:pPr>
              <w:spacing w:after="0"/>
              <w:jc w:val="center"/>
              <w:rPr>
                <w:sz w:val="14"/>
                <w:szCs w:val="16"/>
              </w:rPr>
            </w:pPr>
            <w:r w:rsidRPr="00B142A8">
              <w:rPr>
                <w:sz w:val="14"/>
                <w:szCs w:val="16"/>
              </w:rPr>
              <w:t>$</w:t>
            </w:r>
          </w:p>
        </w:tc>
        <w:tc>
          <w:tcPr>
            <w:tcW w:w="3008" w:type="dxa"/>
            <w:vAlign w:val="center"/>
          </w:tcPr>
          <w:p w14:paraId="0D4943A0" w14:textId="77777777" w:rsidR="00B94188" w:rsidRPr="00B142A8" w:rsidRDefault="00B94188" w:rsidP="00C109BF">
            <w:pPr>
              <w:spacing w:after="0"/>
              <w:jc w:val="left"/>
              <w:rPr>
                <w:sz w:val="14"/>
                <w:szCs w:val="16"/>
              </w:rPr>
            </w:pPr>
            <w:r w:rsidRPr="00B142A8">
              <w:rPr>
                <w:sz w:val="14"/>
                <w:szCs w:val="16"/>
              </w:rPr>
              <w:t>A key benefit of recycling is intended to be the recovery of useful resources that would otherwise be wasted. This indicator will help measure if these resources are indeed recovered.</w:t>
            </w:r>
          </w:p>
        </w:tc>
      </w:tr>
      <w:tr w:rsidR="00B94188" w:rsidRPr="001F0FBA" w14:paraId="0D4943A6" w14:textId="77777777" w:rsidTr="00B94188">
        <w:tc>
          <w:tcPr>
            <w:tcW w:w="1266" w:type="dxa"/>
            <w:vAlign w:val="center"/>
          </w:tcPr>
          <w:p w14:paraId="0D4943A2" w14:textId="77777777" w:rsidR="00B94188" w:rsidRPr="00B142A8" w:rsidRDefault="00B94188" w:rsidP="00B94188">
            <w:pPr>
              <w:spacing w:after="0"/>
              <w:jc w:val="center"/>
              <w:rPr>
                <w:sz w:val="14"/>
                <w:szCs w:val="16"/>
              </w:rPr>
            </w:pPr>
            <w:r w:rsidRPr="00B142A8">
              <w:rPr>
                <w:sz w:val="14"/>
                <w:szCs w:val="16"/>
              </w:rPr>
              <w:t>Fossil fuel depletion</w:t>
            </w:r>
          </w:p>
        </w:tc>
        <w:tc>
          <w:tcPr>
            <w:tcW w:w="4512" w:type="dxa"/>
            <w:vAlign w:val="center"/>
          </w:tcPr>
          <w:p w14:paraId="0D4943A3" w14:textId="77777777" w:rsidR="00B94188" w:rsidRPr="00B142A8" w:rsidRDefault="00B94188" w:rsidP="00C109BF">
            <w:pPr>
              <w:spacing w:after="0"/>
              <w:jc w:val="left"/>
              <w:rPr>
                <w:sz w:val="14"/>
                <w:szCs w:val="16"/>
              </w:rPr>
            </w:pPr>
            <w:r w:rsidRPr="00B142A8">
              <w:rPr>
                <w:sz w:val="14"/>
                <w:szCs w:val="16"/>
              </w:rPr>
              <w:t>The additional investment required to extract fossil fuel resources to depletion of reserves, leaving lower quality reserves behind, which will require more effort to harvest. Factors to convert raw material inputs into $ equivalents are taken from the ReCiPe method (Version 1.07 - July 2012, © PRé Consultants, Radboud University Nijmegen, Leiden University, RIVM, www.lcia-recipe.net).</w:t>
            </w:r>
          </w:p>
        </w:tc>
        <w:tc>
          <w:tcPr>
            <w:tcW w:w="961" w:type="dxa"/>
            <w:vAlign w:val="center"/>
          </w:tcPr>
          <w:p w14:paraId="0D4943A4" w14:textId="77777777" w:rsidR="00B94188" w:rsidRPr="00B142A8" w:rsidRDefault="00B94188" w:rsidP="00B94188">
            <w:pPr>
              <w:spacing w:after="0"/>
              <w:jc w:val="center"/>
              <w:rPr>
                <w:sz w:val="14"/>
                <w:szCs w:val="16"/>
              </w:rPr>
            </w:pPr>
            <w:r w:rsidRPr="00B142A8">
              <w:rPr>
                <w:sz w:val="14"/>
                <w:szCs w:val="16"/>
              </w:rPr>
              <w:t>$</w:t>
            </w:r>
          </w:p>
        </w:tc>
        <w:tc>
          <w:tcPr>
            <w:tcW w:w="3008" w:type="dxa"/>
            <w:vAlign w:val="center"/>
          </w:tcPr>
          <w:p w14:paraId="0D4943A5" w14:textId="77777777" w:rsidR="00B94188" w:rsidRPr="00B142A8" w:rsidRDefault="00B94188" w:rsidP="00C109BF">
            <w:pPr>
              <w:spacing w:after="0"/>
              <w:jc w:val="left"/>
              <w:rPr>
                <w:sz w:val="14"/>
                <w:szCs w:val="16"/>
              </w:rPr>
            </w:pPr>
            <w:r w:rsidRPr="00B142A8">
              <w:rPr>
                <w:sz w:val="14"/>
                <w:szCs w:val="16"/>
              </w:rPr>
              <w:t>A key benefit of recycling is intended to be the recovery of useful resources that would otherwise be wasted. This said, it is also true that recycling systems use energy which is typically derived from fossil fuels. This indicator is intended to help understand the total system fuels impact.</w:t>
            </w:r>
          </w:p>
        </w:tc>
      </w:tr>
      <w:tr w:rsidR="00B94188" w:rsidRPr="001F0FBA" w14:paraId="0D4943A8" w14:textId="77777777" w:rsidTr="00B94188">
        <w:tc>
          <w:tcPr>
            <w:tcW w:w="9747" w:type="dxa"/>
            <w:gridSpan w:val="4"/>
            <w:shd w:val="clear" w:color="auto" w:fill="D9D9D9"/>
            <w:vAlign w:val="center"/>
          </w:tcPr>
          <w:p w14:paraId="0D4943A7" w14:textId="77777777" w:rsidR="00B94188" w:rsidRPr="00B142A8" w:rsidRDefault="00B94188" w:rsidP="00C109BF">
            <w:pPr>
              <w:spacing w:after="0"/>
              <w:jc w:val="left"/>
              <w:rPr>
                <w:sz w:val="14"/>
                <w:szCs w:val="16"/>
              </w:rPr>
            </w:pPr>
            <w:r w:rsidRPr="00B142A8">
              <w:rPr>
                <w:sz w:val="14"/>
                <w:szCs w:val="16"/>
              </w:rPr>
              <w:t>Precursors to environmental impact</w:t>
            </w:r>
          </w:p>
        </w:tc>
      </w:tr>
      <w:tr w:rsidR="00B94188" w:rsidRPr="001F0FBA" w14:paraId="0D4943AD" w14:textId="77777777" w:rsidTr="00B94188">
        <w:tc>
          <w:tcPr>
            <w:tcW w:w="1266" w:type="dxa"/>
            <w:vAlign w:val="center"/>
          </w:tcPr>
          <w:p w14:paraId="0D4943A9" w14:textId="77777777" w:rsidR="00B94188" w:rsidRPr="00B142A8" w:rsidRDefault="00B94188" w:rsidP="00B94188">
            <w:pPr>
              <w:spacing w:after="0"/>
              <w:jc w:val="center"/>
              <w:rPr>
                <w:sz w:val="14"/>
                <w:szCs w:val="16"/>
              </w:rPr>
            </w:pPr>
            <w:r w:rsidRPr="00B142A8">
              <w:rPr>
                <w:sz w:val="14"/>
                <w:szCs w:val="16"/>
              </w:rPr>
              <w:t>Cumulative energy demand</w:t>
            </w:r>
          </w:p>
        </w:tc>
        <w:tc>
          <w:tcPr>
            <w:tcW w:w="4512" w:type="dxa"/>
            <w:vAlign w:val="center"/>
          </w:tcPr>
          <w:p w14:paraId="0D4943AA" w14:textId="77777777" w:rsidR="00B94188" w:rsidRPr="00B142A8" w:rsidRDefault="00B94188" w:rsidP="00C109BF">
            <w:pPr>
              <w:spacing w:after="0"/>
              <w:jc w:val="left"/>
              <w:rPr>
                <w:sz w:val="14"/>
                <w:szCs w:val="16"/>
              </w:rPr>
            </w:pPr>
            <w:r w:rsidRPr="00B142A8">
              <w:rPr>
                <w:sz w:val="14"/>
                <w:szCs w:val="16"/>
              </w:rPr>
              <w:t>All energy use including fossil, renewable, electrical and feedstock (energy incorporated into materials such as plastic).</w:t>
            </w:r>
          </w:p>
        </w:tc>
        <w:tc>
          <w:tcPr>
            <w:tcW w:w="961" w:type="dxa"/>
            <w:vAlign w:val="center"/>
          </w:tcPr>
          <w:p w14:paraId="0D4943AB" w14:textId="77777777" w:rsidR="00B94188" w:rsidRPr="00B142A8" w:rsidRDefault="00B94188" w:rsidP="00B94188">
            <w:pPr>
              <w:spacing w:after="0"/>
              <w:jc w:val="center"/>
              <w:rPr>
                <w:sz w:val="14"/>
                <w:szCs w:val="16"/>
              </w:rPr>
            </w:pPr>
            <w:r w:rsidRPr="00B142A8">
              <w:rPr>
                <w:sz w:val="14"/>
                <w:szCs w:val="16"/>
              </w:rPr>
              <w:t>MJ (LHV)</w:t>
            </w:r>
          </w:p>
        </w:tc>
        <w:tc>
          <w:tcPr>
            <w:tcW w:w="3008" w:type="dxa"/>
            <w:vAlign w:val="center"/>
          </w:tcPr>
          <w:p w14:paraId="0D4943AC" w14:textId="77777777" w:rsidR="00B94188" w:rsidRPr="00B142A8" w:rsidRDefault="00B94188" w:rsidP="00C109BF">
            <w:pPr>
              <w:spacing w:after="0"/>
              <w:jc w:val="left"/>
              <w:rPr>
                <w:sz w:val="14"/>
                <w:szCs w:val="16"/>
              </w:rPr>
            </w:pPr>
            <w:r w:rsidRPr="00B142A8">
              <w:rPr>
                <w:sz w:val="14"/>
                <w:szCs w:val="16"/>
              </w:rPr>
              <w:t>It is common to discuss recycling in terms of the energy that we save by undertaking the activity. This indicator is included to allow this to be measured.</w:t>
            </w:r>
          </w:p>
        </w:tc>
      </w:tr>
      <w:tr w:rsidR="00B94188" w:rsidRPr="001F0FBA" w14:paraId="0D4943B2" w14:textId="77777777" w:rsidTr="00B94188">
        <w:tc>
          <w:tcPr>
            <w:tcW w:w="1266" w:type="dxa"/>
            <w:vAlign w:val="center"/>
          </w:tcPr>
          <w:p w14:paraId="0D4943AE" w14:textId="77777777" w:rsidR="00B94188" w:rsidRPr="00B142A8" w:rsidRDefault="00B94188" w:rsidP="00B94188">
            <w:pPr>
              <w:spacing w:after="0"/>
              <w:jc w:val="center"/>
              <w:rPr>
                <w:sz w:val="14"/>
                <w:szCs w:val="16"/>
              </w:rPr>
            </w:pPr>
            <w:r w:rsidRPr="00B142A8">
              <w:rPr>
                <w:sz w:val="14"/>
                <w:szCs w:val="16"/>
              </w:rPr>
              <w:t>Solid waste</w:t>
            </w:r>
          </w:p>
        </w:tc>
        <w:tc>
          <w:tcPr>
            <w:tcW w:w="4512" w:type="dxa"/>
            <w:vAlign w:val="center"/>
          </w:tcPr>
          <w:p w14:paraId="0D4943AF" w14:textId="77777777" w:rsidR="00B94188" w:rsidRPr="00B142A8" w:rsidRDefault="00B94188" w:rsidP="00C109BF">
            <w:pPr>
              <w:spacing w:after="0"/>
              <w:jc w:val="left"/>
              <w:rPr>
                <w:sz w:val="14"/>
                <w:szCs w:val="16"/>
              </w:rPr>
            </w:pPr>
            <w:r w:rsidRPr="00B142A8">
              <w:rPr>
                <w:sz w:val="14"/>
                <w:szCs w:val="16"/>
              </w:rPr>
              <w:t>Net solid waste generated. Total of all solid waste generated by the processes considered.</w:t>
            </w:r>
          </w:p>
        </w:tc>
        <w:tc>
          <w:tcPr>
            <w:tcW w:w="961" w:type="dxa"/>
            <w:vAlign w:val="center"/>
          </w:tcPr>
          <w:p w14:paraId="0D4943B0" w14:textId="77777777" w:rsidR="00B94188" w:rsidRPr="00B142A8" w:rsidRDefault="00B94188" w:rsidP="00B94188">
            <w:pPr>
              <w:spacing w:after="0"/>
              <w:jc w:val="center"/>
              <w:rPr>
                <w:sz w:val="14"/>
                <w:szCs w:val="16"/>
              </w:rPr>
            </w:pPr>
            <w:r w:rsidRPr="00B142A8">
              <w:rPr>
                <w:sz w:val="14"/>
                <w:szCs w:val="16"/>
              </w:rPr>
              <w:t>kg</w:t>
            </w:r>
          </w:p>
        </w:tc>
        <w:tc>
          <w:tcPr>
            <w:tcW w:w="3008" w:type="dxa"/>
            <w:vAlign w:val="center"/>
          </w:tcPr>
          <w:p w14:paraId="0D4943B1" w14:textId="77777777" w:rsidR="00B94188" w:rsidRPr="00B142A8" w:rsidRDefault="00B94188" w:rsidP="00C109BF">
            <w:pPr>
              <w:spacing w:after="0"/>
              <w:jc w:val="left"/>
              <w:rPr>
                <w:sz w:val="14"/>
                <w:szCs w:val="16"/>
              </w:rPr>
            </w:pPr>
            <w:r w:rsidRPr="00B142A8">
              <w:rPr>
                <w:sz w:val="14"/>
                <w:szCs w:val="16"/>
              </w:rPr>
              <w:t>Solid waste generation and avoidance is of primary concern to the SV and is included to provide guidance as to the systemic waste impacts of recycling.</w:t>
            </w:r>
          </w:p>
        </w:tc>
      </w:tr>
      <w:tr w:rsidR="00B94188" w:rsidRPr="001F0FBA" w14:paraId="0D4943B7" w14:textId="77777777" w:rsidTr="00B94188">
        <w:tc>
          <w:tcPr>
            <w:tcW w:w="1266" w:type="dxa"/>
            <w:vAlign w:val="center"/>
          </w:tcPr>
          <w:p w14:paraId="0D4943B3" w14:textId="77777777" w:rsidR="00B94188" w:rsidRPr="00B142A8" w:rsidRDefault="00B94188" w:rsidP="00B94188">
            <w:pPr>
              <w:spacing w:after="0"/>
              <w:jc w:val="center"/>
              <w:rPr>
                <w:sz w:val="14"/>
                <w:szCs w:val="16"/>
              </w:rPr>
            </w:pPr>
            <w:r>
              <w:rPr>
                <w:sz w:val="14"/>
                <w:szCs w:val="16"/>
              </w:rPr>
              <w:t>Land use</w:t>
            </w:r>
          </w:p>
        </w:tc>
        <w:tc>
          <w:tcPr>
            <w:tcW w:w="4512" w:type="dxa"/>
            <w:vAlign w:val="center"/>
          </w:tcPr>
          <w:p w14:paraId="0D4943B4" w14:textId="77777777" w:rsidR="00B94188" w:rsidRPr="00B142A8" w:rsidRDefault="00B94188" w:rsidP="00C109BF">
            <w:pPr>
              <w:spacing w:after="0"/>
              <w:jc w:val="left"/>
              <w:rPr>
                <w:sz w:val="14"/>
                <w:szCs w:val="16"/>
              </w:rPr>
            </w:pPr>
            <w:r>
              <w:rPr>
                <w:sz w:val="14"/>
                <w:szCs w:val="16"/>
              </w:rPr>
              <w:t>Gross land use for unit processes under consideration. Actual environmental impact is not assessed.</w:t>
            </w:r>
          </w:p>
        </w:tc>
        <w:tc>
          <w:tcPr>
            <w:tcW w:w="961" w:type="dxa"/>
            <w:vAlign w:val="center"/>
          </w:tcPr>
          <w:p w14:paraId="0D4943B5" w14:textId="77777777" w:rsidR="00B94188" w:rsidRPr="00B142A8" w:rsidRDefault="00B94188" w:rsidP="00B94188">
            <w:pPr>
              <w:spacing w:after="0"/>
              <w:jc w:val="center"/>
              <w:rPr>
                <w:sz w:val="14"/>
                <w:szCs w:val="16"/>
              </w:rPr>
            </w:pPr>
            <w:r>
              <w:rPr>
                <w:sz w:val="14"/>
                <w:szCs w:val="16"/>
              </w:rPr>
              <w:t>Ha.a</w:t>
            </w:r>
          </w:p>
        </w:tc>
        <w:tc>
          <w:tcPr>
            <w:tcW w:w="3008" w:type="dxa"/>
            <w:vAlign w:val="center"/>
          </w:tcPr>
          <w:p w14:paraId="0D4943B6" w14:textId="77777777" w:rsidR="00B94188" w:rsidRPr="00B142A8" w:rsidRDefault="00B94188" w:rsidP="00C109BF">
            <w:pPr>
              <w:spacing w:after="0"/>
              <w:jc w:val="left"/>
              <w:rPr>
                <w:sz w:val="14"/>
                <w:szCs w:val="16"/>
              </w:rPr>
            </w:pPr>
            <w:r>
              <w:rPr>
                <w:sz w:val="14"/>
                <w:szCs w:val="16"/>
              </w:rPr>
              <w:t>Processes such as composting may avoid the use of significant land resources due to organics supply chains. Paper recycling may also provide such benefits.</w:t>
            </w:r>
          </w:p>
        </w:tc>
      </w:tr>
      <w:tr w:rsidR="00B94188" w:rsidRPr="001F0FBA" w14:paraId="0D4943BC" w14:textId="77777777" w:rsidTr="00B94188">
        <w:tc>
          <w:tcPr>
            <w:tcW w:w="1266" w:type="dxa"/>
            <w:vAlign w:val="center"/>
          </w:tcPr>
          <w:p w14:paraId="0D4943B8" w14:textId="77777777" w:rsidR="00B94188" w:rsidRPr="00B142A8" w:rsidRDefault="00B94188" w:rsidP="00B94188">
            <w:pPr>
              <w:spacing w:after="0"/>
              <w:jc w:val="center"/>
              <w:rPr>
                <w:sz w:val="14"/>
                <w:szCs w:val="16"/>
              </w:rPr>
            </w:pPr>
            <w:r w:rsidRPr="00B142A8">
              <w:rPr>
                <w:sz w:val="14"/>
                <w:szCs w:val="16"/>
              </w:rPr>
              <w:t>Water use</w:t>
            </w:r>
          </w:p>
        </w:tc>
        <w:tc>
          <w:tcPr>
            <w:tcW w:w="4512" w:type="dxa"/>
            <w:vAlign w:val="center"/>
          </w:tcPr>
          <w:p w14:paraId="0D4943B9" w14:textId="77777777" w:rsidR="00B94188" w:rsidRPr="00B142A8" w:rsidRDefault="00B94188" w:rsidP="00C109BF">
            <w:pPr>
              <w:spacing w:after="0"/>
              <w:jc w:val="left"/>
              <w:rPr>
                <w:sz w:val="14"/>
                <w:szCs w:val="16"/>
              </w:rPr>
            </w:pPr>
            <w:r w:rsidRPr="00B142A8">
              <w:rPr>
                <w:sz w:val="14"/>
                <w:szCs w:val="16"/>
              </w:rPr>
              <w:t>Gross water use. Total of all water used by the processes considered. The use of water in hydropower plant is excluded.</w:t>
            </w:r>
          </w:p>
        </w:tc>
        <w:tc>
          <w:tcPr>
            <w:tcW w:w="961" w:type="dxa"/>
            <w:vAlign w:val="center"/>
          </w:tcPr>
          <w:p w14:paraId="0D4943BA" w14:textId="77777777" w:rsidR="00B94188" w:rsidRPr="00B142A8" w:rsidRDefault="00B94188" w:rsidP="00B94188">
            <w:pPr>
              <w:spacing w:after="0"/>
              <w:jc w:val="center"/>
              <w:rPr>
                <w:sz w:val="14"/>
                <w:szCs w:val="16"/>
              </w:rPr>
            </w:pPr>
            <w:r w:rsidRPr="00B142A8">
              <w:rPr>
                <w:sz w:val="14"/>
                <w:szCs w:val="16"/>
              </w:rPr>
              <w:t>kL H</w:t>
            </w:r>
            <w:r w:rsidRPr="00B142A8">
              <w:rPr>
                <w:sz w:val="14"/>
                <w:szCs w:val="16"/>
                <w:vertAlign w:val="subscript"/>
              </w:rPr>
              <w:t>2</w:t>
            </w:r>
            <w:r w:rsidRPr="00B142A8">
              <w:rPr>
                <w:sz w:val="14"/>
                <w:szCs w:val="16"/>
              </w:rPr>
              <w:t>O</w:t>
            </w:r>
          </w:p>
        </w:tc>
        <w:tc>
          <w:tcPr>
            <w:tcW w:w="3008" w:type="dxa"/>
            <w:vAlign w:val="center"/>
          </w:tcPr>
          <w:p w14:paraId="0D4943BB" w14:textId="77777777" w:rsidR="00B94188" w:rsidRPr="00B142A8" w:rsidRDefault="00B94188" w:rsidP="00C109BF">
            <w:pPr>
              <w:spacing w:after="0"/>
              <w:jc w:val="left"/>
              <w:rPr>
                <w:sz w:val="14"/>
                <w:szCs w:val="16"/>
              </w:rPr>
            </w:pPr>
            <w:r w:rsidRPr="00B142A8">
              <w:rPr>
                <w:sz w:val="14"/>
                <w:szCs w:val="16"/>
              </w:rPr>
              <w:t>Although a rudimentary indicator of impact, water use provides direct visibility of system water impacts, particularly relevant to Victoria which has been subject to water scarcity issues in the past. The indicator could serve to measure resource scarcity or environmental impacts</w:t>
            </w:r>
          </w:p>
        </w:tc>
      </w:tr>
    </w:tbl>
    <w:p w14:paraId="0D4943BD" w14:textId="77777777" w:rsidR="00B94188" w:rsidRPr="00F129EC" w:rsidRDefault="00B94188" w:rsidP="00B94188">
      <w:pPr>
        <w:pStyle w:val="Heading1"/>
        <w:pageBreakBefore w:val="0"/>
        <w:spacing w:before="240"/>
      </w:pPr>
      <w:bookmarkStart w:id="97" w:name="_Toc343853120"/>
      <w:bookmarkStart w:id="98" w:name="OLE_LINK1"/>
      <w:bookmarkStart w:id="99" w:name="OLE_LINK2"/>
      <w:bookmarkStart w:id="100" w:name="_Toc433964547"/>
      <w:r w:rsidRPr="00F129EC">
        <w:t>Methodology</w:t>
      </w:r>
      <w:bookmarkEnd w:id="97"/>
      <w:bookmarkEnd w:id="100"/>
    </w:p>
    <w:bookmarkEnd w:id="98"/>
    <w:bookmarkEnd w:id="99"/>
    <w:p w14:paraId="0D4943BE" w14:textId="33D26709" w:rsidR="00B94188" w:rsidRDefault="00D07733" w:rsidP="00B94188">
      <w:pPr>
        <w:spacing w:before="240"/>
      </w:pPr>
      <w:r>
        <w:t>LCA</w:t>
      </w:r>
      <w:r w:rsidR="00B94188" w:rsidRPr="00474B2D">
        <w:t xml:space="preserve"> has been used as the core method for determining the potential environmental impacts of the </w:t>
      </w:r>
      <w:r w:rsidR="00B94188">
        <w:t>products</w:t>
      </w:r>
      <w:r w:rsidR="00B94188" w:rsidRPr="00474B2D">
        <w:t xml:space="preserve"> considered. LCA has been applied in accordance with ISO 14040:2006. Refer to </w:t>
      </w:r>
      <w:r w:rsidR="005840CC">
        <w:fldChar w:fldCharType="begin"/>
      </w:r>
      <w:r w:rsidR="005840CC">
        <w:instrText xml:space="preserve"> REF _Ref360135617 \h </w:instrText>
      </w:r>
      <w:r w:rsidR="005840CC">
        <w:fldChar w:fldCharType="separate"/>
      </w:r>
      <w:r w:rsidR="00564E5C">
        <w:t>Appendix A – Life Cycle Assessment and Recycling</w:t>
      </w:r>
      <w:r w:rsidR="005840CC">
        <w:fldChar w:fldCharType="end"/>
      </w:r>
      <w:r w:rsidR="005840CC">
        <w:t xml:space="preserve"> </w:t>
      </w:r>
      <w:r w:rsidR="00B94188" w:rsidRPr="00474B2D">
        <w:t>for a</w:t>
      </w:r>
      <w:r w:rsidR="005840CC">
        <w:t xml:space="preserve"> description of the LCA process and how it is used in the study of recycling systems.</w:t>
      </w:r>
    </w:p>
    <w:p w14:paraId="0D4943BF" w14:textId="5421E79C" w:rsidR="00B94188" w:rsidRDefault="00B94188" w:rsidP="00B94188">
      <w:r>
        <w:t xml:space="preserve">In determining the benefits of recycling a comparative model, </w:t>
      </w:r>
      <w:r w:rsidR="00284E17">
        <w:t>similar to that</w:t>
      </w:r>
      <w:r>
        <w:t xml:space="preserve"> used in </w:t>
      </w:r>
      <w:r>
        <w:fldChar w:fldCharType="begin"/>
      </w:r>
      <w:r w:rsidR="00F40CE2">
        <w:instrText xml:space="preserve"> ADDIN EN.CITE &lt;EndNote&gt;&lt;Cite AuthorYear="1"&gt;&lt;Author&gt;Grant&lt;/Author&gt;&lt;Year&gt;2001&lt;/Year&gt;&lt;RecNum&gt;25&lt;/RecNum&gt;&lt;DisplayText&gt;Grant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fldChar w:fldCharType="separate"/>
      </w:r>
      <w:hyperlink w:anchor="_ENREF_35" w:tooltip="Grant, 2001 #262" w:history="1">
        <w:r w:rsidR="00F40CE2">
          <w:rPr>
            <w:noProof/>
          </w:rPr>
          <w:t>Grant et al. (2001a</w:t>
        </w:r>
      </w:hyperlink>
      <w:r w:rsidR="00F40CE2">
        <w:rPr>
          <w:noProof/>
        </w:rPr>
        <w:t>)</w:t>
      </w:r>
      <w:r>
        <w:fldChar w:fldCharType="end"/>
      </w:r>
      <w:r>
        <w:t xml:space="preserve">, </w:t>
      </w:r>
      <w:r w:rsidR="00BB3054">
        <w:t>has been</w:t>
      </w:r>
      <w:r>
        <w:t xml:space="preserve"> employed. The model is based upon the assumption that waste directed to recycling would otherwise end up in landfill. This assumption then governs a definition of recycling benefit which is eq</w:t>
      </w:r>
      <w:r w:rsidR="00D07733">
        <w:t>ual</w:t>
      </w:r>
      <w:r>
        <w:t xml:space="preserve"> to the impact of the Recycling System, less the avoided impacts of the Alternative System. The resulting definition of recycling benefit is as described in</w:t>
      </w:r>
      <w:r w:rsidR="00284E17">
        <w:t xml:space="preserve"> </w:t>
      </w:r>
      <w:r w:rsidR="00284E17">
        <w:fldChar w:fldCharType="begin"/>
      </w:r>
      <w:r w:rsidR="00284E17">
        <w:instrText xml:space="preserve"> REF _Ref362720906 \h </w:instrText>
      </w:r>
      <w:r w:rsidR="00284E17">
        <w:fldChar w:fldCharType="separate"/>
      </w:r>
      <w:r w:rsidR="00564E5C">
        <w:t xml:space="preserve">Figure </w:t>
      </w:r>
      <w:r w:rsidR="00564E5C">
        <w:rPr>
          <w:noProof/>
        </w:rPr>
        <w:t>9</w:t>
      </w:r>
      <w:r w:rsidR="00284E17">
        <w:fldChar w:fldCharType="end"/>
      </w:r>
      <w:r>
        <w:t>.</w:t>
      </w:r>
    </w:p>
    <w:p w14:paraId="162446CE" w14:textId="77777777" w:rsidR="00284E17" w:rsidRDefault="00284E17" w:rsidP="00284E17">
      <w:pPr>
        <w:keepNext/>
        <w:jc w:val="center"/>
      </w:pPr>
      <w:r w:rsidRPr="00734576">
        <w:rPr>
          <w:noProof/>
        </w:rPr>
        <w:lastRenderedPageBreak/>
        <w:drawing>
          <wp:inline distT="0" distB="0" distL="0" distR="0" wp14:anchorId="590EE8B6" wp14:editId="2C02778B">
            <wp:extent cx="6132352" cy="716373"/>
            <wp:effectExtent l="0" t="0" r="190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0"/>
                    <a:stretch/>
                  </pic:blipFill>
                  <pic:spPr bwMode="auto">
                    <a:xfrm>
                      <a:off x="0" y="0"/>
                      <a:ext cx="6122427" cy="715214"/>
                    </a:xfrm>
                    <a:prstGeom prst="rect">
                      <a:avLst/>
                    </a:prstGeom>
                    <a:noFill/>
                    <a:ln>
                      <a:noFill/>
                    </a:ln>
                    <a:extLst>
                      <a:ext uri="{53640926-AAD7-44D8-BBD7-CCE9431645EC}">
                        <a14:shadowObscured xmlns:a14="http://schemas.microsoft.com/office/drawing/2010/main"/>
                      </a:ext>
                    </a:extLst>
                  </pic:spPr>
                </pic:pic>
              </a:graphicData>
            </a:graphic>
          </wp:inline>
        </w:drawing>
      </w:r>
    </w:p>
    <w:p w14:paraId="08BD1658" w14:textId="691BAFC5" w:rsidR="00284E17" w:rsidRDefault="00284E17" w:rsidP="00284E17">
      <w:pPr>
        <w:pStyle w:val="Caption"/>
      </w:pPr>
      <w:bookmarkStart w:id="101" w:name="_Ref362720906"/>
      <w:r>
        <w:t xml:space="preserve">Figure </w:t>
      </w:r>
      <w:r w:rsidR="00FC7DE2">
        <w:fldChar w:fldCharType="begin"/>
      </w:r>
      <w:r w:rsidR="00FC7DE2">
        <w:instrText xml:space="preserve"> SEQ Figure \* ARABIC </w:instrText>
      </w:r>
      <w:r w:rsidR="00FC7DE2">
        <w:fldChar w:fldCharType="separate"/>
      </w:r>
      <w:r w:rsidR="00564E5C">
        <w:rPr>
          <w:noProof/>
        </w:rPr>
        <w:t>9</w:t>
      </w:r>
      <w:r w:rsidR="00FC7DE2">
        <w:rPr>
          <w:noProof/>
        </w:rPr>
        <w:fldChar w:fldCharType="end"/>
      </w:r>
      <w:bookmarkEnd w:id="101"/>
      <w:r>
        <w:rPr>
          <w:lang w:val="en-AU"/>
        </w:rPr>
        <w:t xml:space="preserve"> Definition of recycling benefit adapted from </w:t>
      </w:r>
      <w:r w:rsidRPr="00E01343">
        <w:rPr>
          <w:lang w:val="en-AU"/>
        </w:rPr>
        <w:t xml:space="preserve">Grant et al </w:t>
      </w:r>
      <w:r>
        <w:rPr>
          <w:lang w:val="en-AU"/>
        </w:rPr>
        <w:fldChar w:fldCharType="begin"/>
      </w:r>
      <w:r w:rsidR="00F40CE2">
        <w:rPr>
          <w:lang w:val="en-AU"/>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val="en-AU"/>
        </w:rPr>
        <w:fldChar w:fldCharType="separate"/>
      </w:r>
      <w:r w:rsidR="00F40CE2">
        <w:rPr>
          <w:noProof/>
          <w:lang w:val="en-AU"/>
        </w:rPr>
        <w:t>(</w:t>
      </w:r>
      <w:hyperlink w:anchor="_ENREF_35" w:tooltip="Grant, 2001 #262" w:history="1">
        <w:r w:rsidR="00F40CE2">
          <w:rPr>
            <w:noProof/>
            <w:lang w:val="en-AU"/>
          </w:rPr>
          <w:t>2001a</w:t>
        </w:r>
      </w:hyperlink>
      <w:r w:rsidR="00F40CE2">
        <w:rPr>
          <w:noProof/>
          <w:lang w:val="en-AU"/>
        </w:rPr>
        <w:t>)</w:t>
      </w:r>
      <w:r>
        <w:rPr>
          <w:lang w:val="en-AU"/>
        </w:rPr>
        <w:fldChar w:fldCharType="end"/>
      </w:r>
      <w:r>
        <w:rPr>
          <w:lang w:val="en-AU"/>
        </w:rPr>
        <w:t>.</w:t>
      </w:r>
    </w:p>
    <w:p w14:paraId="30870DB8" w14:textId="77777777" w:rsidR="00284E17" w:rsidRDefault="00284E17" w:rsidP="00284E17">
      <w:pPr>
        <w:spacing w:after="0"/>
      </w:pPr>
    </w:p>
    <w:p w14:paraId="0D4943C1" w14:textId="1C19AC5B" w:rsidR="00B94188" w:rsidRDefault="00B94188" w:rsidP="00F4226B">
      <w:r>
        <w:t xml:space="preserve">In determining the impacts of the existing system, a fundamentally attributional approach </w:t>
      </w:r>
      <w:r w:rsidR="00BB3054">
        <w:t>has</w:t>
      </w:r>
      <w:r>
        <w:t xml:space="preserve"> be</w:t>
      </w:r>
      <w:r w:rsidR="00BB3054">
        <w:t>en</w:t>
      </w:r>
      <w:r>
        <w:t xml:space="preserve"> employed that characterises impacts based on the existing systems operation.</w:t>
      </w:r>
      <w:r w:rsidR="00284E17">
        <w:t xml:space="preserve"> This </w:t>
      </w:r>
      <w:r w:rsidR="00F4226B">
        <w:t>method</w:t>
      </w:r>
      <w:r w:rsidR="00284E17">
        <w:t xml:space="preserve"> has been complemented by a sub-study which takes a consequential approach which </w:t>
      </w:r>
      <w:r w:rsidR="00F4226B">
        <w:t>seeks</w:t>
      </w:r>
      <w:r w:rsidR="00284E17">
        <w:t xml:space="preserve"> to </w:t>
      </w:r>
      <w:r w:rsidR="00F4226B">
        <w:t xml:space="preserve">forecast how systems might react to changes in future. This review primarily considers the assumption that materials recovered by the Recycling System necessarily displace materials produced from virgin resources. </w:t>
      </w:r>
      <w:r w:rsidR="00BB3054">
        <w:t xml:space="preserve">This approach </w:t>
      </w:r>
      <w:r>
        <w:t>undertake</w:t>
      </w:r>
      <w:r w:rsidR="00BB3054">
        <w:t>s</w:t>
      </w:r>
      <w:r>
        <w:t xml:space="preserve"> to determine consequential outcomes associated with increased recycling rates based on available market information (utilising techniques described in </w:t>
      </w:r>
      <w:r>
        <w:fldChar w:fldCharType="begin"/>
      </w:r>
      <w:r w:rsidR="00F40CE2">
        <w:instrText xml:space="preserve"> ADDIN EN.CITE &lt;EndNote&gt;&lt;Cite&gt;&lt;Author&gt;Weidema&lt;/Author&gt;&lt;Year&gt;2003&lt;/Year&gt;&lt;RecNum&gt;45&lt;/RecNum&gt;&lt;DisplayText&gt;(Weidema, 2003)&lt;/DisplayText&gt;&lt;record&gt;&lt;rec-number&gt;45&lt;/rec-number&gt;&lt;foreign-keys&gt;&lt;key app="EN" db-id="tfpv5staxsvs2nexzpp5taewzsvpx0er5fap"&gt;45&lt;/key&gt;&lt;/foreign-keys&gt;&lt;ref-type name="Book"&gt;6&lt;/ref-type&gt;&lt;contributors&gt;&lt;authors&gt;&lt;author&gt;B. Weidema&lt;/author&gt;&lt;/authors&gt;&lt;/contributors&gt;&lt;titles&gt;&lt;title&gt;Environmental Project No. 863 - Market Information in Life Cycle Assessment&lt;/title&gt;&lt;/titles&gt;&lt;dates&gt;&lt;year&gt;2003&lt;/year&gt;&lt;/dates&gt;&lt;pub-location&gt;Denmark&lt;/pub-location&gt;&lt;publisher&gt;Danish Environmental Protection Agency&lt;/publisher&gt;&lt;urls&gt;&lt;/urls&gt;&lt;/record&gt;&lt;/Cite&gt;&lt;/EndNote&gt;</w:instrText>
      </w:r>
      <w:r>
        <w:fldChar w:fldCharType="separate"/>
      </w:r>
      <w:r w:rsidR="00F40CE2">
        <w:rPr>
          <w:noProof/>
        </w:rPr>
        <w:t>(</w:t>
      </w:r>
      <w:hyperlink w:anchor="_ENREF_84" w:tooltip="Weidema, 2003 #45" w:history="1">
        <w:r w:rsidR="00F40CE2">
          <w:rPr>
            <w:noProof/>
          </w:rPr>
          <w:t>Weidema, 2003</w:t>
        </w:r>
      </w:hyperlink>
      <w:r w:rsidR="00F40CE2">
        <w:rPr>
          <w:noProof/>
        </w:rPr>
        <w:t>)</w:t>
      </w:r>
      <w:r>
        <w:fldChar w:fldCharType="end"/>
      </w:r>
      <w:r w:rsidR="00F4226B">
        <w:t>.</w:t>
      </w:r>
    </w:p>
    <w:p w14:paraId="0D4943C2" w14:textId="77777777" w:rsidR="00B94188" w:rsidRPr="00F129EC" w:rsidRDefault="00B94188" w:rsidP="00B94188">
      <w:pPr>
        <w:pStyle w:val="Heading1"/>
        <w:pageBreakBefore w:val="0"/>
        <w:spacing w:before="240"/>
      </w:pPr>
      <w:bookmarkStart w:id="102" w:name="_Ref343770042"/>
      <w:bookmarkStart w:id="103" w:name="_Toc343853123"/>
      <w:bookmarkStart w:id="104" w:name="_Toc433964548"/>
      <w:r>
        <w:t>Study Limitations</w:t>
      </w:r>
      <w:bookmarkEnd w:id="102"/>
      <w:bookmarkEnd w:id="103"/>
      <w:bookmarkEnd w:id="104"/>
    </w:p>
    <w:p w14:paraId="0D4943C3" w14:textId="0D172F2A" w:rsidR="00B94188" w:rsidRDefault="00B94188" w:rsidP="00B94188">
      <w:r>
        <w:t>By employing the LCA methodology, the study seek</w:t>
      </w:r>
      <w:r w:rsidR="00553C56">
        <w:t>s</w:t>
      </w:r>
      <w:r>
        <w:t xml:space="preserve"> to quantify </w:t>
      </w:r>
      <w:r w:rsidRPr="00553C56">
        <w:rPr>
          <w:u w:val="single"/>
        </w:rPr>
        <w:t>potential</w:t>
      </w:r>
      <w:r>
        <w:t xml:space="preserve"> rather than actual environmental impacts. The approach </w:t>
      </w:r>
      <w:r w:rsidR="00553C56">
        <w:t xml:space="preserve">is therefore </w:t>
      </w:r>
      <w:r>
        <w:t xml:space="preserve">useful in understanding the general impacts associated with the functional unit, however </w:t>
      </w:r>
      <w:r w:rsidR="00553C56">
        <w:t xml:space="preserve">is </w:t>
      </w:r>
      <w:r>
        <w:t xml:space="preserve">not sufficiently detailed to predict actual environmental impacts </w:t>
      </w:r>
      <w:r w:rsidR="00F4226B">
        <w:t>at a particular facility.</w:t>
      </w:r>
    </w:p>
    <w:p w14:paraId="2822EC7D" w14:textId="222CB74A" w:rsidR="006F6A8F" w:rsidRDefault="006F6A8F" w:rsidP="00B94188">
      <w:r>
        <w:t xml:space="preserve">The assessment method employed addresses nine impact indicators. These indicators provide useful information regarding system impacts, however are incomplete. Many environmental impacts are not addressed by these indicators, such impacts to biodiversity, soil salinity, human toxicity etc. It is therefore important to interpret the study findings as only a partial </w:t>
      </w:r>
      <w:r w:rsidR="00284E17">
        <w:t xml:space="preserve">environmental </w:t>
      </w:r>
      <w:r>
        <w:t>picture</w:t>
      </w:r>
      <w:r w:rsidR="00284E17">
        <w:t>.</w:t>
      </w:r>
    </w:p>
    <w:p w14:paraId="0D4943C5" w14:textId="44DD88C0" w:rsidR="00B94188" w:rsidRDefault="00E85758" w:rsidP="00B94188">
      <w:r>
        <w:t>T</w:t>
      </w:r>
      <w:r w:rsidR="00B94188">
        <w:t>he study is not designed to be an economic study of recycling and should not be used in an economic context to model scenarios beyond those directly considered.</w:t>
      </w:r>
    </w:p>
    <w:p w14:paraId="0D4943C6" w14:textId="1CB97113" w:rsidR="00B94188" w:rsidRDefault="00B94188" w:rsidP="00B94188">
      <w:r>
        <w:t xml:space="preserve">Like all studies of its type, it is also limited by the availability and quality of the information used to undertake the study. An assessment of data quality </w:t>
      </w:r>
      <w:r w:rsidR="00553C56">
        <w:t>has been</w:t>
      </w:r>
      <w:r>
        <w:t xml:space="preserve"> undertaken along with sensitivity analysis</w:t>
      </w:r>
      <w:r w:rsidR="00D07733">
        <w:t>,</w:t>
      </w:r>
      <w:r>
        <w:t xml:space="preserve"> where appropriate</w:t>
      </w:r>
      <w:r w:rsidR="00D07733">
        <w:t>,</w:t>
      </w:r>
      <w:r>
        <w:t xml:space="preserve"> to highlight areas where study conclusions need to be tempered.</w:t>
      </w:r>
    </w:p>
    <w:p w14:paraId="0D4943C7" w14:textId="77777777" w:rsidR="00B94188" w:rsidRDefault="00BB3054" w:rsidP="00E901EC">
      <w:pPr>
        <w:pStyle w:val="Heading1"/>
        <w:rPr>
          <w:lang w:val="en-AU"/>
        </w:rPr>
      </w:pPr>
      <w:bookmarkStart w:id="105" w:name="_Ref360533919"/>
      <w:bookmarkStart w:id="106" w:name="_Toc433964549"/>
      <w:r>
        <w:rPr>
          <w:lang w:val="en-AU"/>
        </w:rPr>
        <w:lastRenderedPageBreak/>
        <w:t>Inventory</w:t>
      </w:r>
      <w:bookmarkEnd w:id="105"/>
      <w:bookmarkEnd w:id="106"/>
    </w:p>
    <w:p w14:paraId="0D4943C8" w14:textId="2B1EB09C" w:rsidR="003372DB" w:rsidRDefault="00A61C9D" w:rsidP="00BB3054">
      <w:pPr>
        <w:rPr>
          <w:lang w:eastAsia="x-none"/>
        </w:rPr>
      </w:pPr>
      <w:r w:rsidRPr="00A61C9D">
        <w:rPr>
          <w:lang w:eastAsia="x-none"/>
        </w:rPr>
        <w:t xml:space="preserve">Each of the </w:t>
      </w:r>
      <w:r>
        <w:rPr>
          <w:lang w:eastAsia="x-none"/>
        </w:rPr>
        <w:t>unit processes with</w:t>
      </w:r>
      <w:r w:rsidR="005840CC">
        <w:rPr>
          <w:lang w:eastAsia="x-none"/>
        </w:rPr>
        <w:t>in</w:t>
      </w:r>
      <w:r>
        <w:rPr>
          <w:lang w:eastAsia="x-none"/>
        </w:rPr>
        <w:t xml:space="preserve"> the system boundary (</w:t>
      </w:r>
      <w:r>
        <w:rPr>
          <w:lang w:eastAsia="x-none"/>
        </w:rPr>
        <w:fldChar w:fldCharType="begin"/>
      </w:r>
      <w:r>
        <w:rPr>
          <w:lang w:eastAsia="x-none"/>
        </w:rPr>
        <w:instrText xml:space="preserve"> REF _Ref358407972 \h </w:instrText>
      </w:r>
      <w:r>
        <w:rPr>
          <w:lang w:eastAsia="x-none"/>
        </w:rPr>
      </w:r>
      <w:r>
        <w:rPr>
          <w:lang w:eastAsia="x-none"/>
        </w:rPr>
        <w:fldChar w:fldCharType="separate"/>
      </w:r>
      <w:r w:rsidR="00564E5C">
        <w:t xml:space="preserve">Figure </w:t>
      </w:r>
      <w:r w:rsidR="00564E5C">
        <w:rPr>
          <w:noProof/>
        </w:rPr>
        <w:t>8</w:t>
      </w:r>
      <w:r>
        <w:rPr>
          <w:lang w:eastAsia="x-none"/>
        </w:rPr>
        <w:fldChar w:fldCharType="end"/>
      </w:r>
      <w:r>
        <w:rPr>
          <w:lang w:eastAsia="x-none"/>
        </w:rPr>
        <w:t>) were studied in detail and a mix of primary and secondary data w</w:t>
      </w:r>
      <w:r w:rsidR="007045EE">
        <w:rPr>
          <w:lang w:eastAsia="x-none"/>
        </w:rPr>
        <w:t>ere</w:t>
      </w:r>
      <w:r>
        <w:rPr>
          <w:lang w:eastAsia="x-none"/>
        </w:rPr>
        <w:t xml:space="preserve"> used to develop an inventory of elementary flows. The inventory is based upon the input </w:t>
      </w:r>
      <w:r w:rsidR="00C109BF">
        <w:rPr>
          <w:lang w:eastAsia="x-none"/>
        </w:rPr>
        <w:t>reference</w:t>
      </w:r>
      <w:r>
        <w:rPr>
          <w:lang w:eastAsia="x-none"/>
        </w:rPr>
        <w:t xml:space="preserve"> flow of material described by the functional unit (Section </w:t>
      </w:r>
      <w:r>
        <w:rPr>
          <w:lang w:eastAsia="x-none"/>
        </w:rPr>
        <w:fldChar w:fldCharType="begin"/>
      </w:r>
      <w:r>
        <w:rPr>
          <w:lang w:eastAsia="x-none"/>
        </w:rPr>
        <w:instrText xml:space="preserve"> REF _Ref343847584 \r \h </w:instrText>
      </w:r>
      <w:r>
        <w:rPr>
          <w:lang w:eastAsia="x-none"/>
        </w:rPr>
      </w:r>
      <w:r>
        <w:rPr>
          <w:lang w:eastAsia="x-none"/>
        </w:rPr>
        <w:fldChar w:fldCharType="separate"/>
      </w:r>
      <w:r w:rsidR="00564E5C">
        <w:rPr>
          <w:lang w:eastAsia="x-none"/>
        </w:rPr>
        <w:t>5.2</w:t>
      </w:r>
      <w:r>
        <w:rPr>
          <w:lang w:eastAsia="x-none"/>
        </w:rPr>
        <w:fldChar w:fldCharType="end"/>
      </w:r>
      <w:r w:rsidR="00C109BF">
        <w:rPr>
          <w:lang w:eastAsia="x-none"/>
        </w:rPr>
        <w:t>)</w:t>
      </w:r>
      <w:r>
        <w:rPr>
          <w:lang w:eastAsia="x-none"/>
        </w:rPr>
        <w:t>. The core processes considered by the inventory are as follows:</w:t>
      </w:r>
    </w:p>
    <w:p w14:paraId="0D4943C9" w14:textId="536A268A" w:rsidR="00A61C9D" w:rsidRPr="00FC60D8" w:rsidRDefault="00A61C9D" w:rsidP="00A61C9D">
      <w:pPr>
        <w:rPr>
          <w:b/>
          <w:u w:val="single"/>
          <w:lang w:eastAsia="x-none"/>
        </w:rPr>
      </w:pPr>
      <w:r w:rsidRPr="00FC60D8">
        <w:rPr>
          <w:b/>
          <w:u w:val="single"/>
          <w:lang w:eastAsia="x-none"/>
        </w:rPr>
        <w:t>Recycling System processes</w:t>
      </w:r>
    </w:p>
    <w:p w14:paraId="0D4943CA" w14:textId="67A2CD69" w:rsidR="00A61C9D" w:rsidRDefault="00A61C9D" w:rsidP="00A61C9D">
      <w:pPr>
        <w:ind w:left="720"/>
        <w:rPr>
          <w:lang w:eastAsia="x-none"/>
        </w:rPr>
      </w:pPr>
      <w:r w:rsidRPr="00BC2F22">
        <w:rPr>
          <w:b/>
          <w:lang w:eastAsia="x-none"/>
        </w:rPr>
        <w:t xml:space="preserve">Collection </w:t>
      </w:r>
      <w:r>
        <w:rPr>
          <w:lang w:eastAsia="x-none"/>
        </w:rPr>
        <w:t>– operation of trucks to collect bins and transport waste materials from the kerbside to the MRF, or for garden waste, transport to the organics reprocessor.</w:t>
      </w:r>
    </w:p>
    <w:p w14:paraId="0D4943CB" w14:textId="425D64AB" w:rsidR="00A61C9D" w:rsidRDefault="00A61C9D" w:rsidP="00A61C9D">
      <w:pPr>
        <w:ind w:left="720"/>
        <w:rPr>
          <w:lang w:eastAsia="x-none"/>
        </w:rPr>
      </w:pPr>
      <w:r w:rsidRPr="00BC2F22">
        <w:rPr>
          <w:b/>
          <w:lang w:eastAsia="x-none"/>
        </w:rPr>
        <w:t>Sorting</w:t>
      </w:r>
      <w:r>
        <w:rPr>
          <w:lang w:eastAsia="x-none"/>
        </w:rPr>
        <w:t xml:space="preserve"> – operation of the MRF, including the di</w:t>
      </w:r>
      <w:r w:rsidR="00BC2F22">
        <w:rPr>
          <w:lang w:eastAsia="x-none"/>
        </w:rPr>
        <w:t>sposal of contaminant materials (not required for green and organics). Landfill burdens associated with disposing of contaminants are included in this process.</w:t>
      </w:r>
    </w:p>
    <w:p w14:paraId="0D4943CC" w14:textId="49629245" w:rsidR="00A61C9D" w:rsidRDefault="009175F6" w:rsidP="00A61C9D">
      <w:pPr>
        <w:ind w:left="720"/>
        <w:rPr>
          <w:lang w:eastAsia="x-none"/>
        </w:rPr>
      </w:pPr>
      <w:r>
        <w:rPr>
          <w:b/>
          <w:lang w:eastAsia="x-none"/>
        </w:rPr>
        <w:t xml:space="preserve">Local </w:t>
      </w:r>
      <w:r w:rsidR="00A61C9D" w:rsidRPr="00BC2F22">
        <w:rPr>
          <w:b/>
          <w:lang w:eastAsia="x-none"/>
        </w:rPr>
        <w:t>Reprocess</w:t>
      </w:r>
      <w:r>
        <w:rPr>
          <w:b/>
          <w:lang w:eastAsia="x-none"/>
        </w:rPr>
        <w:t>ing</w:t>
      </w:r>
      <w:r w:rsidR="00A61C9D">
        <w:rPr>
          <w:lang w:eastAsia="x-none"/>
        </w:rPr>
        <w:t xml:space="preserve"> – transport of sorted recyclate from the MRF to a local (within Australia) materials reprocessor. The process stage includes burdens associated with the reprocessing of the recyclate into useful material. For the garden waste, this process stage includes transport from the organics reprocessor to the farm and application </w:t>
      </w:r>
      <w:r w:rsidR="00BC2F22">
        <w:rPr>
          <w:lang w:eastAsia="x-none"/>
        </w:rPr>
        <w:t>of composted materials to soils</w:t>
      </w:r>
      <w:r w:rsidR="00A61C9D">
        <w:rPr>
          <w:lang w:eastAsia="x-none"/>
        </w:rPr>
        <w:t>.</w:t>
      </w:r>
      <w:r w:rsidR="00BC2F22">
        <w:rPr>
          <w:lang w:eastAsia="x-none"/>
        </w:rPr>
        <w:t xml:space="preserve"> Landfill burdens associated with disposing of contaminants (in sorted material from </w:t>
      </w:r>
      <w:r w:rsidR="00CB29BC">
        <w:rPr>
          <w:lang w:eastAsia="x-none"/>
        </w:rPr>
        <w:t xml:space="preserve">the </w:t>
      </w:r>
      <w:r w:rsidR="00BC2F22">
        <w:rPr>
          <w:lang w:eastAsia="x-none"/>
        </w:rPr>
        <w:t>MRF) are included in this process.</w:t>
      </w:r>
    </w:p>
    <w:p w14:paraId="0D4943CD" w14:textId="5305C767" w:rsidR="00A61C9D" w:rsidRDefault="00A61C9D" w:rsidP="00A61C9D">
      <w:pPr>
        <w:ind w:left="720"/>
        <w:rPr>
          <w:lang w:eastAsia="x-none"/>
        </w:rPr>
      </w:pPr>
      <w:r w:rsidRPr="00BC2F22">
        <w:rPr>
          <w:b/>
          <w:lang w:eastAsia="x-none"/>
        </w:rPr>
        <w:t>International</w:t>
      </w:r>
      <w:r w:rsidR="009175F6">
        <w:rPr>
          <w:b/>
          <w:lang w:eastAsia="x-none"/>
        </w:rPr>
        <w:t xml:space="preserve"> Reprocessing</w:t>
      </w:r>
      <w:r>
        <w:rPr>
          <w:lang w:eastAsia="x-none"/>
        </w:rPr>
        <w:t xml:space="preserve"> – includes transport of sorted recyclate from the MRF to an international reprocessor, as well as burdens associated with reprocessing.</w:t>
      </w:r>
      <w:r w:rsidR="00BC2F22" w:rsidRPr="00BC2F22">
        <w:rPr>
          <w:lang w:eastAsia="x-none"/>
        </w:rPr>
        <w:t xml:space="preserve"> </w:t>
      </w:r>
      <w:r w:rsidR="00BC2F22">
        <w:rPr>
          <w:lang w:eastAsia="x-none"/>
        </w:rPr>
        <w:t xml:space="preserve">Landfill burdens associated with disposing of contaminants (in sorted material from </w:t>
      </w:r>
      <w:r w:rsidR="00CB29BC">
        <w:rPr>
          <w:lang w:eastAsia="x-none"/>
        </w:rPr>
        <w:t xml:space="preserve">the </w:t>
      </w:r>
      <w:r w:rsidR="00BC2F22">
        <w:rPr>
          <w:lang w:eastAsia="x-none"/>
        </w:rPr>
        <w:t>MRF) are included in this process.</w:t>
      </w:r>
    </w:p>
    <w:p w14:paraId="662C8377" w14:textId="1FBF9DB3" w:rsidR="00BC2F22" w:rsidRDefault="00BC2F22" w:rsidP="00BC2F22">
      <w:pPr>
        <w:ind w:left="720"/>
        <w:rPr>
          <w:lang w:eastAsia="x-none"/>
        </w:rPr>
      </w:pPr>
      <w:r w:rsidRPr="00BC2F22">
        <w:rPr>
          <w:b/>
          <w:lang w:eastAsia="x-none"/>
        </w:rPr>
        <w:t>Carbon Storage</w:t>
      </w:r>
      <w:r w:rsidR="009175F6">
        <w:rPr>
          <w:b/>
          <w:lang w:eastAsia="x-none"/>
        </w:rPr>
        <w:t xml:space="preserve"> - Soil</w:t>
      </w:r>
      <w:r>
        <w:rPr>
          <w:lang w:eastAsia="x-none"/>
        </w:rPr>
        <w:t xml:space="preserve"> – refers to the increase in the carbon content of soils to which composted products are applied.</w:t>
      </w:r>
    </w:p>
    <w:p w14:paraId="0D4943CE" w14:textId="77777777" w:rsidR="00A61C9D" w:rsidRPr="00FC60D8" w:rsidRDefault="00A61C9D" w:rsidP="00A61C9D">
      <w:pPr>
        <w:rPr>
          <w:b/>
          <w:u w:val="single"/>
          <w:lang w:eastAsia="x-none"/>
        </w:rPr>
      </w:pPr>
      <w:r w:rsidRPr="00FC60D8">
        <w:rPr>
          <w:b/>
          <w:u w:val="single"/>
          <w:lang w:eastAsia="x-none"/>
        </w:rPr>
        <w:t>Alternative System processes</w:t>
      </w:r>
    </w:p>
    <w:p w14:paraId="32596CFF" w14:textId="654A658F" w:rsidR="00D90C0C" w:rsidRDefault="00D90C0C" w:rsidP="00D90C0C">
      <w:pPr>
        <w:ind w:left="720"/>
        <w:rPr>
          <w:lang w:eastAsia="x-none"/>
        </w:rPr>
      </w:pPr>
      <w:r w:rsidRPr="00BC2F22">
        <w:rPr>
          <w:b/>
          <w:lang w:eastAsia="x-none"/>
        </w:rPr>
        <w:t>Collection Landfill</w:t>
      </w:r>
      <w:r>
        <w:rPr>
          <w:lang w:eastAsia="x-none"/>
        </w:rPr>
        <w:t xml:space="preserve"> - operation of trucks to collect bins and transport an equivalent quantity of waste materials to that collected in the Recycling System from the kerbside to the landfill.</w:t>
      </w:r>
    </w:p>
    <w:p w14:paraId="79981D1C" w14:textId="616E60FC" w:rsidR="00D90C0C" w:rsidRDefault="00D90C0C" w:rsidP="00D90C0C">
      <w:pPr>
        <w:ind w:left="720"/>
        <w:rPr>
          <w:lang w:eastAsia="x-none"/>
        </w:rPr>
      </w:pPr>
      <w:r>
        <w:rPr>
          <w:b/>
          <w:lang w:eastAsia="x-none"/>
        </w:rPr>
        <w:t>Disposal</w:t>
      </w:r>
      <w:r w:rsidRPr="00BC2F22">
        <w:rPr>
          <w:b/>
          <w:lang w:eastAsia="x-none"/>
        </w:rPr>
        <w:t xml:space="preserve"> Operation</w:t>
      </w:r>
      <w:r>
        <w:rPr>
          <w:b/>
          <w:lang w:eastAsia="x-none"/>
        </w:rPr>
        <w:t>s</w:t>
      </w:r>
      <w:r>
        <w:rPr>
          <w:lang w:eastAsia="x-none"/>
        </w:rPr>
        <w:t xml:space="preserve"> – burdens associated with operation of landfill including the emissions from waste deposited</w:t>
      </w:r>
      <w:r w:rsidR="00CB29BC">
        <w:rPr>
          <w:lang w:eastAsia="x-none"/>
        </w:rPr>
        <w:t xml:space="preserve"> within the landfill structure, including</w:t>
      </w:r>
      <w:r>
        <w:rPr>
          <w:lang w:eastAsia="x-none"/>
        </w:rPr>
        <w:t xml:space="preserve"> an offset for electricity generation from landfill gas. Also includes burdens associated with alternative waste disposal options for green and garden waste (open burning and home composting).</w:t>
      </w:r>
    </w:p>
    <w:p w14:paraId="0D4943CF" w14:textId="6FABA472" w:rsidR="00A61C9D" w:rsidRDefault="00A61C9D" w:rsidP="00A61C9D">
      <w:pPr>
        <w:ind w:left="720"/>
        <w:rPr>
          <w:lang w:eastAsia="x-none"/>
        </w:rPr>
      </w:pPr>
      <w:r w:rsidRPr="00BC2F22">
        <w:rPr>
          <w:b/>
          <w:lang w:eastAsia="x-none"/>
        </w:rPr>
        <w:t>Local</w:t>
      </w:r>
      <w:r w:rsidR="009175F6">
        <w:rPr>
          <w:b/>
          <w:lang w:eastAsia="x-none"/>
        </w:rPr>
        <w:t xml:space="preserve"> Production</w:t>
      </w:r>
      <w:r>
        <w:rPr>
          <w:lang w:eastAsia="x-none"/>
        </w:rPr>
        <w:t xml:space="preserve"> – includes the burdens associated with extracting and processing raw materials to produce an equivalent quantity of useful material, to that delivered by the Reprocessing Local stage described above. The processes are undertaken within Australia.</w:t>
      </w:r>
    </w:p>
    <w:p w14:paraId="76F022C2" w14:textId="2BA8D745" w:rsidR="00E667E7" w:rsidRDefault="00E667E7" w:rsidP="00E667E7">
      <w:pPr>
        <w:ind w:left="720"/>
        <w:rPr>
          <w:lang w:eastAsia="x-none"/>
        </w:rPr>
      </w:pPr>
      <w:r>
        <w:rPr>
          <w:lang w:eastAsia="x-none"/>
        </w:rPr>
        <w:t>For green and garden waste, this also includes the burdens of processes needed to produce synthetic fertiliser and supply water to the soil, in quantities that achieve equivalent benefits to that provided by the quantity of composted product generated by the Recycling System.</w:t>
      </w:r>
    </w:p>
    <w:p w14:paraId="0D4943D0" w14:textId="7831DFF5" w:rsidR="00A61C9D" w:rsidRDefault="00A61C9D" w:rsidP="00A61C9D">
      <w:pPr>
        <w:ind w:left="720"/>
        <w:rPr>
          <w:lang w:eastAsia="x-none"/>
        </w:rPr>
      </w:pPr>
      <w:r w:rsidRPr="00BC2F22">
        <w:rPr>
          <w:b/>
          <w:lang w:eastAsia="x-none"/>
        </w:rPr>
        <w:t>International</w:t>
      </w:r>
      <w:r w:rsidR="009175F6">
        <w:rPr>
          <w:b/>
          <w:lang w:eastAsia="x-none"/>
        </w:rPr>
        <w:t xml:space="preserve"> Production</w:t>
      </w:r>
      <w:r>
        <w:rPr>
          <w:lang w:eastAsia="x-none"/>
        </w:rPr>
        <w:t xml:space="preserve"> – includes the burdens associated with extracting and processing raw materials to produce an equival</w:t>
      </w:r>
      <w:r w:rsidR="00CB29BC">
        <w:rPr>
          <w:lang w:eastAsia="x-none"/>
        </w:rPr>
        <w:t>ent quantity of useful material</w:t>
      </w:r>
      <w:r>
        <w:rPr>
          <w:lang w:eastAsia="x-none"/>
        </w:rPr>
        <w:t xml:space="preserve"> to that delivered by the Reprocessing International stage described above. If production of the material generated by the Reprocessing International stage can be undertaken in the </w:t>
      </w:r>
      <w:r w:rsidR="00CB29BC">
        <w:rPr>
          <w:lang w:eastAsia="x-none"/>
        </w:rPr>
        <w:t xml:space="preserve">recyclate reprocessing </w:t>
      </w:r>
      <w:r>
        <w:rPr>
          <w:lang w:eastAsia="x-none"/>
        </w:rPr>
        <w:t xml:space="preserve">country </w:t>
      </w:r>
      <w:r w:rsidR="00CB29BC">
        <w:rPr>
          <w:lang w:eastAsia="x-none"/>
        </w:rPr>
        <w:t xml:space="preserve">(from the Recycling System) </w:t>
      </w:r>
      <w:r>
        <w:rPr>
          <w:lang w:eastAsia="x-none"/>
        </w:rPr>
        <w:t xml:space="preserve">then </w:t>
      </w:r>
      <w:r w:rsidR="00CB29BC">
        <w:rPr>
          <w:lang w:eastAsia="x-none"/>
        </w:rPr>
        <w:t>production</w:t>
      </w:r>
      <w:r>
        <w:rPr>
          <w:lang w:eastAsia="x-none"/>
        </w:rPr>
        <w:t xml:space="preserve"> is assumed to be undertaken in the same country as the reprocessing of the recyclate. However in many cases countries that undertake reprocessing of recyclate streams, don’t produce the same material from resources extracted from the environment, for example Malaysia reprocesses steel </w:t>
      </w:r>
      <w:r w:rsidR="00CB29BC">
        <w:rPr>
          <w:lang w:eastAsia="x-none"/>
        </w:rPr>
        <w:t xml:space="preserve">from recovered </w:t>
      </w:r>
      <w:r>
        <w:rPr>
          <w:lang w:eastAsia="x-none"/>
        </w:rPr>
        <w:t xml:space="preserve">scrap but does not produce steel from iron ore. In these cases the Production International stage includes production of equivalent materials within Australia and </w:t>
      </w:r>
      <w:r w:rsidR="00CB29BC">
        <w:rPr>
          <w:lang w:eastAsia="x-none"/>
        </w:rPr>
        <w:t xml:space="preserve">the </w:t>
      </w:r>
      <w:r>
        <w:rPr>
          <w:lang w:eastAsia="x-none"/>
        </w:rPr>
        <w:t xml:space="preserve">transport of those materials to the </w:t>
      </w:r>
      <w:r>
        <w:rPr>
          <w:lang w:eastAsia="x-none"/>
        </w:rPr>
        <w:lastRenderedPageBreak/>
        <w:t>place where reprocessing occurs. This is done to ensure geographic consistency of processes.</w:t>
      </w:r>
    </w:p>
    <w:p w14:paraId="0D4943D3" w14:textId="5835D048" w:rsidR="00A61C9D" w:rsidRDefault="00A61C9D" w:rsidP="00A61C9D">
      <w:pPr>
        <w:ind w:left="720"/>
        <w:rPr>
          <w:lang w:eastAsia="x-none"/>
        </w:rPr>
      </w:pPr>
      <w:r w:rsidRPr="00BC2F22">
        <w:rPr>
          <w:b/>
          <w:lang w:eastAsia="x-none"/>
        </w:rPr>
        <w:t xml:space="preserve">Carbon </w:t>
      </w:r>
      <w:r w:rsidRPr="009175F6">
        <w:rPr>
          <w:b/>
          <w:lang w:eastAsia="x-none"/>
        </w:rPr>
        <w:t xml:space="preserve">Storage </w:t>
      </w:r>
      <w:r w:rsidR="009175F6" w:rsidRPr="009175F6">
        <w:rPr>
          <w:b/>
          <w:lang w:eastAsia="x-none"/>
        </w:rPr>
        <w:t>– Landfill</w:t>
      </w:r>
      <w:r w:rsidR="009175F6">
        <w:rPr>
          <w:lang w:eastAsia="x-none"/>
        </w:rPr>
        <w:t xml:space="preserve"> </w:t>
      </w:r>
      <w:r>
        <w:rPr>
          <w:lang w:eastAsia="x-none"/>
        </w:rPr>
        <w:t>– includes any storage of carbon within the landfill structure for a period of 100 years or more.</w:t>
      </w:r>
    </w:p>
    <w:p w14:paraId="34CFAD1C" w14:textId="7204BA62" w:rsidR="006659B4" w:rsidRDefault="00603624" w:rsidP="00BB3054">
      <w:pPr>
        <w:rPr>
          <w:lang w:eastAsia="x-none"/>
        </w:rPr>
      </w:pPr>
      <w:r>
        <w:rPr>
          <w:lang w:eastAsia="x-none"/>
        </w:rPr>
        <w:t>The mass flows and key processes associated with the</w:t>
      </w:r>
      <w:r w:rsidR="009175F6">
        <w:rPr>
          <w:lang w:eastAsia="x-none"/>
        </w:rPr>
        <w:t xml:space="preserve"> two systems are summarised in </w:t>
      </w:r>
      <w:r w:rsidR="009175F6">
        <w:rPr>
          <w:lang w:eastAsia="x-none"/>
        </w:rPr>
        <w:fldChar w:fldCharType="begin"/>
      </w:r>
      <w:r w:rsidR="009175F6">
        <w:rPr>
          <w:lang w:eastAsia="x-none"/>
        </w:rPr>
        <w:instrText xml:space="preserve"> REF _Ref362722708 \h </w:instrText>
      </w:r>
      <w:r w:rsidR="009175F6">
        <w:rPr>
          <w:lang w:eastAsia="x-none"/>
        </w:rPr>
      </w:r>
      <w:r w:rsidR="009175F6">
        <w:rPr>
          <w:lang w:eastAsia="x-none"/>
        </w:rPr>
        <w:fldChar w:fldCharType="separate"/>
      </w:r>
      <w:r w:rsidR="00564E5C">
        <w:t xml:space="preserve">Figure </w:t>
      </w:r>
      <w:r w:rsidR="00564E5C">
        <w:rPr>
          <w:noProof/>
        </w:rPr>
        <w:t>10</w:t>
      </w:r>
      <w:r w:rsidR="009175F6">
        <w:rPr>
          <w:lang w:eastAsia="x-none"/>
        </w:rPr>
        <w:fldChar w:fldCharType="end"/>
      </w:r>
      <w:r w:rsidR="009175F6">
        <w:rPr>
          <w:lang w:eastAsia="x-none"/>
        </w:rPr>
        <w:t xml:space="preserve"> for the Recycling</w:t>
      </w:r>
      <w:r w:rsidR="00C35504">
        <w:rPr>
          <w:lang w:eastAsia="x-none"/>
        </w:rPr>
        <w:t xml:space="preserve"> System and </w:t>
      </w:r>
      <w:r w:rsidR="00C35504">
        <w:rPr>
          <w:lang w:eastAsia="x-none"/>
        </w:rPr>
        <w:fldChar w:fldCharType="begin"/>
      </w:r>
      <w:r w:rsidR="00C35504">
        <w:rPr>
          <w:lang w:eastAsia="x-none"/>
        </w:rPr>
        <w:instrText xml:space="preserve"> REF _Ref362724042 \h </w:instrText>
      </w:r>
      <w:r w:rsidR="00C35504">
        <w:rPr>
          <w:lang w:eastAsia="x-none"/>
        </w:rPr>
      </w:r>
      <w:r w:rsidR="00C35504">
        <w:rPr>
          <w:lang w:eastAsia="x-none"/>
        </w:rPr>
        <w:fldChar w:fldCharType="separate"/>
      </w:r>
      <w:r w:rsidR="00564E5C">
        <w:t xml:space="preserve">Figure </w:t>
      </w:r>
      <w:r w:rsidR="00564E5C">
        <w:rPr>
          <w:noProof/>
        </w:rPr>
        <w:t>11</w:t>
      </w:r>
      <w:r w:rsidR="00C35504">
        <w:rPr>
          <w:lang w:eastAsia="x-none"/>
        </w:rPr>
        <w:fldChar w:fldCharType="end"/>
      </w:r>
      <w:r w:rsidR="00C35504">
        <w:rPr>
          <w:lang w:eastAsia="x-none"/>
        </w:rPr>
        <w:t xml:space="preserve"> for the Alternative System. When considering both flow diagrams, recall that both are intended to deliver the same function as described in Section </w:t>
      </w:r>
      <w:r w:rsidR="00C35504">
        <w:rPr>
          <w:lang w:eastAsia="x-none"/>
        </w:rPr>
        <w:fldChar w:fldCharType="begin"/>
      </w:r>
      <w:r w:rsidR="00C35504">
        <w:rPr>
          <w:lang w:eastAsia="x-none"/>
        </w:rPr>
        <w:instrText xml:space="preserve"> REF _Ref343847584 \r \h </w:instrText>
      </w:r>
      <w:r w:rsidR="00C35504">
        <w:rPr>
          <w:lang w:eastAsia="x-none"/>
        </w:rPr>
      </w:r>
      <w:r w:rsidR="00C35504">
        <w:rPr>
          <w:lang w:eastAsia="x-none"/>
        </w:rPr>
        <w:fldChar w:fldCharType="separate"/>
      </w:r>
      <w:r w:rsidR="00564E5C">
        <w:rPr>
          <w:lang w:eastAsia="x-none"/>
        </w:rPr>
        <w:t>5.2</w:t>
      </w:r>
      <w:r w:rsidR="00C35504">
        <w:rPr>
          <w:lang w:eastAsia="x-none"/>
        </w:rPr>
        <w:fldChar w:fldCharType="end"/>
      </w:r>
      <w:r w:rsidR="00C35504">
        <w:rPr>
          <w:lang w:eastAsia="x-none"/>
        </w:rPr>
        <w:t>. The diagrams are intended to provide an overview of material flows</w:t>
      </w:r>
      <w:r w:rsidR="006659B4">
        <w:rPr>
          <w:lang w:eastAsia="x-none"/>
        </w:rPr>
        <w:t xml:space="preserve">, and it is not possible to show all flows. Changes in mass flows apparent in the Recycling System are due mainly to contamination of waste streams and reprocessing losses. The systems shown are described in detail in </w:t>
      </w:r>
      <w:r w:rsidR="006659B4">
        <w:rPr>
          <w:lang w:eastAsia="x-none"/>
        </w:rPr>
        <w:fldChar w:fldCharType="begin"/>
      </w:r>
      <w:r w:rsidR="006659B4">
        <w:rPr>
          <w:lang w:eastAsia="x-none"/>
        </w:rPr>
        <w:instrText xml:space="preserve"> REF _Ref360560152 \h </w:instrText>
      </w:r>
      <w:r w:rsidR="006659B4">
        <w:rPr>
          <w:lang w:eastAsia="x-none"/>
        </w:rPr>
      </w:r>
      <w:r w:rsidR="006659B4">
        <w:rPr>
          <w:lang w:eastAsia="x-none"/>
        </w:rPr>
        <w:fldChar w:fldCharType="separate"/>
      </w:r>
      <w:r w:rsidR="00564E5C">
        <w:t>Appendix B – Inventory Report</w:t>
      </w:r>
      <w:r w:rsidR="006659B4">
        <w:rPr>
          <w:lang w:eastAsia="x-none"/>
        </w:rPr>
        <w:fldChar w:fldCharType="end"/>
      </w:r>
      <w:r w:rsidR="006659B4">
        <w:rPr>
          <w:lang w:eastAsia="x-none"/>
        </w:rPr>
        <w:t>.</w:t>
      </w:r>
    </w:p>
    <w:p w14:paraId="54E99C4B" w14:textId="77777777" w:rsidR="006659B4" w:rsidRPr="006659B4" w:rsidRDefault="006659B4" w:rsidP="006659B4">
      <w:pPr>
        <w:rPr>
          <w:lang w:eastAsia="x-none"/>
        </w:rPr>
      </w:pPr>
    </w:p>
    <w:p w14:paraId="1BB0EB98" w14:textId="77777777" w:rsidR="00C35504" w:rsidRDefault="00C35504" w:rsidP="00BB3054">
      <w:pPr>
        <w:rPr>
          <w:lang w:eastAsia="x-none"/>
        </w:rPr>
      </w:pPr>
    </w:p>
    <w:p w14:paraId="6F90852A" w14:textId="77777777" w:rsidR="00C35504" w:rsidRDefault="00C35504" w:rsidP="00BB3054">
      <w:pPr>
        <w:rPr>
          <w:lang w:eastAsia="x-none"/>
        </w:rPr>
      </w:pPr>
    </w:p>
    <w:p w14:paraId="16518EAD" w14:textId="77777777" w:rsidR="00C35504" w:rsidRDefault="00C35504" w:rsidP="00BB3054">
      <w:pPr>
        <w:rPr>
          <w:lang w:eastAsia="x-none"/>
        </w:rPr>
        <w:sectPr w:rsidR="00C35504" w:rsidSect="006555B4">
          <w:footerReference w:type="default" r:id="rId28"/>
          <w:pgSz w:w="11906" w:h="16838"/>
          <w:pgMar w:top="1418" w:right="1440" w:bottom="1418" w:left="1440" w:header="709" w:footer="488" w:gutter="0"/>
          <w:cols w:space="708"/>
          <w:docGrid w:linePitch="360"/>
        </w:sectPr>
      </w:pPr>
    </w:p>
    <w:p w14:paraId="62CF8E5F" w14:textId="27BB1BEA" w:rsidR="00603624" w:rsidRDefault="000C35F5" w:rsidP="00603624">
      <w:pPr>
        <w:keepNext/>
      </w:pPr>
      <w:r>
        <w:object w:dxaOrig="16128" w:dyaOrig="10280" w14:anchorId="47F34B1B">
          <v:shape id="_x0000_i1026" type="#_x0000_t75" style="width:658.85pt;height:421.15pt" o:ole="">
            <v:imagedata r:id="rId29" o:title=""/>
          </v:shape>
          <o:OLEObject Type="Embed" ProgID="Visio.Drawing.11" ShapeID="_x0000_i1026" DrawAspect="Content" ObjectID="_1507706616" r:id="rId30"/>
        </w:object>
      </w:r>
    </w:p>
    <w:p w14:paraId="7DA1082A" w14:textId="31F761A4" w:rsidR="00603624" w:rsidRDefault="00603624" w:rsidP="00603624">
      <w:pPr>
        <w:pStyle w:val="Caption"/>
      </w:pPr>
      <w:bookmarkStart w:id="107" w:name="_Ref362722708"/>
      <w:bookmarkStart w:id="108" w:name="_Ref362984850"/>
      <w:r>
        <w:t xml:space="preserve">Figure </w:t>
      </w:r>
      <w:r w:rsidR="00FC7DE2">
        <w:fldChar w:fldCharType="begin"/>
      </w:r>
      <w:r w:rsidR="00FC7DE2">
        <w:instrText xml:space="preserve"> SEQ Figure \* ARABIC </w:instrText>
      </w:r>
      <w:r w:rsidR="00FC7DE2">
        <w:fldChar w:fldCharType="separate"/>
      </w:r>
      <w:r w:rsidR="00564E5C">
        <w:rPr>
          <w:noProof/>
        </w:rPr>
        <w:t>10</w:t>
      </w:r>
      <w:r w:rsidR="00FC7DE2">
        <w:rPr>
          <w:noProof/>
        </w:rPr>
        <w:fldChar w:fldCharType="end"/>
      </w:r>
      <w:bookmarkEnd w:id="107"/>
      <w:r>
        <w:rPr>
          <w:lang w:val="en-AU"/>
        </w:rPr>
        <w:t xml:space="preserve"> Recycling System processes and mass flows</w:t>
      </w:r>
      <w:r w:rsidR="009175F6">
        <w:rPr>
          <w:lang w:val="en-AU"/>
        </w:rPr>
        <w:t>.</w:t>
      </w:r>
      <w:bookmarkEnd w:id="108"/>
    </w:p>
    <w:p w14:paraId="1A2643C0" w14:textId="542EAD7B" w:rsidR="009175F6" w:rsidRDefault="00834360" w:rsidP="009175F6">
      <w:pPr>
        <w:keepNext/>
      </w:pPr>
      <w:r>
        <w:object w:dxaOrig="16137" w:dyaOrig="11046" w14:anchorId="6EFAABF1">
          <v:shape id="_x0000_i1027" type="#_x0000_t75" style="width:613.35pt;height:419.75pt" o:ole="">
            <v:imagedata r:id="rId31" o:title=""/>
          </v:shape>
          <o:OLEObject Type="Embed" ProgID="Visio.Drawing.11" ShapeID="_x0000_i1027" DrawAspect="Content" ObjectID="_1507706617" r:id="rId32"/>
        </w:object>
      </w:r>
    </w:p>
    <w:p w14:paraId="3A784801" w14:textId="11FD8656" w:rsidR="00603624" w:rsidRDefault="009175F6" w:rsidP="006659B4">
      <w:pPr>
        <w:pStyle w:val="Caption"/>
      </w:pPr>
      <w:bookmarkStart w:id="109" w:name="_Ref362724042"/>
      <w:r>
        <w:t xml:space="preserve">Figure </w:t>
      </w:r>
      <w:r w:rsidR="00FC7DE2">
        <w:fldChar w:fldCharType="begin"/>
      </w:r>
      <w:r w:rsidR="00FC7DE2">
        <w:instrText xml:space="preserve"> SEQ Figure \* ARABIC </w:instrText>
      </w:r>
      <w:r w:rsidR="00FC7DE2">
        <w:fldChar w:fldCharType="separate"/>
      </w:r>
      <w:r w:rsidR="00564E5C">
        <w:rPr>
          <w:noProof/>
        </w:rPr>
        <w:t>11</w:t>
      </w:r>
      <w:r w:rsidR="00FC7DE2">
        <w:rPr>
          <w:noProof/>
        </w:rPr>
        <w:fldChar w:fldCharType="end"/>
      </w:r>
      <w:bookmarkEnd w:id="109"/>
      <w:r>
        <w:rPr>
          <w:lang w:val="en-AU"/>
        </w:rPr>
        <w:t xml:space="preserve"> Alternative</w:t>
      </w:r>
      <w:r w:rsidRPr="009A4DB7">
        <w:rPr>
          <w:lang w:val="en-AU"/>
        </w:rPr>
        <w:t xml:space="preserve"> System processes and mass flows.</w:t>
      </w:r>
    </w:p>
    <w:p w14:paraId="0B995AEC" w14:textId="77777777" w:rsidR="00603624" w:rsidRDefault="00603624" w:rsidP="00BB3054">
      <w:pPr>
        <w:rPr>
          <w:lang w:eastAsia="x-none"/>
        </w:rPr>
        <w:sectPr w:rsidR="00603624" w:rsidSect="00603624">
          <w:footerReference w:type="default" r:id="rId33"/>
          <w:pgSz w:w="16838" w:h="11906" w:orient="landscape"/>
          <w:pgMar w:top="1440" w:right="1418" w:bottom="1440" w:left="1418" w:header="709" w:footer="488" w:gutter="0"/>
          <w:cols w:space="708"/>
          <w:docGrid w:linePitch="360"/>
        </w:sectPr>
      </w:pPr>
    </w:p>
    <w:p w14:paraId="4F2CA171" w14:textId="74F7D018" w:rsidR="006659B4" w:rsidRDefault="006659B4" w:rsidP="006659B4">
      <w:pPr>
        <w:pStyle w:val="Heading2"/>
        <w:rPr>
          <w:lang w:val="en-AU"/>
        </w:rPr>
      </w:pPr>
      <w:bookmarkStart w:id="110" w:name="_Ref362988115"/>
      <w:bookmarkStart w:id="111" w:name="_Toc433964550"/>
      <w:r>
        <w:rPr>
          <w:lang w:val="en-AU"/>
        </w:rPr>
        <w:lastRenderedPageBreak/>
        <w:t xml:space="preserve">Inventory </w:t>
      </w:r>
      <w:r w:rsidR="00523D20">
        <w:rPr>
          <w:lang w:val="en-AU"/>
        </w:rPr>
        <w:t>sub-systems</w:t>
      </w:r>
      <w:bookmarkEnd w:id="110"/>
      <w:bookmarkEnd w:id="111"/>
    </w:p>
    <w:p w14:paraId="6D802AAC" w14:textId="739B49D1" w:rsidR="00291CBB" w:rsidRDefault="00A64B56" w:rsidP="00770B88">
      <w:pPr>
        <w:rPr>
          <w:lang w:eastAsia="x-none"/>
        </w:rPr>
      </w:pPr>
      <w:r>
        <w:rPr>
          <w:lang w:eastAsia="x-none"/>
        </w:rPr>
        <w:t xml:space="preserve">A further summary of key inventory assumptions is provided in </w:t>
      </w:r>
      <w:r>
        <w:rPr>
          <w:lang w:eastAsia="x-none"/>
        </w:rPr>
        <w:fldChar w:fldCharType="begin"/>
      </w:r>
      <w:r>
        <w:rPr>
          <w:lang w:eastAsia="x-none"/>
        </w:rPr>
        <w:instrText xml:space="preserve"> REF _Ref363030492 \h </w:instrText>
      </w:r>
      <w:r>
        <w:rPr>
          <w:lang w:eastAsia="x-none"/>
        </w:rPr>
      </w:r>
      <w:r>
        <w:rPr>
          <w:lang w:eastAsia="x-none"/>
        </w:rPr>
        <w:fldChar w:fldCharType="separate"/>
      </w:r>
      <w:r w:rsidR="00564E5C">
        <w:t xml:space="preserve">Table </w:t>
      </w:r>
      <w:r w:rsidR="00564E5C">
        <w:rPr>
          <w:noProof/>
        </w:rPr>
        <w:t>14</w:t>
      </w:r>
      <w:r>
        <w:rPr>
          <w:lang w:eastAsia="x-none"/>
        </w:rPr>
        <w:fldChar w:fldCharType="end"/>
      </w:r>
      <w:r>
        <w:rPr>
          <w:lang w:eastAsia="x-none"/>
        </w:rPr>
        <w:t xml:space="preserve">. The table seeks to briefly describe the approach to modelling each key system in the Recycling System and the Alternative System. Further details for each system are provided in this section and </w:t>
      </w:r>
      <w:r>
        <w:rPr>
          <w:lang w:eastAsia="x-none"/>
        </w:rPr>
        <w:fldChar w:fldCharType="begin"/>
      </w:r>
      <w:r>
        <w:rPr>
          <w:lang w:eastAsia="x-none"/>
        </w:rPr>
        <w:instrText xml:space="preserve"> REF _Ref360560152 \h </w:instrText>
      </w:r>
      <w:r>
        <w:rPr>
          <w:lang w:eastAsia="x-none"/>
        </w:rPr>
      </w:r>
      <w:r>
        <w:rPr>
          <w:lang w:eastAsia="x-none"/>
        </w:rPr>
        <w:fldChar w:fldCharType="separate"/>
      </w:r>
      <w:r w:rsidR="00564E5C">
        <w:t>Appendix B – Inventory Report</w:t>
      </w:r>
      <w:r>
        <w:rPr>
          <w:lang w:eastAsia="x-none"/>
        </w:rPr>
        <w:fldChar w:fldCharType="end"/>
      </w:r>
      <w:r>
        <w:rPr>
          <w:lang w:eastAsia="x-none"/>
        </w:rPr>
        <w:t>.</w:t>
      </w:r>
    </w:p>
    <w:p w14:paraId="4453A019" w14:textId="1C00DC3C" w:rsidR="00A64B56" w:rsidRDefault="00A64B56" w:rsidP="00A64B56">
      <w:pPr>
        <w:pStyle w:val="Caption"/>
        <w:keepNext/>
      </w:pPr>
      <w:bookmarkStart w:id="112" w:name="_Ref363030492"/>
      <w:bookmarkStart w:id="113" w:name="_Ref363030465"/>
      <w:r>
        <w:t xml:space="preserve">Table </w:t>
      </w:r>
      <w:r w:rsidR="00FC7DE2">
        <w:fldChar w:fldCharType="begin"/>
      </w:r>
      <w:r w:rsidR="00FC7DE2">
        <w:instrText xml:space="preserve"> SEQ Table \* ARABIC </w:instrText>
      </w:r>
      <w:r w:rsidR="00FC7DE2">
        <w:fldChar w:fldCharType="separate"/>
      </w:r>
      <w:r w:rsidR="00564E5C">
        <w:rPr>
          <w:noProof/>
        </w:rPr>
        <w:t>14</w:t>
      </w:r>
      <w:r w:rsidR="00FC7DE2">
        <w:rPr>
          <w:noProof/>
        </w:rPr>
        <w:fldChar w:fldCharType="end"/>
      </w:r>
      <w:bookmarkEnd w:id="112"/>
      <w:r>
        <w:rPr>
          <w:lang w:val="en-AU"/>
        </w:rPr>
        <w:t xml:space="preserve"> Summary of inventory assumptions.</w:t>
      </w:r>
      <w:bookmarkEnd w:id="113"/>
    </w:p>
    <w:tbl>
      <w:tblPr>
        <w:tblStyle w:val="TableGrid"/>
        <w:tblW w:w="10206" w:type="dxa"/>
        <w:tblInd w:w="-459" w:type="dxa"/>
        <w:tblLayout w:type="fixed"/>
        <w:tblLook w:val="04A0" w:firstRow="1" w:lastRow="0" w:firstColumn="1" w:lastColumn="0" w:noHBand="0" w:noVBand="1"/>
      </w:tblPr>
      <w:tblGrid>
        <w:gridCol w:w="959"/>
        <w:gridCol w:w="4623"/>
        <w:gridCol w:w="4624"/>
      </w:tblGrid>
      <w:tr w:rsidR="00C129A0" w:rsidRPr="00291CBB" w14:paraId="4A50B3D2" w14:textId="77777777" w:rsidTr="00F4294D">
        <w:trPr>
          <w:tblHeader/>
        </w:trPr>
        <w:tc>
          <w:tcPr>
            <w:tcW w:w="959" w:type="dxa"/>
          </w:tcPr>
          <w:p w14:paraId="5B2F07A4" w14:textId="4982E8B0" w:rsidR="00C129A0" w:rsidRPr="00291CBB" w:rsidRDefault="00C129A0" w:rsidP="00291CBB">
            <w:pPr>
              <w:spacing w:after="0"/>
              <w:jc w:val="left"/>
              <w:rPr>
                <w:b/>
                <w:sz w:val="16"/>
                <w:szCs w:val="16"/>
                <w:lang w:eastAsia="x-none"/>
              </w:rPr>
            </w:pPr>
            <w:r w:rsidRPr="00291CBB">
              <w:rPr>
                <w:b/>
                <w:sz w:val="16"/>
                <w:szCs w:val="16"/>
                <w:lang w:eastAsia="x-none"/>
              </w:rPr>
              <w:t>Inventory sub-system</w:t>
            </w:r>
          </w:p>
        </w:tc>
        <w:tc>
          <w:tcPr>
            <w:tcW w:w="4623" w:type="dxa"/>
          </w:tcPr>
          <w:p w14:paraId="3644F5B8" w14:textId="3E2579D6" w:rsidR="00C129A0" w:rsidRPr="00291CBB" w:rsidRDefault="00C129A0" w:rsidP="00291CBB">
            <w:pPr>
              <w:spacing w:after="0"/>
              <w:jc w:val="center"/>
              <w:rPr>
                <w:b/>
                <w:sz w:val="16"/>
                <w:szCs w:val="16"/>
                <w:lang w:eastAsia="x-none"/>
              </w:rPr>
            </w:pPr>
            <w:r w:rsidRPr="00291CBB">
              <w:rPr>
                <w:b/>
                <w:sz w:val="16"/>
                <w:szCs w:val="16"/>
                <w:lang w:eastAsia="x-none"/>
              </w:rPr>
              <w:t>Recycling System</w:t>
            </w:r>
          </w:p>
        </w:tc>
        <w:tc>
          <w:tcPr>
            <w:tcW w:w="4624" w:type="dxa"/>
          </w:tcPr>
          <w:p w14:paraId="0E937734" w14:textId="3EBFCEAC" w:rsidR="00C129A0" w:rsidRPr="00291CBB" w:rsidRDefault="00C129A0" w:rsidP="00291CBB">
            <w:pPr>
              <w:spacing w:after="0"/>
              <w:jc w:val="center"/>
              <w:rPr>
                <w:b/>
                <w:sz w:val="16"/>
                <w:szCs w:val="16"/>
                <w:lang w:eastAsia="x-none"/>
              </w:rPr>
            </w:pPr>
            <w:r w:rsidRPr="00291CBB">
              <w:rPr>
                <w:b/>
                <w:sz w:val="16"/>
                <w:szCs w:val="16"/>
                <w:lang w:eastAsia="x-none"/>
              </w:rPr>
              <w:t>Alternative System</w:t>
            </w:r>
          </w:p>
        </w:tc>
      </w:tr>
      <w:tr w:rsidR="00C129A0" w14:paraId="07123523" w14:textId="77777777" w:rsidTr="00F4294D">
        <w:tc>
          <w:tcPr>
            <w:tcW w:w="959" w:type="dxa"/>
          </w:tcPr>
          <w:p w14:paraId="150F6665" w14:textId="5F6884B5" w:rsidR="00C129A0" w:rsidRPr="00A64B56" w:rsidRDefault="00C129A0" w:rsidP="00C129A0">
            <w:pPr>
              <w:spacing w:after="0"/>
              <w:jc w:val="left"/>
              <w:rPr>
                <w:sz w:val="14"/>
                <w:szCs w:val="16"/>
                <w:lang w:eastAsia="x-none"/>
              </w:rPr>
            </w:pPr>
            <w:r w:rsidRPr="00A64B56">
              <w:rPr>
                <w:sz w:val="14"/>
                <w:szCs w:val="16"/>
                <w:lang w:eastAsia="x-none"/>
              </w:rPr>
              <w:t>Collection</w:t>
            </w:r>
          </w:p>
        </w:tc>
        <w:tc>
          <w:tcPr>
            <w:tcW w:w="4623" w:type="dxa"/>
          </w:tcPr>
          <w:p w14:paraId="0AD7E1C6" w14:textId="170CEBA0" w:rsidR="00C129A0" w:rsidRPr="00A64B56" w:rsidRDefault="004A66FE" w:rsidP="00C129A0">
            <w:pPr>
              <w:spacing w:after="0"/>
              <w:jc w:val="left"/>
              <w:rPr>
                <w:sz w:val="14"/>
                <w:szCs w:val="16"/>
                <w:lang w:eastAsia="x-none"/>
              </w:rPr>
            </w:pPr>
            <w:r w:rsidRPr="00A64B56">
              <w:rPr>
                <w:sz w:val="14"/>
                <w:szCs w:val="16"/>
                <w:lang w:eastAsia="x-none"/>
              </w:rPr>
              <w:t>Fuel use for collection 12.3 l/t overall. Allocated to materials based on their in-truck specific volume.</w:t>
            </w:r>
          </w:p>
        </w:tc>
        <w:tc>
          <w:tcPr>
            <w:tcW w:w="4624" w:type="dxa"/>
          </w:tcPr>
          <w:p w14:paraId="16FD1B6F" w14:textId="03210D46" w:rsidR="00C129A0" w:rsidRPr="00A64B56" w:rsidRDefault="004A66FE" w:rsidP="00702E46">
            <w:pPr>
              <w:spacing w:after="0"/>
              <w:jc w:val="left"/>
              <w:rPr>
                <w:sz w:val="14"/>
                <w:szCs w:val="16"/>
                <w:lang w:eastAsia="x-none"/>
              </w:rPr>
            </w:pPr>
            <w:r w:rsidRPr="00A64B56">
              <w:rPr>
                <w:sz w:val="14"/>
                <w:szCs w:val="16"/>
                <w:lang w:eastAsia="x-none"/>
              </w:rPr>
              <w:t>Fuel use for collection 1</w:t>
            </w:r>
            <w:r w:rsidR="00702E46" w:rsidRPr="00A64B56">
              <w:rPr>
                <w:sz w:val="14"/>
                <w:szCs w:val="16"/>
                <w:lang w:eastAsia="x-none"/>
              </w:rPr>
              <w:t>8</w:t>
            </w:r>
            <w:r w:rsidRPr="00A64B56">
              <w:rPr>
                <w:sz w:val="14"/>
                <w:szCs w:val="16"/>
                <w:lang w:eastAsia="x-none"/>
              </w:rPr>
              <w:t>.3 l/t overall. Allocated to materials based on their in-truck specific volume.</w:t>
            </w:r>
          </w:p>
        </w:tc>
      </w:tr>
      <w:tr w:rsidR="00C129A0" w14:paraId="081A8FCF" w14:textId="77777777" w:rsidTr="00F4294D">
        <w:tc>
          <w:tcPr>
            <w:tcW w:w="959" w:type="dxa"/>
          </w:tcPr>
          <w:p w14:paraId="3412A1E2" w14:textId="7E0BBE7A" w:rsidR="00C129A0" w:rsidRPr="00A64B56" w:rsidRDefault="00C129A0" w:rsidP="00C129A0">
            <w:pPr>
              <w:spacing w:after="0"/>
              <w:jc w:val="left"/>
              <w:rPr>
                <w:sz w:val="14"/>
                <w:szCs w:val="16"/>
                <w:lang w:eastAsia="x-none"/>
              </w:rPr>
            </w:pPr>
            <w:r w:rsidRPr="00A64B56">
              <w:rPr>
                <w:sz w:val="14"/>
                <w:szCs w:val="16"/>
                <w:lang w:eastAsia="x-none"/>
              </w:rPr>
              <w:t>Landfill</w:t>
            </w:r>
          </w:p>
        </w:tc>
        <w:tc>
          <w:tcPr>
            <w:tcW w:w="4623" w:type="dxa"/>
          </w:tcPr>
          <w:p w14:paraId="49D92402" w14:textId="2606F200" w:rsidR="00C129A0" w:rsidRPr="00A64B56" w:rsidRDefault="00702E46" w:rsidP="00C129A0">
            <w:pPr>
              <w:spacing w:after="0"/>
              <w:jc w:val="left"/>
              <w:rPr>
                <w:sz w:val="14"/>
                <w:szCs w:val="16"/>
                <w:lang w:eastAsia="x-none"/>
              </w:rPr>
            </w:pPr>
            <w:r w:rsidRPr="00A64B56">
              <w:rPr>
                <w:sz w:val="14"/>
                <w:szCs w:val="16"/>
                <w:lang w:eastAsia="x-none"/>
              </w:rPr>
              <w:t>Very little landfill considered (only that relating to contamination of recycling streams and reprocessing system wastes). Where considered assumptions as per the Alternative system.</w:t>
            </w:r>
          </w:p>
        </w:tc>
        <w:tc>
          <w:tcPr>
            <w:tcW w:w="4624" w:type="dxa"/>
          </w:tcPr>
          <w:p w14:paraId="112DEB77" w14:textId="77777777" w:rsidR="00C129A0" w:rsidRPr="00A64B56" w:rsidRDefault="00702E46" w:rsidP="00C129A0">
            <w:pPr>
              <w:spacing w:after="0"/>
              <w:jc w:val="left"/>
              <w:rPr>
                <w:sz w:val="14"/>
                <w:szCs w:val="16"/>
                <w:lang w:eastAsia="x-none"/>
              </w:rPr>
            </w:pPr>
            <w:r w:rsidRPr="00A64B56">
              <w:rPr>
                <w:sz w:val="14"/>
                <w:szCs w:val="16"/>
                <w:lang w:eastAsia="x-none"/>
              </w:rPr>
              <w:t>Landfill model developed that considers facility construction and operation; greenhouse gas emissions due to material degradation and that water born emissions due to leachate.</w:t>
            </w:r>
          </w:p>
          <w:p w14:paraId="37380E33" w14:textId="77777777" w:rsidR="00702E46" w:rsidRPr="00A64B56" w:rsidRDefault="00702E46" w:rsidP="00C129A0">
            <w:pPr>
              <w:spacing w:after="0"/>
              <w:jc w:val="left"/>
              <w:rPr>
                <w:sz w:val="14"/>
                <w:szCs w:val="16"/>
                <w:lang w:eastAsia="x-none"/>
              </w:rPr>
            </w:pPr>
            <w:r w:rsidRPr="00A64B56">
              <w:rPr>
                <w:sz w:val="14"/>
                <w:szCs w:val="16"/>
                <w:lang w:eastAsia="x-none"/>
              </w:rPr>
              <w:t>Key greenhouse gas assumptions include:</w:t>
            </w:r>
          </w:p>
          <w:p w14:paraId="2A473074" w14:textId="468AC612" w:rsidR="00702E46" w:rsidRPr="00A64B56" w:rsidRDefault="00702E46" w:rsidP="00F4294D">
            <w:pPr>
              <w:spacing w:after="0"/>
              <w:jc w:val="left"/>
              <w:rPr>
                <w:sz w:val="14"/>
                <w:szCs w:val="16"/>
                <w:lang w:eastAsia="x-none"/>
              </w:rPr>
            </w:pPr>
            <w:r w:rsidRPr="00A64B56">
              <w:rPr>
                <w:sz w:val="14"/>
                <w:szCs w:val="16"/>
                <w:lang w:eastAsia="x-none"/>
              </w:rPr>
              <w:t>Timeframe: 100 years</w:t>
            </w:r>
            <w:r w:rsidR="00A64B56">
              <w:rPr>
                <w:sz w:val="14"/>
                <w:szCs w:val="16"/>
                <w:lang w:eastAsia="x-none"/>
              </w:rPr>
              <w:t xml:space="preserve">; </w:t>
            </w:r>
            <w:r w:rsidRPr="00A64B56">
              <w:rPr>
                <w:sz w:val="14"/>
                <w:szCs w:val="16"/>
                <w:lang w:eastAsia="x-none"/>
              </w:rPr>
              <w:t>Methane capture rate: 57%</w:t>
            </w:r>
            <w:r w:rsidR="00A64B56">
              <w:rPr>
                <w:sz w:val="14"/>
                <w:szCs w:val="16"/>
                <w:lang w:eastAsia="x-none"/>
              </w:rPr>
              <w:t xml:space="preserve">; </w:t>
            </w:r>
            <w:r w:rsidRPr="00A64B56">
              <w:rPr>
                <w:sz w:val="14"/>
                <w:szCs w:val="16"/>
                <w:lang w:eastAsia="x-none"/>
              </w:rPr>
              <w:t>Methane combustion for energy: 92% of capture</w:t>
            </w:r>
            <w:r w:rsidR="00F4294D">
              <w:rPr>
                <w:sz w:val="14"/>
                <w:szCs w:val="16"/>
                <w:lang w:eastAsia="x-none"/>
              </w:rPr>
              <w:t xml:space="preserve">; </w:t>
            </w:r>
            <w:r w:rsidRPr="00A64B56">
              <w:rPr>
                <w:sz w:val="14"/>
                <w:szCs w:val="16"/>
                <w:lang w:eastAsia="x-none"/>
              </w:rPr>
              <w:t>Carbon storage: Carbon stored in landfill according to material specific factors</w:t>
            </w:r>
          </w:p>
        </w:tc>
      </w:tr>
      <w:tr w:rsidR="00C129A0" w14:paraId="100A3B81" w14:textId="77777777" w:rsidTr="00F4294D">
        <w:tc>
          <w:tcPr>
            <w:tcW w:w="959" w:type="dxa"/>
          </w:tcPr>
          <w:p w14:paraId="608D41F3" w14:textId="7C859AF5" w:rsidR="00C129A0" w:rsidRPr="00A64B56" w:rsidRDefault="00C129A0" w:rsidP="00C129A0">
            <w:pPr>
              <w:spacing w:after="0"/>
              <w:jc w:val="left"/>
              <w:rPr>
                <w:sz w:val="14"/>
                <w:szCs w:val="16"/>
                <w:lang w:eastAsia="x-none"/>
              </w:rPr>
            </w:pPr>
            <w:r w:rsidRPr="00A64B56">
              <w:rPr>
                <w:sz w:val="14"/>
                <w:szCs w:val="16"/>
                <w:lang w:eastAsia="x-none"/>
              </w:rPr>
              <w:t>Sorting</w:t>
            </w:r>
          </w:p>
        </w:tc>
        <w:tc>
          <w:tcPr>
            <w:tcW w:w="4623" w:type="dxa"/>
          </w:tcPr>
          <w:p w14:paraId="2627F6FF" w14:textId="62E2FCBD" w:rsidR="00702E46" w:rsidRPr="00A64B56" w:rsidRDefault="00702E46" w:rsidP="00F40CE2">
            <w:pPr>
              <w:spacing w:after="0"/>
              <w:jc w:val="left"/>
              <w:rPr>
                <w:sz w:val="14"/>
                <w:szCs w:val="16"/>
                <w:lang w:eastAsia="x-none"/>
              </w:rPr>
            </w:pPr>
            <w:r w:rsidRPr="00A64B56">
              <w:rPr>
                <w:sz w:val="14"/>
                <w:szCs w:val="16"/>
                <w:lang w:eastAsia="x-none"/>
              </w:rPr>
              <w:t>Sorting was estimated to require 30 kWh of electricity per tonne of waste sorted (including glass colour sorting). 1.2 litres LPG gas was estimated for forklift operation.</w:t>
            </w:r>
            <w:r w:rsidR="00F4294D">
              <w:rPr>
                <w:sz w:val="14"/>
                <w:szCs w:val="16"/>
                <w:lang w:eastAsia="x-none"/>
              </w:rPr>
              <w:t xml:space="preserve"> </w:t>
            </w:r>
            <w:r w:rsidRPr="00A64B56">
              <w:rPr>
                <w:sz w:val="14"/>
                <w:szCs w:val="16"/>
                <w:lang w:eastAsia="x-none"/>
              </w:rPr>
              <w:t xml:space="preserve">Sorting yields were estimated from U.K. data for facilities targeting similar materials </w:t>
            </w:r>
            <w:r w:rsidR="008B3F00" w:rsidRPr="00A64B56">
              <w:rPr>
                <w:sz w:val="14"/>
                <w:szCs w:val="16"/>
                <w:lang w:eastAsia="x-none"/>
              </w:rPr>
              <w:fldChar w:fldCharType="begin"/>
            </w:r>
            <w:r w:rsidR="00F40CE2">
              <w:rPr>
                <w:sz w:val="14"/>
                <w:szCs w:val="16"/>
                <w:lang w:eastAsia="x-none"/>
              </w:rPr>
              <w:instrText xml:space="preserve"> ADDIN EN.CITE &lt;EndNote&gt;&lt;Cite&gt;&lt;Author&gt;WRAP&lt;/Author&gt;&lt;Year&gt;2009&lt;/Year&gt;&lt;RecNum&gt;618&lt;/RecNum&gt;&lt;DisplayText&gt;(WRAP, 2009)&lt;/DisplayText&gt;&lt;record&gt;&lt;rec-number&gt;618&lt;/rec-number&gt;&lt;foreign-keys&gt;&lt;key app="EN" db-id="tfpv5staxsvs2nexzpp5taewzsvpx0er5fap"&gt;618&lt;/key&gt;&lt;/foreign-keys&gt;&lt;ref-type name="Report"&gt;27&lt;/ref-type&gt;&lt;contributors&gt;&lt;authors&gt;&lt;author&gt;WRAP,&lt;/author&gt;&lt;/authors&gt;&lt;/contributors&gt;&lt;titles&gt;&lt;title&gt;Final Report - Material quality assessment of municipal MRFs within the UK&lt;/title&gt;&lt;/titles&gt;&lt;dates&gt;&lt;year&gt;2009&lt;/year&gt;&lt;/dates&gt;&lt;publisher&gt;Completed by Enviros Consulting&lt;/publisher&gt;&lt;urls&gt;&lt;/urls&gt;&lt;/record&gt;&lt;/Cite&gt;&lt;/EndNote&gt;</w:instrText>
            </w:r>
            <w:r w:rsidR="008B3F00" w:rsidRPr="00A64B56">
              <w:rPr>
                <w:sz w:val="14"/>
                <w:szCs w:val="16"/>
                <w:lang w:eastAsia="x-none"/>
              </w:rPr>
              <w:fldChar w:fldCharType="separate"/>
            </w:r>
            <w:r w:rsidR="00F40CE2">
              <w:rPr>
                <w:noProof/>
                <w:sz w:val="14"/>
                <w:szCs w:val="16"/>
                <w:lang w:eastAsia="x-none"/>
              </w:rPr>
              <w:t>(</w:t>
            </w:r>
            <w:hyperlink w:anchor="_ENREF_89" w:tooltip="WRAP, 2009 #618" w:history="1">
              <w:r w:rsidR="00F40CE2">
                <w:rPr>
                  <w:noProof/>
                  <w:sz w:val="14"/>
                  <w:szCs w:val="16"/>
                  <w:lang w:eastAsia="x-none"/>
                </w:rPr>
                <w:t>WRAP, 2009</w:t>
              </w:r>
            </w:hyperlink>
            <w:r w:rsidR="00F40CE2">
              <w:rPr>
                <w:noProof/>
                <w:sz w:val="14"/>
                <w:szCs w:val="16"/>
                <w:lang w:eastAsia="x-none"/>
              </w:rPr>
              <w:t>)</w:t>
            </w:r>
            <w:r w:rsidR="008B3F00" w:rsidRPr="00A64B56">
              <w:rPr>
                <w:sz w:val="14"/>
                <w:szCs w:val="16"/>
                <w:lang w:eastAsia="x-none"/>
              </w:rPr>
              <w:fldChar w:fldCharType="end"/>
            </w:r>
            <w:r w:rsidR="00C51A09" w:rsidRPr="00A64B56">
              <w:rPr>
                <w:sz w:val="14"/>
                <w:szCs w:val="16"/>
                <w:lang w:eastAsia="x-none"/>
              </w:rPr>
              <w:t>.</w:t>
            </w:r>
          </w:p>
        </w:tc>
        <w:tc>
          <w:tcPr>
            <w:tcW w:w="4624" w:type="dxa"/>
          </w:tcPr>
          <w:p w14:paraId="663B67CE" w14:textId="4658AA3E" w:rsidR="00C129A0" w:rsidRPr="00A64B56" w:rsidRDefault="00F16C05" w:rsidP="00C129A0">
            <w:pPr>
              <w:spacing w:after="0"/>
              <w:jc w:val="left"/>
              <w:rPr>
                <w:sz w:val="14"/>
                <w:szCs w:val="16"/>
                <w:lang w:eastAsia="x-none"/>
              </w:rPr>
            </w:pPr>
            <w:r w:rsidRPr="00A64B56">
              <w:rPr>
                <w:sz w:val="14"/>
                <w:szCs w:val="16"/>
                <w:lang w:eastAsia="x-none"/>
              </w:rPr>
              <w:t>No sorting incorporated.</w:t>
            </w:r>
          </w:p>
        </w:tc>
      </w:tr>
      <w:tr w:rsidR="00C129A0" w14:paraId="0CE47127" w14:textId="77777777" w:rsidTr="00F4294D">
        <w:tc>
          <w:tcPr>
            <w:tcW w:w="959" w:type="dxa"/>
          </w:tcPr>
          <w:p w14:paraId="73998C64" w14:textId="1B26CA95" w:rsidR="00C129A0" w:rsidRPr="00A64B56" w:rsidRDefault="00C129A0" w:rsidP="00C129A0">
            <w:pPr>
              <w:spacing w:after="0"/>
              <w:jc w:val="left"/>
              <w:rPr>
                <w:sz w:val="14"/>
                <w:szCs w:val="16"/>
                <w:lang w:eastAsia="x-none"/>
              </w:rPr>
            </w:pPr>
            <w:r w:rsidRPr="00A64B56">
              <w:rPr>
                <w:sz w:val="14"/>
                <w:szCs w:val="16"/>
                <w:lang w:eastAsia="x-none"/>
              </w:rPr>
              <w:t>Treatment of garden and green waste</w:t>
            </w:r>
          </w:p>
        </w:tc>
        <w:tc>
          <w:tcPr>
            <w:tcW w:w="4623" w:type="dxa"/>
          </w:tcPr>
          <w:p w14:paraId="2A1A2B68" w14:textId="77777777" w:rsidR="00C51A09" w:rsidRPr="00A64B56" w:rsidRDefault="00C51A09" w:rsidP="00C129A0">
            <w:pPr>
              <w:spacing w:after="0"/>
              <w:jc w:val="left"/>
              <w:rPr>
                <w:sz w:val="14"/>
                <w:szCs w:val="16"/>
                <w:lang w:eastAsia="x-none"/>
              </w:rPr>
            </w:pPr>
            <w:r w:rsidRPr="00A64B56">
              <w:rPr>
                <w:sz w:val="14"/>
                <w:szCs w:val="16"/>
                <w:lang w:eastAsia="x-none"/>
              </w:rPr>
              <w:t>Assumes that all garden and green waste is processed using windrow composting. Once processed, 50% of composted products are utilised in agriculture applications and 50% of products are used in urban amenity applications.</w:t>
            </w:r>
          </w:p>
          <w:p w14:paraId="64ABD1EF" w14:textId="49196B6C" w:rsidR="00C129A0" w:rsidRPr="00A64B56" w:rsidRDefault="00C51A09" w:rsidP="00C129A0">
            <w:pPr>
              <w:spacing w:after="0"/>
              <w:jc w:val="left"/>
              <w:rPr>
                <w:sz w:val="14"/>
                <w:szCs w:val="16"/>
                <w:lang w:eastAsia="x-none"/>
              </w:rPr>
            </w:pPr>
            <w:r w:rsidRPr="00A64B56">
              <w:rPr>
                <w:sz w:val="14"/>
                <w:szCs w:val="16"/>
                <w:lang w:eastAsia="x-none"/>
              </w:rPr>
              <w:t xml:space="preserve">Carbon is </w:t>
            </w:r>
            <w:r w:rsidR="00A64B56" w:rsidRPr="00A64B56">
              <w:rPr>
                <w:sz w:val="14"/>
                <w:szCs w:val="16"/>
                <w:lang w:eastAsia="x-none"/>
              </w:rPr>
              <w:t xml:space="preserve">assumed to be </w:t>
            </w:r>
            <w:r w:rsidRPr="00A64B56">
              <w:rPr>
                <w:sz w:val="14"/>
                <w:szCs w:val="16"/>
                <w:lang w:eastAsia="x-none"/>
              </w:rPr>
              <w:t xml:space="preserve">stored in soil under </w:t>
            </w:r>
            <w:r w:rsidR="00A64B56" w:rsidRPr="00A64B56">
              <w:rPr>
                <w:sz w:val="14"/>
                <w:szCs w:val="16"/>
                <w:lang w:eastAsia="x-none"/>
              </w:rPr>
              <w:t xml:space="preserve">the </w:t>
            </w:r>
            <w:r w:rsidRPr="00A64B56">
              <w:rPr>
                <w:sz w:val="14"/>
                <w:szCs w:val="16"/>
                <w:lang w:eastAsia="x-none"/>
              </w:rPr>
              <w:t>agriculture applications</w:t>
            </w:r>
            <w:r w:rsidR="00A64B56" w:rsidRPr="00A64B56">
              <w:rPr>
                <w:sz w:val="14"/>
                <w:szCs w:val="16"/>
                <w:lang w:eastAsia="x-none"/>
              </w:rPr>
              <w:t>, and not stored under urban applications. It is recognised that significant uncertainty exists in this area.</w:t>
            </w:r>
          </w:p>
        </w:tc>
        <w:tc>
          <w:tcPr>
            <w:tcW w:w="4624" w:type="dxa"/>
          </w:tcPr>
          <w:p w14:paraId="50F086B9" w14:textId="77777777" w:rsidR="00C51A09" w:rsidRPr="00A64B56" w:rsidRDefault="00C51A09" w:rsidP="00C129A0">
            <w:pPr>
              <w:spacing w:after="0"/>
              <w:jc w:val="left"/>
              <w:rPr>
                <w:sz w:val="14"/>
                <w:szCs w:val="16"/>
                <w:lang w:eastAsia="x-none"/>
              </w:rPr>
            </w:pPr>
            <w:r w:rsidRPr="00A64B56">
              <w:rPr>
                <w:sz w:val="14"/>
                <w:szCs w:val="16"/>
                <w:lang w:eastAsia="x-none"/>
              </w:rPr>
              <w:t>50% of garden and green waste is assumed to be treated in landfill, 25% is open burned and 25% is home composted.</w:t>
            </w:r>
          </w:p>
          <w:p w14:paraId="2EA1B689" w14:textId="542B813B" w:rsidR="00C129A0" w:rsidRPr="00A64B56" w:rsidRDefault="00C51A09" w:rsidP="00F40CE2">
            <w:pPr>
              <w:spacing w:after="0"/>
              <w:jc w:val="left"/>
              <w:rPr>
                <w:sz w:val="14"/>
                <w:szCs w:val="16"/>
                <w:lang w:eastAsia="x-none"/>
              </w:rPr>
            </w:pPr>
            <w:r w:rsidRPr="00A64B56">
              <w:rPr>
                <w:sz w:val="14"/>
                <w:szCs w:val="16"/>
                <w:lang w:eastAsia="x-none"/>
              </w:rPr>
              <w:t xml:space="preserve">Additional benefits provided by compost in agriculture are assumed to be provided by synthetic feritilsers, </w:t>
            </w:r>
            <w:r w:rsidR="002A0763">
              <w:rPr>
                <w:sz w:val="14"/>
                <w:szCs w:val="16"/>
                <w:lang w:eastAsia="x-none"/>
              </w:rPr>
              <w:t>herbicide</w:t>
            </w:r>
            <w:r w:rsidRPr="00A64B56">
              <w:rPr>
                <w:sz w:val="14"/>
                <w:szCs w:val="16"/>
                <w:lang w:eastAsia="x-none"/>
              </w:rPr>
              <w:t xml:space="preserve">s and by additional water application. Quantities of these materials have been estimated using </w:t>
            </w:r>
            <w:r w:rsidRPr="00A64B56">
              <w:rPr>
                <w:sz w:val="14"/>
                <w:szCs w:val="16"/>
                <w:lang w:eastAsia="x-none"/>
              </w:rPr>
              <w:fldChar w:fldCharType="begin"/>
            </w:r>
            <w:r w:rsidRPr="00A64B56">
              <w:rPr>
                <w:sz w:val="14"/>
                <w:szCs w:val="16"/>
                <w:lang w:eastAsia="x-none"/>
              </w:rPr>
              <w:instrText xml:space="preserve"> ADDIN EN.CITE &lt;EndNote&gt;&lt;Cite AuthorYear="1"&gt;&lt;Author&gt;Recycled Organics Unit&lt;/Author&gt;&lt;Year&gt;2007&lt;/Year&gt;&lt;RecNum&gt;566&lt;/RecNum&gt;&lt;DisplayText&gt;Recycled Organics Unit (2007)&lt;/DisplayText&gt;&lt;record&gt;&lt;rec-number&gt;566&lt;/rec-number&gt;&lt;foreign-keys&gt;&lt;key app="EN" db-id="tfpv5staxsvs2nexzpp5taewzsvpx0er5fap"&gt;566&lt;/key&gt;&lt;/foreign-keys&gt;&lt;ref-type name="Report"&gt;27&lt;/ref-type&gt;&lt;contributors&gt;&lt;authors&gt;&lt;author&gt;Recycled Organics Unit,&lt;/author&gt;&lt;/authors&gt;&lt;tertiary-authors&gt;&lt;author&gt;Recycled Organics Unit, The University of New South Wales, Sydney&lt;/author&gt;&lt;/tertiary-authors&gt;&lt;/contributors&gt;&lt;titles&gt;&lt;title&gt;Life Cycle Inventory and Life Cycle Assessment for Windrow Composting Systems&lt;/title&gt;&lt;/titles&gt;&lt;edition&gt;Second&lt;/edition&gt;&lt;dates&gt;&lt;year&gt;2007&lt;/year&gt;&lt;/dates&gt;&lt;publisher&gt;Report prepared for NSW Department of Environment and Conservation (Sustainability Programs Division)&lt;/publisher&gt;&lt;urls&gt;&lt;/urls&gt;&lt;/record&gt;&lt;/Cite&gt;&lt;/EndNote&gt;</w:instrText>
            </w:r>
            <w:r w:rsidRPr="00A64B56">
              <w:rPr>
                <w:sz w:val="14"/>
                <w:szCs w:val="16"/>
                <w:lang w:eastAsia="x-none"/>
              </w:rPr>
              <w:fldChar w:fldCharType="separate"/>
            </w:r>
            <w:hyperlink w:anchor="_ENREF_66" w:tooltip="Recycled Organics Unit, 2007 #566" w:history="1">
              <w:r w:rsidR="00F40CE2" w:rsidRPr="00A64B56">
                <w:rPr>
                  <w:noProof/>
                  <w:sz w:val="14"/>
                  <w:szCs w:val="16"/>
                  <w:lang w:eastAsia="x-none"/>
                </w:rPr>
                <w:t>Recycled Organics Unit (2007</w:t>
              </w:r>
            </w:hyperlink>
            <w:r w:rsidRPr="00A64B56">
              <w:rPr>
                <w:noProof/>
                <w:sz w:val="14"/>
                <w:szCs w:val="16"/>
                <w:lang w:eastAsia="x-none"/>
              </w:rPr>
              <w:t>)</w:t>
            </w:r>
            <w:r w:rsidRPr="00A64B56">
              <w:rPr>
                <w:sz w:val="14"/>
                <w:szCs w:val="16"/>
                <w:lang w:eastAsia="x-none"/>
              </w:rPr>
              <w:fldChar w:fldCharType="end"/>
            </w:r>
            <w:r w:rsidRPr="00A64B56">
              <w:rPr>
                <w:sz w:val="14"/>
                <w:szCs w:val="16"/>
                <w:lang w:eastAsia="x-none"/>
              </w:rPr>
              <w:t>.</w:t>
            </w:r>
          </w:p>
        </w:tc>
      </w:tr>
      <w:tr w:rsidR="00C129A0" w14:paraId="0526B2A9" w14:textId="77777777" w:rsidTr="00F4294D">
        <w:tc>
          <w:tcPr>
            <w:tcW w:w="959" w:type="dxa"/>
          </w:tcPr>
          <w:p w14:paraId="3C62E559" w14:textId="366D48D7" w:rsidR="00C129A0" w:rsidRPr="00A64B56" w:rsidRDefault="00C129A0" w:rsidP="00C129A0">
            <w:pPr>
              <w:spacing w:after="0"/>
              <w:jc w:val="left"/>
              <w:rPr>
                <w:sz w:val="14"/>
                <w:szCs w:val="16"/>
                <w:lang w:eastAsia="x-none"/>
              </w:rPr>
            </w:pPr>
            <w:r w:rsidRPr="00A64B56">
              <w:rPr>
                <w:sz w:val="14"/>
                <w:szCs w:val="16"/>
                <w:lang w:eastAsia="x-none"/>
              </w:rPr>
              <w:t>Treatment of waste paper</w:t>
            </w:r>
          </w:p>
        </w:tc>
        <w:tc>
          <w:tcPr>
            <w:tcW w:w="4623" w:type="dxa"/>
          </w:tcPr>
          <w:p w14:paraId="1C3556A4" w14:textId="77777777" w:rsidR="00A3704E" w:rsidRPr="00A64B56" w:rsidRDefault="00C51A09" w:rsidP="00C129A0">
            <w:pPr>
              <w:spacing w:after="0"/>
              <w:jc w:val="left"/>
              <w:rPr>
                <w:sz w:val="14"/>
                <w:szCs w:val="16"/>
                <w:lang w:eastAsia="x-none"/>
              </w:rPr>
            </w:pPr>
            <w:r w:rsidRPr="00A64B56">
              <w:rPr>
                <w:sz w:val="14"/>
                <w:szCs w:val="16"/>
                <w:lang w:eastAsia="x-none"/>
              </w:rPr>
              <w:t xml:space="preserve">Waste paper </w:t>
            </w:r>
            <w:r w:rsidR="00A3704E" w:rsidRPr="00A64B56">
              <w:rPr>
                <w:sz w:val="14"/>
                <w:szCs w:val="16"/>
                <w:lang w:eastAsia="x-none"/>
              </w:rPr>
              <w:t xml:space="preserve">collected </w:t>
            </w:r>
            <w:r w:rsidRPr="00A64B56">
              <w:rPr>
                <w:sz w:val="14"/>
                <w:szCs w:val="16"/>
                <w:lang w:eastAsia="x-none"/>
              </w:rPr>
              <w:t xml:space="preserve">is </w:t>
            </w:r>
            <w:r w:rsidR="00A3704E" w:rsidRPr="00A64B56">
              <w:rPr>
                <w:sz w:val="14"/>
                <w:szCs w:val="16"/>
                <w:lang w:eastAsia="x-none"/>
              </w:rPr>
              <w:t xml:space="preserve">assumed to be </w:t>
            </w:r>
            <w:r w:rsidRPr="00A64B56">
              <w:rPr>
                <w:sz w:val="14"/>
                <w:szCs w:val="16"/>
                <w:lang w:eastAsia="x-none"/>
              </w:rPr>
              <w:t>reprocessed into packaging paper</w:t>
            </w:r>
            <w:r w:rsidR="00A3704E" w:rsidRPr="00A64B56">
              <w:rPr>
                <w:sz w:val="14"/>
                <w:szCs w:val="16"/>
                <w:lang w:eastAsia="x-none"/>
              </w:rPr>
              <w:t>, both within Australia (56%) and internationally (China, 44%).</w:t>
            </w:r>
          </w:p>
          <w:p w14:paraId="3905667E" w14:textId="03EE74B4" w:rsidR="00C129A0" w:rsidRPr="00A64B56" w:rsidRDefault="00A3704E" w:rsidP="00C129A0">
            <w:pPr>
              <w:spacing w:after="0"/>
              <w:jc w:val="left"/>
              <w:rPr>
                <w:sz w:val="14"/>
                <w:szCs w:val="16"/>
                <w:lang w:eastAsia="x-none"/>
              </w:rPr>
            </w:pPr>
            <w:r w:rsidRPr="00A64B56">
              <w:rPr>
                <w:sz w:val="14"/>
                <w:szCs w:val="16"/>
                <w:lang w:eastAsia="x-none"/>
              </w:rPr>
              <w:t xml:space="preserve">Reprocessing within Australia is assumed to be undertaken in a manner similar to that operated at Amcor’s Botany paper plant. </w:t>
            </w:r>
            <w:r w:rsidR="00097E5D" w:rsidRPr="00A64B56">
              <w:rPr>
                <w:sz w:val="14"/>
                <w:szCs w:val="16"/>
                <w:lang w:eastAsia="x-none"/>
              </w:rPr>
              <w:t xml:space="preserve">The inventory is based upon published data for the Botany plant, complemented by European data. </w:t>
            </w:r>
            <w:r w:rsidRPr="00A64B56">
              <w:rPr>
                <w:sz w:val="14"/>
                <w:szCs w:val="16"/>
                <w:lang w:eastAsia="x-none"/>
              </w:rPr>
              <w:t>For the China inventory, this process is adjusted to incorporate the use of coal for heat in place of natural gas.</w:t>
            </w:r>
          </w:p>
        </w:tc>
        <w:tc>
          <w:tcPr>
            <w:tcW w:w="4624" w:type="dxa"/>
          </w:tcPr>
          <w:p w14:paraId="33B49A1C" w14:textId="77777777" w:rsidR="00A3704E" w:rsidRPr="00A64B56" w:rsidRDefault="00A3704E" w:rsidP="00A3704E">
            <w:pPr>
              <w:spacing w:after="0"/>
              <w:jc w:val="left"/>
              <w:rPr>
                <w:sz w:val="14"/>
                <w:szCs w:val="16"/>
                <w:lang w:eastAsia="x-none"/>
              </w:rPr>
            </w:pPr>
            <w:r w:rsidRPr="00A64B56">
              <w:rPr>
                <w:sz w:val="14"/>
                <w:szCs w:val="16"/>
                <w:lang w:eastAsia="x-none"/>
              </w:rPr>
              <w:t>Waste paper is assumed to be treated in landfill.</w:t>
            </w:r>
          </w:p>
          <w:p w14:paraId="302AD907" w14:textId="6DFFCAA5" w:rsidR="00097E5D" w:rsidRPr="00A64B56" w:rsidRDefault="00A3704E" w:rsidP="00A3704E">
            <w:pPr>
              <w:spacing w:after="0"/>
              <w:jc w:val="left"/>
              <w:rPr>
                <w:sz w:val="14"/>
                <w:szCs w:val="16"/>
                <w:lang w:eastAsia="x-none"/>
              </w:rPr>
            </w:pPr>
            <w:r w:rsidRPr="00A64B56">
              <w:rPr>
                <w:sz w:val="14"/>
                <w:szCs w:val="16"/>
                <w:lang w:eastAsia="x-none"/>
              </w:rPr>
              <w:t xml:space="preserve">Packaging paper production </w:t>
            </w:r>
            <w:r w:rsidR="00097E5D" w:rsidRPr="00A64B56">
              <w:rPr>
                <w:sz w:val="14"/>
                <w:szCs w:val="16"/>
                <w:lang w:eastAsia="x-none"/>
              </w:rPr>
              <w:t xml:space="preserve">(equivalent to that produced by the Recycling System) </w:t>
            </w:r>
            <w:r w:rsidRPr="00A64B56">
              <w:rPr>
                <w:sz w:val="14"/>
                <w:szCs w:val="16"/>
                <w:lang w:eastAsia="x-none"/>
              </w:rPr>
              <w:t>is assu</w:t>
            </w:r>
            <w:r w:rsidR="00097E5D" w:rsidRPr="00A64B56">
              <w:rPr>
                <w:sz w:val="14"/>
                <w:szCs w:val="16"/>
                <w:lang w:eastAsia="x-none"/>
              </w:rPr>
              <w:t>med to be via the Kraft process, similar to that employed by Visy at Tumut for packaging paper production. The inventory is based upon published data for the Tumut facility. The inventory is modified for paper production in China, to incorporate coal as the primary heat source, in place of gas. Quantities of materials produced through each inventory are equivalent to those produced by the Recycling System.</w:t>
            </w:r>
          </w:p>
          <w:p w14:paraId="1F39BD7A" w14:textId="6491E126" w:rsidR="00C129A0" w:rsidRPr="00A64B56" w:rsidRDefault="00097E5D" w:rsidP="00A3704E">
            <w:pPr>
              <w:spacing w:after="0"/>
              <w:jc w:val="left"/>
              <w:rPr>
                <w:sz w:val="14"/>
                <w:szCs w:val="16"/>
                <w:lang w:eastAsia="x-none"/>
              </w:rPr>
            </w:pPr>
            <w:r w:rsidRPr="00A64B56">
              <w:rPr>
                <w:sz w:val="14"/>
                <w:szCs w:val="16"/>
                <w:lang w:eastAsia="x-none"/>
              </w:rPr>
              <w:t>Carbon stocks in forests and forests products are assumed to remain constant across the life cycle.</w:t>
            </w:r>
          </w:p>
        </w:tc>
      </w:tr>
      <w:tr w:rsidR="00C129A0" w14:paraId="4AEA9082" w14:textId="77777777" w:rsidTr="00F4294D">
        <w:tc>
          <w:tcPr>
            <w:tcW w:w="959" w:type="dxa"/>
          </w:tcPr>
          <w:p w14:paraId="38A0BFDB" w14:textId="3288FF36" w:rsidR="00C129A0" w:rsidRPr="00A64B56" w:rsidRDefault="00C129A0" w:rsidP="00C129A0">
            <w:pPr>
              <w:spacing w:after="0"/>
              <w:jc w:val="left"/>
              <w:rPr>
                <w:sz w:val="14"/>
                <w:szCs w:val="16"/>
                <w:lang w:eastAsia="x-none"/>
              </w:rPr>
            </w:pPr>
            <w:r w:rsidRPr="00A64B56">
              <w:rPr>
                <w:sz w:val="14"/>
                <w:szCs w:val="16"/>
                <w:lang w:eastAsia="x-none"/>
              </w:rPr>
              <w:t>Treatment of waste glass</w:t>
            </w:r>
          </w:p>
        </w:tc>
        <w:tc>
          <w:tcPr>
            <w:tcW w:w="4623" w:type="dxa"/>
          </w:tcPr>
          <w:p w14:paraId="09ED12D2" w14:textId="78524CAF" w:rsidR="00C129A0" w:rsidRPr="00A64B56" w:rsidRDefault="00574363" w:rsidP="00097E5D">
            <w:pPr>
              <w:spacing w:after="0"/>
              <w:jc w:val="left"/>
              <w:rPr>
                <w:sz w:val="14"/>
                <w:szCs w:val="16"/>
                <w:lang w:eastAsia="x-none"/>
              </w:rPr>
            </w:pPr>
            <w:r>
              <w:rPr>
                <w:sz w:val="14"/>
                <w:szCs w:val="16"/>
                <w:lang w:eastAsia="x-none"/>
              </w:rPr>
              <w:t>85</w:t>
            </w:r>
            <w:r w:rsidR="00097E5D" w:rsidRPr="00A64B56">
              <w:rPr>
                <w:sz w:val="14"/>
                <w:szCs w:val="16"/>
                <w:lang w:eastAsia="x-none"/>
              </w:rPr>
              <w:t>% of waste glass collected at the kerbside is assumed to be reprocessed into glass packaging and the balance into aggregate substitute products (sands).</w:t>
            </w:r>
            <w:r w:rsidR="00F4294D">
              <w:rPr>
                <w:sz w:val="14"/>
                <w:szCs w:val="16"/>
                <w:lang w:eastAsia="x-none"/>
              </w:rPr>
              <w:t xml:space="preserve"> </w:t>
            </w:r>
            <w:r w:rsidR="00097E5D" w:rsidRPr="00A64B56">
              <w:rPr>
                <w:sz w:val="14"/>
                <w:szCs w:val="16"/>
                <w:lang w:eastAsia="x-none"/>
              </w:rPr>
              <w:t xml:space="preserve">All glass packaging is assumed to be reprocessed locally in Melbourne. The process inventory adopted is based upon a survey of German glass producers, which correlates well to key data elements published by the local industry (such as greenhouse gasses per tonne). </w:t>
            </w:r>
          </w:p>
        </w:tc>
        <w:tc>
          <w:tcPr>
            <w:tcW w:w="4624" w:type="dxa"/>
          </w:tcPr>
          <w:p w14:paraId="0A910B00" w14:textId="67A7DFFB" w:rsidR="001875F4" w:rsidRPr="00A64B56" w:rsidRDefault="001875F4" w:rsidP="00C129A0">
            <w:pPr>
              <w:spacing w:after="0"/>
              <w:jc w:val="left"/>
              <w:rPr>
                <w:sz w:val="14"/>
                <w:szCs w:val="16"/>
                <w:lang w:eastAsia="x-none"/>
              </w:rPr>
            </w:pPr>
            <w:r w:rsidRPr="00A64B56">
              <w:rPr>
                <w:sz w:val="14"/>
                <w:szCs w:val="16"/>
                <w:lang w:eastAsia="x-none"/>
              </w:rPr>
              <w:t>Waste glass is assumed to be processed in landfill.</w:t>
            </w:r>
          </w:p>
          <w:p w14:paraId="27187A46" w14:textId="77777777" w:rsidR="001875F4" w:rsidRPr="00A64B56" w:rsidRDefault="001875F4" w:rsidP="00C129A0">
            <w:pPr>
              <w:spacing w:after="0"/>
              <w:jc w:val="left"/>
              <w:rPr>
                <w:sz w:val="14"/>
                <w:szCs w:val="16"/>
                <w:lang w:eastAsia="x-none"/>
              </w:rPr>
            </w:pPr>
            <w:r w:rsidRPr="00A64B56">
              <w:rPr>
                <w:sz w:val="14"/>
                <w:szCs w:val="16"/>
                <w:lang w:eastAsia="x-none"/>
              </w:rPr>
              <w:t>Packaging glass production is assumed to be produced locally using the same inventory as for the Recycling System. The inventory is adjusted to remove recycled cullet and increase raw materials and energy, in accordance with published ratios.</w:t>
            </w:r>
          </w:p>
          <w:p w14:paraId="66F7C918" w14:textId="3016B829" w:rsidR="00C129A0" w:rsidRPr="00A64B56" w:rsidRDefault="001875F4" w:rsidP="00C129A0">
            <w:pPr>
              <w:spacing w:after="0"/>
              <w:jc w:val="left"/>
              <w:rPr>
                <w:sz w:val="14"/>
                <w:szCs w:val="16"/>
                <w:lang w:eastAsia="x-none"/>
              </w:rPr>
            </w:pPr>
            <w:r w:rsidRPr="00A64B56">
              <w:rPr>
                <w:sz w:val="14"/>
                <w:szCs w:val="16"/>
                <w:lang w:eastAsia="x-none"/>
              </w:rPr>
              <w:t>Aggregate products are assumed to be provided by sand, which is mined locally. A sand mining operation from Queensland is used as the basis for the inventory.</w:t>
            </w:r>
          </w:p>
        </w:tc>
      </w:tr>
      <w:tr w:rsidR="00C129A0" w14:paraId="60729951" w14:textId="77777777" w:rsidTr="00F4294D">
        <w:tc>
          <w:tcPr>
            <w:tcW w:w="959" w:type="dxa"/>
          </w:tcPr>
          <w:p w14:paraId="23B6AF8F" w14:textId="5AAAF7F6" w:rsidR="00C129A0" w:rsidRPr="00A64B56" w:rsidRDefault="00C51A09" w:rsidP="00C129A0">
            <w:pPr>
              <w:spacing w:after="0"/>
              <w:jc w:val="left"/>
              <w:rPr>
                <w:sz w:val="14"/>
                <w:szCs w:val="16"/>
                <w:lang w:eastAsia="x-none"/>
              </w:rPr>
            </w:pPr>
            <w:r w:rsidRPr="00A64B56">
              <w:rPr>
                <w:sz w:val="14"/>
                <w:szCs w:val="16"/>
                <w:lang w:eastAsia="x-none"/>
              </w:rPr>
              <w:t>Treatment</w:t>
            </w:r>
            <w:r w:rsidR="00C129A0" w:rsidRPr="00A64B56">
              <w:rPr>
                <w:sz w:val="14"/>
                <w:szCs w:val="16"/>
                <w:lang w:eastAsia="x-none"/>
              </w:rPr>
              <w:t xml:space="preserve"> of waste aluminium cans</w:t>
            </w:r>
          </w:p>
        </w:tc>
        <w:tc>
          <w:tcPr>
            <w:tcW w:w="4623" w:type="dxa"/>
          </w:tcPr>
          <w:p w14:paraId="3279BCBE" w14:textId="5891DED2" w:rsidR="00C129A0" w:rsidRPr="00A64B56" w:rsidRDefault="001875F4" w:rsidP="00C129A0">
            <w:pPr>
              <w:spacing w:after="0"/>
              <w:jc w:val="left"/>
              <w:rPr>
                <w:sz w:val="14"/>
                <w:szCs w:val="16"/>
                <w:lang w:eastAsia="x-none"/>
              </w:rPr>
            </w:pPr>
            <w:r w:rsidRPr="00A64B56">
              <w:rPr>
                <w:sz w:val="14"/>
                <w:szCs w:val="16"/>
                <w:lang w:eastAsia="x-none"/>
              </w:rPr>
              <w:t>48% of waste aluminium cans are assumed to be reprocessed at Yennora in NSW, and 52% are assumed to be reprocessed in South Korea. The reprocessing inventory is a European inventory, utilising similar technology to Yennora, and that correlates well with data fragments published for the Yennora facility. The Korea inventory</w:t>
            </w:r>
            <w:r w:rsidR="00291CBB" w:rsidRPr="00A64B56">
              <w:rPr>
                <w:sz w:val="14"/>
                <w:szCs w:val="16"/>
                <w:lang w:eastAsia="x-none"/>
              </w:rPr>
              <w:t xml:space="preserve"> is similar to Australia, however energy sources (electricity and natural gas) have been adjusted to suit Korean conditions.</w:t>
            </w:r>
          </w:p>
        </w:tc>
        <w:tc>
          <w:tcPr>
            <w:tcW w:w="4624" w:type="dxa"/>
          </w:tcPr>
          <w:p w14:paraId="00280CEA" w14:textId="77777777" w:rsidR="00291CBB" w:rsidRPr="00A64B56" w:rsidRDefault="00291CBB" w:rsidP="00C129A0">
            <w:pPr>
              <w:spacing w:after="0"/>
              <w:jc w:val="left"/>
              <w:rPr>
                <w:sz w:val="14"/>
                <w:szCs w:val="16"/>
                <w:lang w:eastAsia="x-none"/>
              </w:rPr>
            </w:pPr>
            <w:r w:rsidRPr="00A64B56">
              <w:rPr>
                <w:sz w:val="14"/>
                <w:szCs w:val="16"/>
                <w:lang w:eastAsia="x-none"/>
              </w:rPr>
              <w:t>Waste aluminium cans are assumed to be disposed of to landfill.</w:t>
            </w:r>
          </w:p>
          <w:p w14:paraId="034A9CEB" w14:textId="50991F7F" w:rsidR="00C129A0" w:rsidRPr="00A64B56" w:rsidRDefault="00291CBB" w:rsidP="00C129A0">
            <w:pPr>
              <w:spacing w:after="0"/>
              <w:jc w:val="left"/>
              <w:rPr>
                <w:sz w:val="14"/>
                <w:szCs w:val="16"/>
                <w:lang w:eastAsia="x-none"/>
              </w:rPr>
            </w:pPr>
            <w:r w:rsidRPr="00A64B56">
              <w:rPr>
                <w:sz w:val="14"/>
                <w:szCs w:val="16"/>
                <w:lang w:eastAsia="x-none"/>
              </w:rPr>
              <w:t>Aluminium is assumed to be produced at the same quantity as the Recycling System, using a process inventory based upon Australian producer information, which is adjusted for recent improvements in perflourocarbon emissions. As no primary aluminium production occurs in South Korea, it is assumed that a quantity of aluminium is shipped from Australia to Korea to achieve functional equivalence to the Recycling System.</w:t>
            </w:r>
          </w:p>
        </w:tc>
      </w:tr>
      <w:tr w:rsidR="00C129A0" w14:paraId="791CA116" w14:textId="77777777" w:rsidTr="00F4294D">
        <w:tc>
          <w:tcPr>
            <w:tcW w:w="959" w:type="dxa"/>
          </w:tcPr>
          <w:p w14:paraId="6C858EF8" w14:textId="1B841878" w:rsidR="00C129A0" w:rsidRPr="00A64B56" w:rsidRDefault="00C129A0" w:rsidP="00C129A0">
            <w:pPr>
              <w:spacing w:after="0"/>
              <w:jc w:val="left"/>
              <w:rPr>
                <w:sz w:val="14"/>
                <w:szCs w:val="16"/>
                <w:lang w:eastAsia="x-none"/>
              </w:rPr>
            </w:pPr>
            <w:r w:rsidRPr="00A64B56">
              <w:rPr>
                <w:sz w:val="14"/>
                <w:szCs w:val="16"/>
                <w:lang w:eastAsia="x-none"/>
              </w:rPr>
              <w:t>Treatment of waste steel cans</w:t>
            </w:r>
          </w:p>
        </w:tc>
        <w:tc>
          <w:tcPr>
            <w:tcW w:w="4623" w:type="dxa"/>
          </w:tcPr>
          <w:p w14:paraId="27D18D75" w14:textId="62DB3814" w:rsidR="00291CBB" w:rsidRPr="00A64B56" w:rsidRDefault="00291CBB" w:rsidP="00C129A0">
            <w:pPr>
              <w:spacing w:after="0"/>
              <w:jc w:val="left"/>
              <w:rPr>
                <w:sz w:val="14"/>
                <w:szCs w:val="16"/>
                <w:lang w:eastAsia="x-none"/>
              </w:rPr>
            </w:pPr>
            <w:r w:rsidRPr="00A64B56">
              <w:rPr>
                <w:sz w:val="14"/>
                <w:szCs w:val="16"/>
                <w:lang w:eastAsia="x-none"/>
              </w:rPr>
              <w:t>41% of steel cans recovered are assumed to be reprocessed locally whin Victoria in Electro Arc Furnaces (EAFs). 59% of steel cans are assumed to be shipped to Malaysia where it is assumed they undergo a de</w:t>
            </w:r>
            <w:r w:rsidR="001763C6" w:rsidRPr="00A64B56">
              <w:rPr>
                <w:sz w:val="14"/>
                <w:szCs w:val="16"/>
                <w:lang w:eastAsia="x-none"/>
              </w:rPr>
              <w:t>-</w:t>
            </w:r>
            <w:r w:rsidRPr="00A64B56">
              <w:rPr>
                <w:sz w:val="14"/>
                <w:szCs w:val="16"/>
                <w:lang w:eastAsia="x-none"/>
              </w:rPr>
              <w:t>tinning process prior to EAF melting to produce steel products.</w:t>
            </w:r>
          </w:p>
          <w:p w14:paraId="5ACAB654" w14:textId="1A929A73" w:rsidR="00C129A0" w:rsidRPr="00A64B56" w:rsidRDefault="001763C6" w:rsidP="00F40CE2">
            <w:pPr>
              <w:spacing w:after="0"/>
              <w:jc w:val="left"/>
              <w:rPr>
                <w:sz w:val="14"/>
                <w:szCs w:val="16"/>
                <w:lang w:eastAsia="x-none"/>
              </w:rPr>
            </w:pPr>
            <w:r w:rsidRPr="00A64B56">
              <w:rPr>
                <w:sz w:val="14"/>
                <w:szCs w:val="16"/>
                <w:lang w:eastAsia="x-none"/>
              </w:rPr>
              <w:t xml:space="preserve">The EAF reprocessing inventory is based upon a study of Australian steel makers </w:t>
            </w:r>
            <w:r w:rsidRPr="00A64B56">
              <w:rPr>
                <w:sz w:val="14"/>
                <w:szCs w:val="16"/>
                <w:lang w:eastAsia="x-none"/>
              </w:rPr>
              <w:fldChar w:fldCharType="begin"/>
            </w:r>
            <w:r w:rsidR="00F40CE2">
              <w:rPr>
                <w:sz w:val="14"/>
                <w:szCs w:val="16"/>
                <w:lang w:eastAsia="x-none"/>
              </w:rPr>
              <w:instrText xml:space="preserve"> ADDIN EN.CITE &lt;EndNote&gt;&lt;Cite&gt;&lt;Author&gt;Energetics&lt;/Author&gt;&lt;Year&gt;2012&lt;/Year&gt;&lt;RecNum&gt;655&lt;/RecNum&gt;&lt;DisplayText&gt;(Energetics,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20" w:tooltip="Energetics, 2012 #655" w:history="1">
              <w:r w:rsidR="00F40CE2">
                <w:rPr>
                  <w:noProof/>
                  <w:sz w:val="14"/>
                  <w:szCs w:val="16"/>
                  <w:lang w:eastAsia="x-none"/>
                </w:rPr>
                <w:t>Energetics, 2012</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 For Malaysia the Australian inventory is adjusted to suit local energy supplies and to incorporate a de-tinning process.</w:t>
            </w:r>
          </w:p>
        </w:tc>
        <w:tc>
          <w:tcPr>
            <w:tcW w:w="4624" w:type="dxa"/>
          </w:tcPr>
          <w:p w14:paraId="24D57C61" w14:textId="77777777" w:rsidR="001763C6" w:rsidRPr="00A64B56" w:rsidRDefault="001763C6" w:rsidP="00C129A0">
            <w:pPr>
              <w:spacing w:after="0"/>
              <w:jc w:val="left"/>
              <w:rPr>
                <w:sz w:val="14"/>
                <w:szCs w:val="16"/>
                <w:lang w:eastAsia="x-none"/>
              </w:rPr>
            </w:pPr>
            <w:r w:rsidRPr="00A64B56">
              <w:rPr>
                <w:sz w:val="14"/>
                <w:szCs w:val="16"/>
                <w:lang w:eastAsia="x-none"/>
              </w:rPr>
              <w:t>Waste steel cans are assumed to be processed in landfill.</w:t>
            </w:r>
          </w:p>
          <w:p w14:paraId="2DC1A67C" w14:textId="505C3F60" w:rsidR="00C129A0" w:rsidRPr="00A64B56" w:rsidRDefault="001763C6" w:rsidP="00F40CE2">
            <w:pPr>
              <w:spacing w:after="0"/>
              <w:jc w:val="left"/>
              <w:rPr>
                <w:sz w:val="14"/>
                <w:szCs w:val="16"/>
                <w:lang w:eastAsia="x-none"/>
              </w:rPr>
            </w:pPr>
            <w:r w:rsidRPr="00A64B56">
              <w:rPr>
                <w:sz w:val="14"/>
                <w:szCs w:val="16"/>
                <w:lang w:eastAsia="x-none"/>
              </w:rPr>
              <w:t xml:space="preserve">Steel quantities, as produced by the Recycling System, are assumed to be produced by the Blast Furnace – Basic Oxygen Steelmaking (BF-BOS) process. The inventory is based upon a published inventory of Australian steelmaking </w:t>
            </w:r>
            <w:r w:rsidRPr="00A64B56">
              <w:rPr>
                <w:sz w:val="14"/>
                <w:szCs w:val="16"/>
                <w:lang w:eastAsia="x-none"/>
              </w:rPr>
              <w:fldChar w:fldCharType="begin"/>
            </w:r>
            <w:r w:rsidR="00F40CE2">
              <w:rPr>
                <w:sz w:val="14"/>
                <w:szCs w:val="16"/>
                <w:lang w:eastAsia="x-none"/>
              </w:rPr>
              <w:instrText xml:space="preserve"> ADDIN EN.CITE &lt;EndNote&gt;&lt;Cite&gt;&lt;Author&gt;Energetics&lt;/Author&gt;&lt;Year&gt;2012&lt;/Year&gt;&lt;RecNum&gt;655&lt;/RecNum&gt;&lt;DisplayText&gt;(Energetics,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rsidRPr="00A64B56">
              <w:rPr>
                <w:sz w:val="14"/>
                <w:szCs w:val="16"/>
                <w:lang w:eastAsia="x-none"/>
              </w:rPr>
              <w:fldChar w:fldCharType="separate"/>
            </w:r>
            <w:r w:rsidR="00F40CE2">
              <w:rPr>
                <w:noProof/>
                <w:sz w:val="14"/>
                <w:szCs w:val="16"/>
                <w:lang w:eastAsia="x-none"/>
              </w:rPr>
              <w:t>(</w:t>
            </w:r>
            <w:hyperlink w:anchor="_ENREF_20" w:tooltip="Energetics, 2012 #655" w:history="1">
              <w:r w:rsidR="00F40CE2">
                <w:rPr>
                  <w:noProof/>
                  <w:sz w:val="14"/>
                  <w:szCs w:val="16"/>
                  <w:lang w:eastAsia="x-none"/>
                </w:rPr>
                <w:t>Energetics, 2012</w:t>
              </w:r>
            </w:hyperlink>
            <w:r w:rsidR="00F40CE2">
              <w:rPr>
                <w:noProof/>
                <w:sz w:val="14"/>
                <w:szCs w:val="16"/>
                <w:lang w:eastAsia="x-none"/>
              </w:rPr>
              <w:t>)</w:t>
            </w:r>
            <w:r w:rsidRPr="00A64B56">
              <w:rPr>
                <w:sz w:val="14"/>
                <w:szCs w:val="16"/>
                <w:lang w:eastAsia="x-none"/>
              </w:rPr>
              <w:fldChar w:fldCharType="end"/>
            </w:r>
            <w:r w:rsidRPr="00A64B56">
              <w:rPr>
                <w:sz w:val="14"/>
                <w:szCs w:val="16"/>
                <w:lang w:eastAsia="x-none"/>
              </w:rPr>
              <w:t>. All steel is assumed to be produced in Australia, with a portion shipped to Malaysia to achieve functional equivalence to the Recycling system (steel is not generally produced from virgin resources in Malaysia).</w:t>
            </w:r>
          </w:p>
        </w:tc>
      </w:tr>
      <w:tr w:rsidR="00C129A0" w14:paraId="39D82504" w14:textId="77777777" w:rsidTr="00F4294D">
        <w:tc>
          <w:tcPr>
            <w:tcW w:w="959" w:type="dxa"/>
          </w:tcPr>
          <w:p w14:paraId="5A5CB21E" w14:textId="2D11615E" w:rsidR="00C129A0" w:rsidRPr="00A64B56" w:rsidRDefault="00C129A0" w:rsidP="00C129A0">
            <w:pPr>
              <w:spacing w:after="0"/>
              <w:jc w:val="left"/>
              <w:rPr>
                <w:sz w:val="14"/>
                <w:szCs w:val="16"/>
                <w:lang w:eastAsia="x-none"/>
              </w:rPr>
            </w:pPr>
            <w:r w:rsidRPr="00A64B56">
              <w:rPr>
                <w:sz w:val="14"/>
                <w:szCs w:val="16"/>
                <w:lang w:eastAsia="x-none"/>
              </w:rPr>
              <w:t>Treatment of waste plastics</w:t>
            </w:r>
          </w:p>
        </w:tc>
        <w:tc>
          <w:tcPr>
            <w:tcW w:w="4623" w:type="dxa"/>
          </w:tcPr>
          <w:p w14:paraId="01499DF6" w14:textId="0627ED11" w:rsidR="00516E23" w:rsidRPr="00A64B56" w:rsidRDefault="001763C6" w:rsidP="001763C6">
            <w:pPr>
              <w:spacing w:after="0"/>
              <w:jc w:val="left"/>
              <w:rPr>
                <w:sz w:val="14"/>
                <w:szCs w:val="16"/>
                <w:lang w:eastAsia="x-none"/>
              </w:rPr>
            </w:pPr>
            <w:r w:rsidRPr="00A64B56">
              <w:rPr>
                <w:sz w:val="14"/>
                <w:szCs w:val="16"/>
                <w:lang w:eastAsia="x-none"/>
              </w:rPr>
              <w:t xml:space="preserve">Homogeneous waste plastic streams (PET and HDPE) are assumed to be processed locally (46%) and internationally (China, 54%). Reprocessing is assumed to involve a cleaning and repelletisation process, similar to that modelled by </w:t>
            </w:r>
            <w:r w:rsidR="007F6736" w:rsidRPr="00A64B56">
              <w:rPr>
                <w:sz w:val="14"/>
                <w:szCs w:val="16"/>
                <w:lang w:eastAsia="x-none"/>
              </w:rPr>
              <w:fldChar w:fldCharType="begin"/>
            </w:r>
            <w:r w:rsidR="00F40CE2">
              <w:rPr>
                <w:sz w:val="14"/>
                <w:szCs w:val="16"/>
                <w:lang w:eastAsia="x-none"/>
              </w:rPr>
              <w:instrText xml:space="preserve"> ADDIN EN.CITE &lt;EndNote&gt;&lt;Cite&gt;&lt;Author&gt;Franklin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rsidR="007F6736" w:rsidRPr="00A64B56">
              <w:rPr>
                <w:sz w:val="14"/>
                <w:szCs w:val="16"/>
                <w:lang w:eastAsia="x-none"/>
              </w:rPr>
              <w:fldChar w:fldCharType="separate"/>
            </w:r>
            <w:r w:rsidR="00F40CE2">
              <w:rPr>
                <w:noProof/>
                <w:sz w:val="14"/>
                <w:szCs w:val="16"/>
                <w:lang w:eastAsia="x-none"/>
              </w:rPr>
              <w:t>(</w:t>
            </w:r>
            <w:hyperlink w:anchor="_ENREF_29" w:tooltip="Franklin Associates., 2010 #284" w:history="1">
              <w:r w:rsidR="00F40CE2">
                <w:rPr>
                  <w:noProof/>
                  <w:sz w:val="14"/>
                  <w:szCs w:val="16"/>
                  <w:lang w:eastAsia="x-none"/>
                </w:rPr>
                <w:t>Franklin Associates., 2010</w:t>
              </w:r>
            </w:hyperlink>
            <w:r w:rsidR="00F40CE2">
              <w:rPr>
                <w:noProof/>
                <w:sz w:val="14"/>
                <w:szCs w:val="16"/>
                <w:lang w:eastAsia="x-none"/>
              </w:rPr>
              <w:t>)</w:t>
            </w:r>
            <w:r w:rsidR="007F6736" w:rsidRPr="00A64B56">
              <w:rPr>
                <w:sz w:val="14"/>
                <w:szCs w:val="16"/>
                <w:lang w:eastAsia="x-none"/>
              </w:rPr>
              <w:fldChar w:fldCharType="end"/>
            </w:r>
            <w:r w:rsidRPr="00A64B56">
              <w:rPr>
                <w:sz w:val="14"/>
                <w:szCs w:val="16"/>
                <w:lang w:eastAsia="x-none"/>
              </w:rPr>
              <w:t xml:space="preserve"> for U.S. processors</w:t>
            </w:r>
            <w:r w:rsidR="00516E23" w:rsidRPr="00A64B56">
              <w:rPr>
                <w:sz w:val="14"/>
                <w:szCs w:val="16"/>
                <w:lang w:eastAsia="x-none"/>
              </w:rPr>
              <w:t>.</w:t>
            </w:r>
          </w:p>
          <w:p w14:paraId="3129FCBF" w14:textId="730FE3D0" w:rsidR="00C129A0" w:rsidRPr="00A64B56" w:rsidRDefault="00516E23" w:rsidP="00516E23">
            <w:pPr>
              <w:spacing w:after="0"/>
              <w:jc w:val="left"/>
              <w:rPr>
                <w:sz w:val="14"/>
                <w:szCs w:val="16"/>
                <w:lang w:eastAsia="x-none"/>
              </w:rPr>
            </w:pPr>
            <w:r w:rsidRPr="00A64B56">
              <w:rPr>
                <w:sz w:val="14"/>
                <w:szCs w:val="16"/>
                <w:lang w:eastAsia="x-none"/>
              </w:rPr>
              <w:t>Mixed streams (including coloured HDPE) are assumed to be reprocessed entirely in China. Reprocessing is assumed to be largely manual (which are excluded from the LCA), with included burdens similar to those for homogeneous HDPE. It is acknowledged that reprocessing for these streams is highly uncertain.</w:t>
            </w:r>
          </w:p>
        </w:tc>
        <w:tc>
          <w:tcPr>
            <w:tcW w:w="4624" w:type="dxa"/>
          </w:tcPr>
          <w:p w14:paraId="7A79E891" w14:textId="77777777" w:rsidR="007F6736" w:rsidRPr="00A64B56" w:rsidRDefault="00516E23" w:rsidP="00C129A0">
            <w:pPr>
              <w:spacing w:after="0"/>
              <w:jc w:val="left"/>
              <w:rPr>
                <w:sz w:val="14"/>
                <w:szCs w:val="16"/>
                <w:lang w:eastAsia="x-none"/>
              </w:rPr>
            </w:pPr>
            <w:r w:rsidRPr="00A64B56">
              <w:rPr>
                <w:sz w:val="14"/>
                <w:szCs w:val="16"/>
                <w:lang w:eastAsia="x-none"/>
              </w:rPr>
              <w:t xml:space="preserve">Waste plastics are assumed to be </w:t>
            </w:r>
            <w:r w:rsidR="007F6736" w:rsidRPr="00A64B56">
              <w:rPr>
                <w:sz w:val="14"/>
                <w:szCs w:val="16"/>
                <w:lang w:eastAsia="x-none"/>
              </w:rPr>
              <w:t>treated in landfill.</w:t>
            </w:r>
          </w:p>
          <w:p w14:paraId="32D1E8AE" w14:textId="10988428" w:rsidR="00C129A0" w:rsidRPr="00A64B56" w:rsidRDefault="007F6736" w:rsidP="00F4294D">
            <w:pPr>
              <w:spacing w:after="0"/>
              <w:jc w:val="left"/>
              <w:rPr>
                <w:sz w:val="14"/>
                <w:szCs w:val="16"/>
                <w:lang w:eastAsia="x-none"/>
              </w:rPr>
            </w:pPr>
            <w:r w:rsidRPr="00A64B56">
              <w:rPr>
                <w:sz w:val="14"/>
                <w:szCs w:val="16"/>
                <w:lang w:eastAsia="x-none"/>
              </w:rPr>
              <w:t>Unlike the other inventories above, plastics production is assumed to be produced through a generic inventory (utilising virgin feedstocks) for each plastic type produced by the Recycling System. These inventories are from the Ecoinvent database and are based upon data produced by Plastics Europe. They are not adjusted for regional energy supplies, and are used as is. Although the regional appropriateness of the datasets is questionable, their overall data quality is believed to be higher than if regional data sets were used, which have varying data qualities.</w:t>
            </w:r>
          </w:p>
        </w:tc>
      </w:tr>
    </w:tbl>
    <w:p w14:paraId="2D51AECA" w14:textId="77777777" w:rsidR="00F4294D" w:rsidRDefault="00F4294D" w:rsidP="00F4294D"/>
    <w:p w14:paraId="75DAA3CD" w14:textId="77777777" w:rsidR="00523D20" w:rsidRDefault="00523D20" w:rsidP="00523D20">
      <w:pPr>
        <w:pStyle w:val="Heading3"/>
        <w:rPr>
          <w:lang w:val="en-AU"/>
        </w:rPr>
      </w:pPr>
      <w:bookmarkStart w:id="114" w:name="_Toc433964551"/>
      <w:r>
        <w:lastRenderedPageBreak/>
        <w:t>Collection</w:t>
      </w:r>
      <w:bookmarkEnd w:id="114"/>
    </w:p>
    <w:p w14:paraId="5FCAF957" w14:textId="4649FD99" w:rsidR="00523D20" w:rsidRDefault="006A33A8" w:rsidP="00523D20">
      <w:r>
        <w:t>Fuel consumption</w:t>
      </w:r>
      <w:r w:rsidR="00523D20">
        <w:t xml:space="preserve"> </w:t>
      </w:r>
      <w:r>
        <w:t xml:space="preserve">for collection was estimated using a computer model. </w:t>
      </w:r>
      <w:r w:rsidR="00523D20">
        <w:t xml:space="preserve">The model developed was based upon the approach adopted by Grant et al. (2001) who utilised the AWRCM </w:t>
      </w:r>
      <w:r w:rsidR="00523D20">
        <w:fldChar w:fldCharType="begin"/>
      </w:r>
      <w:r w:rsidR="00F40CE2">
        <w:instrText xml:space="preserve"> ADDIN EN.CITE &lt;EndNote&gt;&lt;Cite&gt;&lt;Author&gt;CRC Waste Management and Pollution Control&lt;/Author&gt;&lt;Year&gt;1997&lt;/Year&gt;&lt;RecNum&gt;559&lt;/RecNum&gt;&lt;DisplayText&gt;(CRC Waste Management and Pollution Control, 1997)&lt;/DisplayText&gt;&lt;record&gt;&lt;rec-number&gt;559&lt;/rec-number&gt;&lt;foreign-keys&gt;&lt;key app="EN" db-id="tfpv5staxsvs2nexzpp5taewzsvpx0er5fap"&gt;559&lt;/key&gt;&lt;/foreign-keys&gt;&lt;ref-type name="Computer Program"&gt;9&lt;/ref-type&gt;&lt;contributors&gt;&lt;authors&gt;&lt;author&gt;CRC Waste Management and Pollution Control,&lt;/author&gt;&lt;/authors&gt;&lt;/contributors&gt;&lt;titles&gt;&lt;title&gt;Australian Waste and Recycling Cost Model V1.0&lt;/title&gt;&lt;/titles&gt;&lt;dates&gt;&lt;year&gt;1997&lt;/year&gt;&lt;/dates&gt;&lt;urls&gt;&lt;/urls&gt;&lt;/record&gt;&lt;/Cite&gt;&lt;/EndNote&gt;</w:instrText>
      </w:r>
      <w:r w:rsidR="00523D20">
        <w:fldChar w:fldCharType="separate"/>
      </w:r>
      <w:r w:rsidR="00F40CE2">
        <w:rPr>
          <w:noProof/>
        </w:rPr>
        <w:t>(</w:t>
      </w:r>
      <w:hyperlink w:anchor="_ENREF_15" w:tooltip="CRC Waste Management and Pollution Control, 1997 #559" w:history="1">
        <w:r w:rsidR="00F40CE2">
          <w:rPr>
            <w:noProof/>
          </w:rPr>
          <w:t>CRC Waste Management and Pollution Control, 1997</w:t>
        </w:r>
      </w:hyperlink>
      <w:r w:rsidR="00F40CE2">
        <w:rPr>
          <w:noProof/>
        </w:rPr>
        <w:t>)</w:t>
      </w:r>
      <w:r w:rsidR="00523D20">
        <w:fldChar w:fldCharType="end"/>
      </w:r>
      <w:r w:rsidR="00523D20">
        <w:t xml:space="preserve"> to estimate collection times. The AWRCM algorithm attempts to estimate the total time required to undertake waste collection then applies a standard fuel consumption rate per hour of vehicle operation.</w:t>
      </w:r>
    </w:p>
    <w:p w14:paraId="6B06DB1F" w14:textId="6A3FB903" w:rsidR="006A33A8" w:rsidRDefault="006A33A8" w:rsidP="00523D20">
      <w:r>
        <w:t xml:space="preserve">Outcomes from the model were then compared to a sample of councils whose actual fuel use was known. Overall the model was found to be a rough guide to actual fuel </w:t>
      </w:r>
      <w:r w:rsidR="00BD1F00">
        <w:t xml:space="preserve">use </w:t>
      </w:r>
      <w:r>
        <w:t xml:space="preserve">that appeared to over-estimate </w:t>
      </w:r>
      <w:r w:rsidR="00BD1F00">
        <w:t>consumption</w:t>
      </w:r>
      <w:r>
        <w:t xml:space="preserve"> in most cases (</w:t>
      </w:r>
      <w:r>
        <w:fldChar w:fldCharType="begin"/>
      </w:r>
      <w:r>
        <w:instrText xml:space="preserve"> REF _Ref362727609 \h </w:instrText>
      </w:r>
      <w:r>
        <w:fldChar w:fldCharType="separate"/>
      </w:r>
      <w:r w:rsidR="00564E5C">
        <w:t xml:space="preserve">Figure </w:t>
      </w:r>
      <w:r w:rsidR="00564E5C">
        <w:rPr>
          <w:noProof/>
        </w:rPr>
        <w:t>12</w:t>
      </w:r>
      <w:r>
        <w:fldChar w:fldCharType="end"/>
      </w:r>
      <w:r w:rsidR="00BD1F00">
        <w:t>). Fuel consumption uncertainty was therefore highlighted as an area requiring sensitivity analysis.</w:t>
      </w:r>
    </w:p>
    <w:p w14:paraId="22FC59D0" w14:textId="77777777" w:rsidR="006A33A8" w:rsidRDefault="006A33A8" w:rsidP="006A33A8">
      <w:pPr>
        <w:keepNext/>
      </w:pPr>
      <w:r>
        <w:rPr>
          <w:noProof/>
        </w:rPr>
        <w:drawing>
          <wp:inline distT="0" distB="0" distL="0" distR="0" wp14:anchorId="4CFE19FC" wp14:editId="29B1E0F4">
            <wp:extent cx="5731510" cy="2710815"/>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49E54A" w14:textId="1DFB90D7" w:rsidR="006A33A8" w:rsidRDefault="006A33A8" w:rsidP="006A33A8">
      <w:pPr>
        <w:pStyle w:val="Caption"/>
      </w:pPr>
      <w:bookmarkStart w:id="115" w:name="_Ref362727609"/>
      <w:r>
        <w:t xml:space="preserve">Figure </w:t>
      </w:r>
      <w:r w:rsidR="00FC7DE2">
        <w:fldChar w:fldCharType="begin"/>
      </w:r>
      <w:r w:rsidR="00FC7DE2">
        <w:instrText xml:space="preserve"> SEQ Figure \* ARABIC </w:instrText>
      </w:r>
      <w:r w:rsidR="00FC7DE2">
        <w:fldChar w:fldCharType="separate"/>
      </w:r>
      <w:r w:rsidR="00564E5C">
        <w:rPr>
          <w:noProof/>
        </w:rPr>
        <w:t>12</w:t>
      </w:r>
      <w:r w:rsidR="00FC7DE2">
        <w:rPr>
          <w:noProof/>
        </w:rPr>
        <w:fldChar w:fldCharType="end"/>
      </w:r>
      <w:bookmarkEnd w:id="115"/>
      <w:r>
        <w:rPr>
          <w:lang w:val="en-AU"/>
        </w:rPr>
        <w:t xml:space="preserve"> Fuel consumption model compared to actual.</w:t>
      </w:r>
    </w:p>
    <w:p w14:paraId="46B741EE" w14:textId="6AABEAA8" w:rsidR="00BD1F00" w:rsidRDefault="00BD1F00" w:rsidP="00523D20">
      <w:r>
        <w:t xml:space="preserve">Results from the fuel consumption model for specific materials are shown in </w:t>
      </w:r>
      <w:r>
        <w:fldChar w:fldCharType="begin"/>
      </w:r>
      <w:r>
        <w:instrText xml:space="preserve"> REF _Ref359496062 \h </w:instrText>
      </w:r>
      <w:r>
        <w:fldChar w:fldCharType="separate"/>
      </w:r>
      <w:r w:rsidR="00564E5C">
        <w:t xml:space="preserve">Table </w:t>
      </w:r>
      <w:r w:rsidR="00564E5C">
        <w:rPr>
          <w:noProof/>
        </w:rPr>
        <w:t>15</w:t>
      </w:r>
      <w:r>
        <w:fldChar w:fldCharType="end"/>
      </w:r>
      <w:r>
        <w:t>. Fuel use varies from material to material because overall truck usage is allocated to each material based on its in-truck compacted volume. Denser materials therefore attract less fuel consumption per tonne collected. Differences between the Recycling System and the Alternative System are due to a combination of differences in distances travelled (landfill versus MRF) and the frequency of collection (weekly versus fortnightly).</w:t>
      </w:r>
    </w:p>
    <w:p w14:paraId="7EA7EF33" w14:textId="77777777" w:rsidR="00BD1F00" w:rsidRDefault="00BD1F00" w:rsidP="00BD1F00">
      <w:pPr>
        <w:pStyle w:val="Caption"/>
        <w:keepNext/>
      </w:pPr>
      <w:bookmarkStart w:id="116" w:name="_Ref359496062"/>
      <w:r>
        <w:t xml:space="preserve">Table </w:t>
      </w:r>
      <w:r w:rsidR="00FC7DE2">
        <w:fldChar w:fldCharType="begin"/>
      </w:r>
      <w:r w:rsidR="00FC7DE2">
        <w:instrText xml:space="preserve"> SEQ Table \* ARABIC </w:instrText>
      </w:r>
      <w:r w:rsidR="00FC7DE2">
        <w:fldChar w:fldCharType="separate"/>
      </w:r>
      <w:r w:rsidR="00564E5C">
        <w:rPr>
          <w:noProof/>
        </w:rPr>
        <w:t>15</w:t>
      </w:r>
      <w:r w:rsidR="00FC7DE2">
        <w:rPr>
          <w:noProof/>
        </w:rPr>
        <w:fldChar w:fldCharType="end"/>
      </w:r>
      <w:bookmarkEnd w:id="116"/>
      <w:r>
        <w:t xml:space="preserve"> Fuel consumption per material (allocation based upon in-truck compacted volume).</w:t>
      </w:r>
    </w:p>
    <w:p w14:paraId="0B906FF1" w14:textId="2DCAC917" w:rsidR="00BD1F00" w:rsidRDefault="004A66FE" w:rsidP="00BD1F00">
      <w:pPr>
        <w:spacing w:after="0"/>
        <w:jc w:val="center"/>
      </w:pPr>
      <w:r w:rsidRPr="004A66FE">
        <w:rPr>
          <w:noProof/>
        </w:rPr>
        <w:drawing>
          <wp:inline distT="0" distB="0" distL="0" distR="0" wp14:anchorId="3FEA5B98" wp14:editId="107684A1">
            <wp:extent cx="2501900" cy="1630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1900" cy="1630045"/>
                    </a:xfrm>
                    <a:prstGeom prst="rect">
                      <a:avLst/>
                    </a:prstGeom>
                    <a:noFill/>
                    <a:ln>
                      <a:noFill/>
                    </a:ln>
                  </pic:spPr>
                </pic:pic>
              </a:graphicData>
            </a:graphic>
          </wp:inline>
        </w:drawing>
      </w:r>
    </w:p>
    <w:p w14:paraId="22A0A75D" w14:textId="77777777" w:rsidR="00C129A0" w:rsidRDefault="00C129A0" w:rsidP="004A66FE">
      <w:pPr>
        <w:spacing w:after="0"/>
      </w:pPr>
    </w:p>
    <w:p w14:paraId="021A0499" w14:textId="3C418563" w:rsidR="00523D20" w:rsidRDefault="00BD1F00" w:rsidP="00523D20">
      <w:r>
        <w:t xml:space="preserve">Having estimated fuel consumption for each local government authority in Victoria using regionally specific distances to landfill, </w:t>
      </w:r>
      <w:r w:rsidR="00696BEB">
        <w:t>MRFs</w:t>
      </w:r>
      <w:r>
        <w:t xml:space="preserve"> and organic reprocessors, fuel consumption was converted into a vehicle emission by applying a combustion inventory from Ecoinvent.</w:t>
      </w:r>
    </w:p>
    <w:p w14:paraId="038CE9C7" w14:textId="71FDFE4F" w:rsidR="00FA1E93" w:rsidRDefault="00FA1E93" w:rsidP="00FA1E93">
      <w:pPr>
        <w:pStyle w:val="Heading3"/>
        <w:rPr>
          <w:lang w:val="en-AU"/>
        </w:rPr>
      </w:pPr>
      <w:bookmarkStart w:id="117" w:name="_Ref363067792"/>
      <w:bookmarkStart w:id="118" w:name="_Toc433964552"/>
      <w:r>
        <w:rPr>
          <w:lang w:val="en-AU"/>
        </w:rPr>
        <w:lastRenderedPageBreak/>
        <w:t>Landfill</w:t>
      </w:r>
      <w:bookmarkEnd w:id="117"/>
      <w:bookmarkEnd w:id="118"/>
    </w:p>
    <w:p w14:paraId="23CF3447" w14:textId="24288BA3" w:rsidR="00FA1E93" w:rsidRDefault="00FA1E93" w:rsidP="00FA1E93">
      <w:r>
        <w:t xml:space="preserve">Landfill, unlike most other processes, does not involve a balance of incoming and outgoing material because much of the material that enters a landfill facility is retained by the facility, at least in the short term (less than 100 years). Although a balance of incoming and outgoing flow is likely in the long term, such estimates are highly uncertain. For this reason, it has been </w:t>
      </w:r>
      <w:r w:rsidR="00696BEB">
        <w:t>decided</w:t>
      </w:r>
      <w:r>
        <w:t xml:space="preserve"> to consider the elementary flows associated with landfill over a 100 year time frame.</w:t>
      </w:r>
    </w:p>
    <w:p w14:paraId="5F153C9E" w14:textId="77777777" w:rsidR="00FA1E93" w:rsidRDefault="00FA1E93" w:rsidP="00FA1E93">
      <w:r>
        <w:t>The landfill operation considered includes activities associated with processing once it is received at the facility gate, as well as downstream processes such as waste water treatment and upstream processes such as the generation of electricity and refining of fossil fuels needed by site machinery. The generation of electricity from landfill gas is also considered.</w:t>
      </w:r>
    </w:p>
    <w:p w14:paraId="286C7208" w14:textId="634D3250" w:rsidR="002A0763" w:rsidRDefault="002A0763" w:rsidP="00FA1E93">
      <w:r>
        <w:t>In addition</w:t>
      </w:r>
      <w:r w:rsidR="00696BEB">
        <w:t>,</w:t>
      </w:r>
      <w:r>
        <w:t xml:space="preserve"> it is assumed that all material entering the landfill facility is interred in the ground. This assumption is based upon the inspect</w:t>
      </w:r>
      <w:r w:rsidR="00696BEB">
        <w:t>ion</w:t>
      </w:r>
      <w:r>
        <w:t xml:space="preserve"> of a large facility in Melbourne, in which refuse trucks carrying waste move directly to the face of the landfill cell, where loads are quickly emptied and refuse bulldozed and compacted. The process observed was relatively intense, with little to no time for sorting of waste deposited.</w:t>
      </w:r>
    </w:p>
    <w:p w14:paraId="4CC35569" w14:textId="77777777" w:rsidR="00FA1E93" w:rsidRDefault="00FA1E93" w:rsidP="00FA1E93">
      <w:r>
        <w:t xml:space="preserve">Processes associated with construction of the landfill are also considered. </w:t>
      </w:r>
    </w:p>
    <w:p w14:paraId="7CB07914" w14:textId="77777777" w:rsidR="00FA1E93" w:rsidRDefault="00FA1E93" w:rsidP="00FA1E93">
      <w:r>
        <w:t>Excluded from the study are minor infrastructure components, as well as collection systems which bring the waste to the landfill (this is covered elsewhere). Wastes that are not relevant to the study goals are also excluded, as are elementary flows that do not impact the selected impact assessment methods.</w:t>
      </w:r>
    </w:p>
    <w:p w14:paraId="21F35E88" w14:textId="77777777" w:rsidR="00FA1E93" w:rsidRDefault="00FA1E93" w:rsidP="00FA1E93">
      <w:pPr>
        <w:pStyle w:val="Heading4"/>
      </w:pPr>
      <w:r>
        <w:t>Construction and remediation</w:t>
      </w:r>
    </w:p>
    <w:p w14:paraId="107E58EE" w14:textId="330D7189" w:rsidR="00FA1E93" w:rsidRDefault="00FA1E93" w:rsidP="00FA1E93">
      <w:r>
        <w:t>Sanitary landfills are constructed by excavating a pit of varying depth (20 meters is typical)</w:t>
      </w:r>
      <w:r w:rsidR="00696BEB">
        <w:t xml:space="preserve">, which is lined with clay, </w:t>
      </w:r>
      <w:r>
        <w:t>HDPE liner and crushed aggregate. Embedded in the pit are drainage systems which allow waste leachate to be collected and prevent it entering local groundwater.</w:t>
      </w:r>
    </w:p>
    <w:p w14:paraId="5A266DEA" w14:textId="5C46D908" w:rsidR="00FA1E93" w:rsidRDefault="00FA1E93" w:rsidP="00FA1E93">
      <w:r>
        <w:t xml:space="preserve">Once complete the landfill ‘cell’ is progressively filled with waste materials which are periodically covered. As the cell is filled, key infrastructure, such as gas collection pipework is added, and drainage (if necessary). Once full, the cell is capped with an HDPE liner and covered with soil. In most cases land is remediated in some fashion. Gas generated by the decay of waste within the cell </w:t>
      </w:r>
      <w:r w:rsidR="00C93BE6">
        <w:t>is captured and either flared or</w:t>
      </w:r>
      <w:r>
        <w:t xml:space="preserve"> burned to generate electricity.</w:t>
      </w:r>
    </w:p>
    <w:p w14:paraId="0F53807A" w14:textId="77777777" w:rsidR="00FA1E93" w:rsidRDefault="00FA1E93" w:rsidP="00FA1E93">
      <w:r>
        <w:t>Estimation of the elementary flows associated with construction and remediation is achieved by considering the flows associated with constructing the landfill and remediating it at the end of its life. These flows are then divided by the volume of waste contained within the cell, giving an amortised environmental flow per unit of waste deposited.</w:t>
      </w:r>
    </w:p>
    <w:p w14:paraId="11749354" w14:textId="142A5F66" w:rsidR="00FA1E93" w:rsidRDefault="00FA1E93" w:rsidP="00FA1E93">
      <w:r>
        <w:t xml:space="preserve">The estimate adopted for this study is based on the inventory present in the EcoInvent database, developed in </w:t>
      </w:r>
      <w:r>
        <w:fldChar w:fldCharType="begin"/>
      </w:r>
      <w:r w:rsidR="00F40CE2">
        <w:instrText xml:space="preserve"> ADDIN EN.CITE &lt;EndNote&gt;&lt;Cite&gt;&lt;Author&gt;Doka&lt;/Author&gt;&lt;Year&gt;2009&lt;/Year&gt;&lt;RecNum&gt;577&lt;/RecNum&gt;&lt;DisplayText&gt;(Doka, 2009)&lt;/DisplayText&gt;&lt;record&gt;&lt;rec-number&gt;577&lt;/rec-number&gt;&lt;foreign-keys&gt;&lt;key app="EN" db-id="tfpv5staxsvs2nexzpp5taewzsvpx0er5fap"&gt;577&lt;/key&gt;&lt;/foreign-keys&gt;&lt;ref-type name="Report"&gt;27&lt;/ref-type&gt;&lt;contributors&gt;&lt;authors&gt;&lt;author&gt;Gabor Doka&lt;/author&gt;&lt;/authors&gt;&lt;/contributors&gt;&lt;titles&gt;&lt;title&gt;Life Cycle Inventories of Waste Treatment Services - Part II Landfills, Underground Deposits, Landfarming&lt;/title&gt;&lt;secondary-title&gt;Ecoinvent report number 13&lt;/secondary-title&gt;&lt;/titles&gt;&lt;dates&gt;&lt;year&gt;2009&lt;/year&gt;&lt;/dates&gt;&lt;publisher&gt;Swiss Centre for Life Cycle Inventories&lt;/publisher&gt;&lt;urls&gt;&lt;/urls&gt;&lt;/record&gt;&lt;/Cite&gt;&lt;/EndNote&gt;</w:instrText>
      </w:r>
      <w:r>
        <w:fldChar w:fldCharType="separate"/>
      </w:r>
      <w:r w:rsidR="00F40CE2">
        <w:rPr>
          <w:noProof/>
        </w:rPr>
        <w:t>(</w:t>
      </w:r>
      <w:hyperlink w:anchor="_ENREF_18" w:tooltip="Doka, 2009 #577" w:history="1">
        <w:r w:rsidR="00F40CE2">
          <w:rPr>
            <w:noProof/>
          </w:rPr>
          <w:t>Doka, 2009</w:t>
        </w:r>
      </w:hyperlink>
      <w:r w:rsidR="00F40CE2">
        <w:rPr>
          <w:noProof/>
        </w:rPr>
        <w:t>)</w:t>
      </w:r>
      <w:r>
        <w:fldChar w:fldCharType="end"/>
      </w:r>
      <w:r>
        <w:t xml:space="preserve"> . </w:t>
      </w:r>
    </w:p>
    <w:p w14:paraId="4044AA2C" w14:textId="77777777" w:rsidR="00FA1E93" w:rsidRDefault="00FA1E93" w:rsidP="00FA1E93">
      <w:pPr>
        <w:pStyle w:val="Heading4"/>
      </w:pPr>
      <w:r>
        <w:t>Landfill operation</w:t>
      </w:r>
    </w:p>
    <w:p w14:paraId="25413DB7" w14:textId="77777777" w:rsidR="00FA1E93" w:rsidRDefault="00FA1E93" w:rsidP="00FA1E93">
      <w:r>
        <w:t>Once in place, waste is placed into the landfill and progressively covered and compacted. This process is typically undertaken by diesel powered machines such as loaders and bulldozers. Further energy is also required to operate leachate collection systems, typically involving pumps powered by electricity.</w:t>
      </w:r>
    </w:p>
    <w:p w14:paraId="2A62E14E" w14:textId="77777777" w:rsidR="00834360" w:rsidRDefault="00834360" w:rsidP="00FA1E93"/>
    <w:p w14:paraId="3AC122FB" w14:textId="77777777" w:rsidR="00834360" w:rsidRDefault="00834360">
      <w:pPr>
        <w:widowControl/>
        <w:spacing w:after="0"/>
        <w:jc w:val="left"/>
      </w:pPr>
      <w:r>
        <w:br w:type="page"/>
      </w:r>
    </w:p>
    <w:p w14:paraId="4DBF4D01" w14:textId="2E6A3006" w:rsidR="00834360" w:rsidRDefault="00834360" w:rsidP="00FA1E93"/>
    <w:p w14:paraId="52E96641" w14:textId="467CBBF6" w:rsidR="00FA1E93" w:rsidRDefault="00FA1E93" w:rsidP="00FA1E93">
      <w:pPr>
        <w:pStyle w:val="Caption"/>
        <w:keepNext/>
      </w:pPr>
      <w:bookmarkStart w:id="119" w:name="_Ref353376492"/>
      <w:r>
        <w:t xml:space="preserve">Table </w:t>
      </w:r>
      <w:r w:rsidR="00FC7DE2">
        <w:fldChar w:fldCharType="begin"/>
      </w:r>
      <w:r w:rsidR="00FC7DE2">
        <w:instrText xml:space="preserve"> SEQ Table \* ARABIC </w:instrText>
      </w:r>
      <w:r w:rsidR="00FC7DE2">
        <w:fldChar w:fldCharType="separate"/>
      </w:r>
      <w:r w:rsidR="00564E5C">
        <w:rPr>
          <w:noProof/>
        </w:rPr>
        <w:t>16</w:t>
      </w:r>
      <w:r w:rsidR="00FC7DE2">
        <w:rPr>
          <w:noProof/>
        </w:rPr>
        <w:fldChar w:fldCharType="end"/>
      </w:r>
      <w:bookmarkEnd w:id="119"/>
      <w:r>
        <w:t xml:space="preserve"> Landfill operating energy requirements quoted in </w:t>
      </w:r>
      <w:r w:rsidR="00C93BE6">
        <w:rPr>
          <w:lang w:val="en-AU"/>
        </w:rPr>
        <w:t xml:space="preserve">the </w:t>
      </w:r>
      <w:r>
        <w:t>literature.</w:t>
      </w:r>
    </w:p>
    <w:tbl>
      <w:tblPr>
        <w:tblStyle w:val="TableGrid"/>
        <w:tblW w:w="0" w:type="auto"/>
        <w:tblLook w:val="04A0" w:firstRow="1" w:lastRow="0" w:firstColumn="1" w:lastColumn="0" w:noHBand="0" w:noVBand="1"/>
      </w:tblPr>
      <w:tblGrid>
        <w:gridCol w:w="1320"/>
        <w:gridCol w:w="1320"/>
        <w:gridCol w:w="1320"/>
        <w:gridCol w:w="1320"/>
        <w:gridCol w:w="1320"/>
      </w:tblGrid>
      <w:tr w:rsidR="00FA1E93" w14:paraId="26605989" w14:textId="77777777" w:rsidTr="00FA1E93">
        <w:tc>
          <w:tcPr>
            <w:tcW w:w="1320" w:type="dxa"/>
          </w:tcPr>
          <w:p w14:paraId="5F049E1C" w14:textId="77777777" w:rsidR="00FA1E93" w:rsidRDefault="00FA1E93" w:rsidP="00FA1E93">
            <w:pPr>
              <w:spacing w:after="0"/>
            </w:pPr>
          </w:p>
        </w:tc>
        <w:tc>
          <w:tcPr>
            <w:tcW w:w="1320" w:type="dxa"/>
          </w:tcPr>
          <w:p w14:paraId="4F32717C" w14:textId="77777777" w:rsidR="00FA1E93" w:rsidRDefault="00FA1E93" w:rsidP="00FA1E93">
            <w:pPr>
              <w:spacing w:after="0"/>
            </w:pPr>
            <w:r>
              <w:t>Doka (2009)</w:t>
            </w:r>
          </w:p>
        </w:tc>
        <w:tc>
          <w:tcPr>
            <w:tcW w:w="1320" w:type="dxa"/>
          </w:tcPr>
          <w:p w14:paraId="5D388FAA" w14:textId="03B2AC72" w:rsidR="00FA1E93" w:rsidRDefault="00FA1E93" w:rsidP="00FA1E93">
            <w:pPr>
              <w:spacing w:after="0"/>
            </w:pPr>
            <w:r>
              <w:fldChar w:fldCharType="begin"/>
            </w:r>
            <w:r w:rsidR="00F40CE2">
              <w:instrText xml:space="preserve"> ADDIN EN.CITE &lt;EndNote&gt;&lt;Cite&gt;&lt;Author&gt;Manfredi&lt;/Author&gt;&lt;Year&gt;2009&lt;/Year&gt;&lt;RecNum&gt;593&lt;/RecNum&gt;&lt;DisplayText&gt;(Manfredi et al., 2009)&lt;/DisplayText&gt;&lt;record&gt;&lt;rec-number&gt;593&lt;/rec-number&gt;&lt;foreign-keys&gt;&lt;key app="EN" db-id="tfpv5staxsvs2nexzpp5taewzsvpx0er5fap"&gt;593&lt;/key&gt;&lt;/foreign-keys&gt;&lt;ref-type name="Journal Article"&gt;17&lt;/ref-type&gt;&lt;contributors&gt;&lt;authors&gt;&lt;author&gt;Manfredi, Simone&lt;/author&gt;&lt;author&gt;Tonini, Davide&lt;/author&gt;&lt;author&gt;Christensen, Thomas H.&lt;/author&gt;&lt;author&gt;Scharff, Heijo&lt;/author&gt;&lt;/authors&gt;&lt;/contributors&gt;&lt;titles&gt;&lt;title&gt;Landfilling of waste: accounting of greenhouse gases and global warming contributions&lt;/title&gt;&lt;secondary-title&gt;Waste Management &amp;amp; Research&lt;/secondary-title&gt;&lt;/titles&gt;&lt;periodical&gt;&lt;full-title&gt;Waste Management &amp;amp; Research&lt;/full-title&gt;&lt;/periodical&gt;&lt;pages&gt;825-836&lt;/pages&gt;&lt;volume&gt;27&lt;/volume&gt;&lt;number&gt;8&lt;/number&gt;&lt;dates&gt;&lt;year&gt;2009&lt;/year&gt;&lt;pub-dates&gt;&lt;date&gt;November 1, 2009&lt;/date&gt;&lt;/pub-dates&gt;&lt;/dates&gt;&lt;urls&gt;&lt;related-urls&gt;&lt;url&gt;http://wmr.sagepub.com/content/27/8/825.abstract&lt;/url&gt;&lt;/related-urls&gt;&lt;/urls&gt;&lt;electronic-resource-num&gt;10.1177/0734242x09348529&lt;/electronic-resource-num&gt;&lt;/record&gt;&lt;/Cite&gt;&lt;/EndNote&gt;</w:instrText>
            </w:r>
            <w:r>
              <w:fldChar w:fldCharType="separate"/>
            </w:r>
            <w:r w:rsidR="00F40CE2">
              <w:rPr>
                <w:noProof/>
              </w:rPr>
              <w:t>(</w:t>
            </w:r>
            <w:hyperlink w:anchor="_ENREF_57" w:tooltip="Manfredi, 2009 #593" w:history="1">
              <w:r w:rsidR="00F40CE2">
                <w:rPr>
                  <w:noProof/>
                </w:rPr>
                <w:t>Manfredi et al., 2009</w:t>
              </w:r>
            </w:hyperlink>
            <w:r w:rsidR="00F40CE2">
              <w:rPr>
                <w:noProof/>
              </w:rPr>
              <w:t>)</w:t>
            </w:r>
            <w:r>
              <w:fldChar w:fldCharType="end"/>
            </w:r>
          </w:p>
          <w:p w14:paraId="5DEC62FE" w14:textId="77777777" w:rsidR="00FA1E93" w:rsidRDefault="00FA1E93" w:rsidP="00FA1E93">
            <w:pPr>
              <w:spacing w:after="0"/>
            </w:pPr>
            <w:r>
              <w:t>(Engineered Landfill)</w:t>
            </w:r>
          </w:p>
        </w:tc>
        <w:tc>
          <w:tcPr>
            <w:tcW w:w="1320" w:type="dxa"/>
          </w:tcPr>
          <w:p w14:paraId="509E9C3D" w14:textId="77777777" w:rsidR="00FA1E93" w:rsidRDefault="00FA1E93" w:rsidP="00FA1E93">
            <w:pPr>
              <w:spacing w:after="0"/>
            </w:pPr>
            <w:r>
              <w:t>AUPLCI</w:t>
            </w:r>
          </w:p>
        </w:tc>
        <w:tc>
          <w:tcPr>
            <w:tcW w:w="1320" w:type="dxa"/>
          </w:tcPr>
          <w:p w14:paraId="6FDCB490" w14:textId="08A726EA" w:rsidR="00FA1E93" w:rsidRDefault="00FA1E93" w:rsidP="00FA1E93">
            <w:pPr>
              <w:spacing w:after="0"/>
            </w:pPr>
            <w:r>
              <w:fldChar w:fldCharType="begin"/>
            </w:r>
            <w:r w:rsidR="00F40CE2">
              <w:instrText xml:space="preserve"> ADDIN EN.CITE &lt;EndNote&gt;&lt;Cite&gt;&lt;Author&gt;Pickin&lt;/Author&gt;&lt;Year&gt;2010&lt;/Year&gt;&lt;RecNum&gt;574&lt;/RecNum&gt;&lt;DisplayText&gt;(Pickin, 2010)&lt;/DisplayText&gt;&lt;record&gt;&lt;rec-number&gt;574&lt;/rec-number&gt;&lt;foreign-keys&gt;&lt;key app="EN" db-id="tfpv5staxsvs2nexzpp5taewzsvpx0er5fap"&gt;574&lt;/key&gt;&lt;/foreign-keys&gt;&lt;ref-type name="Report"&gt;27&lt;/ref-type&gt;&lt;contributors&gt;&lt;authors&gt;&lt;author&gt;Joe Pickin&lt;/author&gt;&lt;/authors&gt;&lt;/contributors&gt;&lt;titles&gt;&lt;title&gt;Hanson Landfill Services / City of Whittlesea - Comparative Greenhouse Gas Life Cycle Assessment of Wollert Landfill&lt;/title&gt;&lt;/titles&gt;&lt;dates&gt;&lt;year&gt;2010&lt;/year&gt;&lt;/dates&gt;&lt;pub-location&gt;Melbourne&lt;/pub-location&gt;&lt;publisher&gt;Hyder Consulting&lt;/publisher&gt;&lt;urls&gt;&lt;/urls&gt;&lt;/record&gt;&lt;/Cite&gt;&lt;/EndNote&gt;</w:instrText>
            </w:r>
            <w:r>
              <w:fldChar w:fldCharType="separate"/>
            </w:r>
            <w:r w:rsidR="00F40CE2">
              <w:rPr>
                <w:noProof/>
              </w:rPr>
              <w:t>(</w:t>
            </w:r>
            <w:hyperlink w:anchor="_ENREF_65" w:tooltip="Pickin, 2010 #574" w:history="1">
              <w:r w:rsidR="00F40CE2">
                <w:rPr>
                  <w:noProof/>
                </w:rPr>
                <w:t>Pickin, 2010</w:t>
              </w:r>
            </w:hyperlink>
            <w:r w:rsidR="00F40CE2">
              <w:rPr>
                <w:noProof/>
              </w:rPr>
              <w:t>)</w:t>
            </w:r>
            <w:r>
              <w:fldChar w:fldCharType="end"/>
            </w:r>
          </w:p>
          <w:p w14:paraId="0107E171" w14:textId="77777777" w:rsidR="00FA1E93" w:rsidRDefault="00FA1E93" w:rsidP="00FA1E93">
            <w:pPr>
              <w:spacing w:after="0"/>
            </w:pPr>
            <w:r>
              <w:t>(Wollert Landfill)</w:t>
            </w:r>
          </w:p>
        </w:tc>
      </w:tr>
      <w:tr w:rsidR="00FA1E93" w14:paraId="329B2B30" w14:textId="77777777" w:rsidTr="00FA1E93">
        <w:tc>
          <w:tcPr>
            <w:tcW w:w="1320" w:type="dxa"/>
          </w:tcPr>
          <w:p w14:paraId="59579A10" w14:textId="77777777" w:rsidR="00FA1E93" w:rsidRDefault="00FA1E93" w:rsidP="00FA1E93">
            <w:pPr>
              <w:spacing w:after="0"/>
            </w:pPr>
            <w:r>
              <w:t>Geography</w:t>
            </w:r>
          </w:p>
        </w:tc>
        <w:tc>
          <w:tcPr>
            <w:tcW w:w="1320" w:type="dxa"/>
          </w:tcPr>
          <w:p w14:paraId="10BE2D1F" w14:textId="77777777" w:rsidR="00FA1E93" w:rsidRDefault="00FA1E93" w:rsidP="00FA1E93">
            <w:pPr>
              <w:spacing w:after="0"/>
            </w:pPr>
            <w:r>
              <w:t>Switzerland</w:t>
            </w:r>
          </w:p>
        </w:tc>
        <w:tc>
          <w:tcPr>
            <w:tcW w:w="1320" w:type="dxa"/>
          </w:tcPr>
          <w:p w14:paraId="6AD5BD33" w14:textId="77777777" w:rsidR="00FA1E93" w:rsidRDefault="00FA1E93" w:rsidP="00FA1E93">
            <w:pPr>
              <w:spacing w:after="0"/>
            </w:pPr>
            <w:r>
              <w:t>Europe</w:t>
            </w:r>
          </w:p>
        </w:tc>
        <w:tc>
          <w:tcPr>
            <w:tcW w:w="1320" w:type="dxa"/>
          </w:tcPr>
          <w:p w14:paraId="24C83D8C" w14:textId="77777777" w:rsidR="00FA1E93" w:rsidRDefault="00FA1E93" w:rsidP="00FA1E93">
            <w:pPr>
              <w:spacing w:after="0"/>
            </w:pPr>
            <w:r>
              <w:t>Australia</w:t>
            </w:r>
          </w:p>
        </w:tc>
        <w:tc>
          <w:tcPr>
            <w:tcW w:w="1320" w:type="dxa"/>
          </w:tcPr>
          <w:p w14:paraId="30EDEC9E" w14:textId="77777777" w:rsidR="00FA1E93" w:rsidRDefault="00FA1E93" w:rsidP="00FA1E93">
            <w:pPr>
              <w:spacing w:after="0"/>
            </w:pPr>
            <w:r>
              <w:t>Australia</w:t>
            </w:r>
          </w:p>
        </w:tc>
      </w:tr>
      <w:tr w:rsidR="00FA1E93" w14:paraId="794A379E" w14:textId="77777777" w:rsidTr="00FA1E93">
        <w:tc>
          <w:tcPr>
            <w:tcW w:w="1320" w:type="dxa"/>
          </w:tcPr>
          <w:p w14:paraId="05D49659" w14:textId="77777777" w:rsidR="00FA1E93" w:rsidRDefault="00FA1E93" w:rsidP="00FA1E93">
            <w:pPr>
              <w:spacing w:after="0"/>
            </w:pPr>
            <w:r>
              <w:t>Diesel (l/t)</w:t>
            </w:r>
          </w:p>
        </w:tc>
        <w:tc>
          <w:tcPr>
            <w:tcW w:w="1320" w:type="dxa"/>
          </w:tcPr>
          <w:p w14:paraId="479899DE" w14:textId="77777777" w:rsidR="00FA1E93" w:rsidRDefault="00FA1E93" w:rsidP="00FA1E93">
            <w:pPr>
              <w:spacing w:after="0"/>
            </w:pPr>
            <w:r>
              <w:t>1.3</w:t>
            </w:r>
          </w:p>
        </w:tc>
        <w:tc>
          <w:tcPr>
            <w:tcW w:w="1320" w:type="dxa"/>
          </w:tcPr>
          <w:p w14:paraId="4453A2B4" w14:textId="77777777" w:rsidR="00FA1E93" w:rsidRDefault="00FA1E93" w:rsidP="00FA1E93">
            <w:pPr>
              <w:spacing w:after="0"/>
            </w:pPr>
            <w:r>
              <w:t>1-3</w:t>
            </w:r>
          </w:p>
        </w:tc>
        <w:tc>
          <w:tcPr>
            <w:tcW w:w="1320" w:type="dxa"/>
          </w:tcPr>
          <w:p w14:paraId="5795B10D" w14:textId="77777777" w:rsidR="00FA1E93" w:rsidRDefault="00FA1E93" w:rsidP="00FA1E93">
            <w:pPr>
              <w:spacing w:after="0"/>
            </w:pPr>
            <w:r>
              <w:t>1.0</w:t>
            </w:r>
          </w:p>
        </w:tc>
        <w:tc>
          <w:tcPr>
            <w:tcW w:w="1320" w:type="dxa"/>
          </w:tcPr>
          <w:p w14:paraId="24B61B83" w14:textId="77777777" w:rsidR="00FA1E93" w:rsidRDefault="00FA1E93" w:rsidP="00FA1E93">
            <w:pPr>
              <w:spacing w:after="0"/>
            </w:pPr>
            <w:r>
              <w:t>1.4</w:t>
            </w:r>
          </w:p>
        </w:tc>
      </w:tr>
      <w:tr w:rsidR="00FA1E93" w14:paraId="3F07F1A3" w14:textId="77777777" w:rsidTr="00FA1E93">
        <w:tc>
          <w:tcPr>
            <w:tcW w:w="1320" w:type="dxa"/>
          </w:tcPr>
          <w:p w14:paraId="2F44B018" w14:textId="77777777" w:rsidR="00FA1E93" w:rsidRDefault="00FA1E93" w:rsidP="00FA1E93">
            <w:pPr>
              <w:spacing w:after="0"/>
            </w:pPr>
            <w:r>
              <w:t>Electricity (kWh/t)</w:t>
            </w:r>
          </w:p>
        </w:tc>
        <w:tc>
          <w:tcPr>
            <w:tcW w:w="1320" w:type="dxa"/>
          </w:tcPr>
          <w:p w14:paraId="792460C2" w14:textId="77777777" w:rsidR="00FA1E93" w:rsidRDefault="00FA1E93" w:rsidP="00FA1E93">
            <w:pPr>
              <w:spacing w:after="0"/>
            </w:pPr>
            <w:r>
              <w:t>0.00135</w:t>
            </w:r>
          </w:p>
          <w:p w14:paraId="03A0DCBB" w14:textId="77777777" w:rsidR="00FA1E93" w:rsidRDefault="00FA1E93" w:rsidP="00FA1E93">
            <w:pPr>
              <w:spacing w:after="0"/>
            </w:pPr>
            <w:r>
              <w:t>(excludes leachate pumps)</w:t>
            </w:r>
          </w:p>
        </w:tc>
        <w:tc>
          <w:tcPr>
            <w:tcW w:w="1320" w:type="dxa"/>
          </w:tcPr>
          <w:p w14:paraId="4D4094C6" w14:textId="77777777" w:rsidR="00FA1E93" w:rsidRDefault="00FA1E93" w:rsidP="00FA1E93">
            <w:pPr>
              <w:spacing w:after="0"/>
            </w:pPr>
            <w:r>
              <w:t>8-12</w:t>
            </w:r>
          </w:p>
        </w:tc>
        <w:tc>
          <w:tcPr>
            <w:tcW w:w="1320" w:type="dxa"/>
          </w:tcPr>
          <w:p w14:paraId="41985B87" w14:textId="77777777" w:rsidR="00FA1E93" w:rsidRDefault="00FA1E93" w:rsidP="00FA1E93">
            <w:pPr>
              <w:spacing w:after="0"/>
            </w:pPr>
            <w:r>
              <w:t>0.8</w:t>
            </w:r>
          </w:p>
        </w:tc>
        <w:tc>
          <w:tcPr>
            <w:tcW w:w="1320" w:type="dxa"/>
          </w:tcPr>
          <w:p w14:paraId="0CFC1D97" w14:textId="77777777" w:rsidR="00FA1E93" w:rsidRDefault="00FA1E93" w:rsidP="00FA1E93">
            <w:pPr>
              <w:spacing w:after="0"/>
            </w:pPr>
            <w:r>
              <w:t>0.047</w:t>
            </w:r>
          </w:p>
        </w:tc>
      </w:tr>
    </w:tbl>
    <w:p w14:paraId="2ECDD481" w14:textId="77777777" w:rsidR="00FA1E93" w:rsidRDefault="00FA1E93" w:rsidP="00FA1E93"/>
    <w:p w14:paraId="1BFC6035" w14:textId="72FBC311" w:rsidR="002A0763" w:rsidRDefault="00FA1E93" w:rsidP="00FA1E93">
      <w:r>
        <w:t xml:space="preserve">Estimates of diesel fuel use when operating landfill are fairly consistent, as shown by </w:t>
      </w:r>
      <w:r>
        <w:fldChar w:fldCharType="begin"/>
      </w:r>
      <w:r>
        <w:instrText xml:space="preserve"> REF _Ref353376492 \h </w:instrText>
      </w:r>
      <w:r>
        <w:fldChar w:fldCharType="separate"/>
      </w:r>
      <w:r w:rsidR="00564E5C">
        <w:t xml:space="preserve">Table </w:t>
      </w:r>
      <w:r w:rsidR="00564E5C">
        <w:rPr>
          <w:noProof/>
        </w:rPr>
        <w:t>16</w:t>
      </w:r>
      <w:r>
        <w:fldChar w:fldCharType="end"/>
      </w:r>
      <w:r>
        <w:t>, however electricity usage varies considerably. As Doka excludes leachate/treatment pumps (required in m</w:t>
      </w:r>
      <w:r w:rsidR="00C93BE6">
        <w:t>any</w:t>
      </w:r>
      <w:r>
        <w:t xml:space="preserve"> Victorian landfills) this electricity figure is likely to be lower than would be experienced locally. Manfredi, by contrast, does not fully explain estimates for electricity use so it is difficult to understand why they appear so much higher than the other estimates shown. The AUPLCI estimate is reportedly based on a communication with a local (New South Wal</w:t>
      </w:r>
      <w:r w:rsidR="00C93BE6">
        <w:t>es) landfill operator, and Picki</w:t>
      </w:r>
      <w:r>
        <w:t>n’s estimate is based on the Wollert landfil</w:t>
      </w:r>
      <w:r w:rsidR="00C93BE6">
        <w:t>l experience. Overall, the Picki</w:t>
      </w:r>
      <w:r>
        <w:t>n study appears most applicable to the Victorian situation so is adopted for landfill operations described in</w:t>
      </w:r>
      <w:r w:rsidR="002A0763">
        <w:t xml:space="preserve"> this inventory.</w:t>
      </w:r>
    </w:p>
    <w:p w14:paraId="1D16DD36" w14:textId="77777777" w:rsidR="00FA1E93" w:rsidRDefault="00FA1E93" w:rsidP="00304D1C">
      <w:pPr>
        <w:pStyle w:val="Heading4"/>
      </w:pPr>
      <w:bookmarkStart w:id="120" w:name="_Toc361755252"/>
      <w:bookmarkStart w:id="121" w:name="_Ref362989603"/>
      <w:r>
        <w:t>Emissions due to material degradation within the landfill</w:t>
      </w:r>
      <w:bookmarkEnd w:id="120"/>
      <w:bookmarkEnd w:id="121"/>
    </w:p>
    <w:p w14:paraId="11313118" w14:textId="62CA6ACC" w:rsidR="00FA1E93" w:rsidRDefault="00FA1E93" w:rsidP="00FA1E93">
      <w:r>
        <w:t xml:space="preserve">Materials that are deposited into landfill degrade over time causing a range of emissions to the environment. Degradation typically results in: a) emissions to the air as gasses generated within the landfill make their way to the atmosphere </w:t>
      </w:r>
      <w:r w:rsidR="00C93BE6">
        <w:t>(often via a collection system)</w:t>
      </w:r>
      <w:r>
        <w:t>, and b) emissions to water associated with leachate generated (again, usually via a collection system). These two broad classes of emissions are addressed in the following report sections.</w:t>
      </w:r>
    </w:p>
    <w:p w14:paraId="27351C58" w14:textId="77777777" w:rsidR="00FA1E93" w:rsidRDefault="00FA1E93" w:rsidP="00304D1C">
      <w:pPr>
        <w:pStyle w:val="Heading5"/>
      </w:pPr>
      <w:bookmarkStart w:id="122" w:name="_Ref358725568"/>
      <w:r>
        <w:t>Emissions from landfill to atmosphere</w:t>
      </w:r>
      <w:bookmarkEnd w:id="122"/>
    </w:p>
    <w:p w14:paraId="3B8D1F68" w14:textId="3C9CCA11" w:rsidR="00FA1E93" w:rsidRDefault="00FA1E93" w:rsidP="00FA1E93">
      <w:r>
        <w:t xml:space="preserve">Perhaps the most studied of emissions from landfills are greenhouse gasses. Importantly, ongoing attention in this area has driven the development of accepted methods for quantifying emissions for various material classes deposited within landfill. Based on IPCC guidelines </w:t>
      </w:r>
      <w:r>
        <w:fldChar w:fldCharType="begin"/>
      </w:r>
      <w:r w:rsidR="00F40CE2">
        <w:instrText xml:space="preserve"> ADDIN EN.CITE &lt;EndNote&gt;&lt;Cite&gt;&lt;Author&gt;IPCC&lt;/Author&gt;&lt;Year&gt;2006&lt;/Year&gt;&lt;RecNum&gt;333&lt;/RecNum&gt;&lt;DisplayText&gt;(IPCC, 2006)&lt;/DisplayText&gt;&lt;record&gt;&lt;rec-number&gt;333&lt;/rec-number&gt;&lt;foreign-keys&gt;&lt;key app="EN" db-id="tfpv5staxsvs2nexzpp5taewzsvpx0er5fap"&gt;333&lt;/key&gt;&lt;/foreign-keys&gt;&lt;ref-type name="Report"&gt;27&lt;/ref-type&gt;&lt;contributors&gt;&lt;authors&gt;&lt;author&gt;IPCC&lt;/author&gt;&lt;/authors&gt;&lt;secondary-authors&gt;&lt;author&gt;Eggleston, S.&lt;/author&gt;&lt;author&gt;Buenida, L.&lt;/author&gt;&lt;author&gt;Miwa, K.&lt;/author&gt;&lt;author&gt;Ngara, T.&lt;/author&gt;&lt;author&gt;Tanabe, K.&lt;/author&gt;&lt;/secondary-authors&gt;&lt;/contributors&gt;&lt;titles&gt;&lt;title&gt;2006 IPCC Guidelines for National Greenhouse Gas Inventories&lt;/title&gt;&lt;/titles&gt;&lt;dates&gt;&lt;year&gt;2006&lt;/year&gt;&lt;/dates&gt;&lt;urls&gt;&lt;/urls&gt;&lt;/record&gt;&lt;/Cite&gt;&lt;/EndNote&gt;</w:instrText>
      </w:r>
      <w:r>
        <w:fldChar w:fldCharType="separate"/>
      </w:r>
      <w:r w:rsidR="00F40CE2">
        <w:rPr>
          <w:noProof/>
        </w:rPr>
        <w:t>(</w:t>
      </w:r>
      <w:hyperlink w:anchor="_ENREF_51" w:tooltip="IPCC, 2006 #333" w:history="1">
        <w:r w:rsidR="00F40CE2">
          <w:rPr>
            <w:noProof/>
          </w:rPr>
          <w:t>IPCC, 2006</w:t>
        </w:r>
      </w:hyperlink>
      <w:r w:rsidR="00F40CE2">
        <w:rPr>
          <w:noProof/>
        </w:rPr>
        <w:t>)</w:t>
      </w:r>
      <w:r>
        <w:fldChar w:fldCharType="end"/>
      </w:r>
      <w:r>
        <w:t>, A</w:t>
      </w:r>
      <w:r w:rsidR="00C93BE6">
        <w:t>ustralia’s National Greenhouse G</w:t>
      </w:r>
      <w:r>
        <w:t xml:space="preserve">as Inventory </w:t>
      </w:r>
      <w:r>
        <w:fldChar w:fldCharType="begin"/>
      </w:r>
      <w:r w:rsidR="00F40CE2">
        <w:instrText xml:space="preserve"> ADDIN EN.CITE &lt;EndNote&gt;&lt;Cite&gt;&lt;Author&gt;DCCEE&lt;/Author&gt;&lt;Year&gt;2010&lt;/Year&gt;&lt;RecNum&gt;573&lt;/RecNum&gt;&lt;DisplayText&gt;(DCCEE,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r w:rsidR="00F40CE2">
        <w:rPr>
          <w:noProof/>
        </w:rPr>
        <w:t>(</w:t>
      </w:r>
      <w:hyperlink w:anchor="_ENREF_16" w:tooltip="DCCEE, 2010 #573" w:history="1">
        <w:r w:rsidR="00F40CE2">
          <w:rPr>
            <w:noProof/>
          </w:rPr>
          <w:t>DCCEE, 2010</w:t>
        </w:r>
      </w:hyperlink>
      <w:r w:rsidR="00F40CE2">
        <w:rPr>
          <w:noProof/>
        </w:rPr>
        <w:t>)</w:t>
      </w:r>
      <w:r>
        <w:fldChar w:fldCharType="end"/>
      </w:r>
      <w:r>
        <w:t xml:space="preserve"> provides an accepted method for estimating greenhouse gas emissions from landfill, of which methane is a particular focus because of its high global warming potential.</w:t>
      </w:r>
    </w:p>
    <w:p w14:paraId="194E6772" w14:textId="5BE212EF" w:rsidR="00834360" w:rsidRDefault="00FA1E93" w:rsidP="00FA1E93">
      <w:r>
        <w:t>In this study, the F</w:t>
      </w:r>
      <w:r w:rsidR="00C93BE6">
        <w:t xml:space="preserve">irst </w:t>
      </w:r>
      <w:r>
        <w:t>O</w:t>
      </w:r>
      <w:r w:rsidR="00C93BE6">
        <w:t xml:space="preserve">rder </w:t>
      </w:r>
      <w:r>
        <w:t>D</w:t>
      </w:r>
      <w:r w:rsidR="00C93BE6">
        <w:t>ecay (FOD)</w:t>
      </w:r>
      <w:r>
        <w:t xml:space="preserve"> model described by </w:t>
      </w:r>
      <w:r>
        <w:fldChar w:fldCharType="begin"/>
      </w:r>
      <w:r>
        <w:instrText xml:space="preserve"> ADDIN EN.CITE &lt;EndNote&gt;&lt;Cite AuthorYear="1"&gt;&lt;Author&gt;IPCC&lt;/Author&gt;&lt;Year&gt;2006&lt;/Year&gt;&lt;RecNum&gt;333&lt;/RecNum&gt;&lt;DisplayText&gt;IPCC (2006)&lt;/DisplayText&gt;&lt;record&gt;&lt;rec-number&gt;333&lt;/rec-number&gt;&lt;foreign-keys&gt;&lt;key app="EN" db-id="tfpv5staxsvs2nexzpp5taewzsvpx0er5fap"&gt;333&lt;/key&gt;&lt;/foreign-keys&gt;&lt;ref-type name="Report"&gt;27&lt;/ref-type&gt;&lt;contributors&gt;&lt;authors&gt;&lt;author&gt;IPCC&lt;/author&gt;&lt;/authors&gt;&lt;secondary-authors&gt;&lt;author&gt;Eggleston, S.&lt;/author&gt;&lt;author&gt;Buenida, L.&lt;/author&gt;&lt;author&gt;Miwa, K.&lt;/author&gt;&lt;author&gt;Ngara, T.&lt;/author&gt;&lt;author&gt;Tanabe, K.&lt;/author&gt;&lt;/secondary-authors&gt;&lt;/contributors&gt;&lt;titles&gt;&lt;title&gt;2006 IPCC Guidelines for National Greenhouse Gas Inventories&lt;/title&gt;&lt;/titles&gt;&lt;dates&gt;&lt;year&gt;2006&lt;/year&gt;&lt;/dates&gt;&lt;urls&gt;&lt;/urls&gt;&lt;/record&gt;&lt;/Cite&gt;&lt;/EndNote&gt;</w:instrText>
      </w:r>
      <w:r>
        <w:fldChar w:fldCharType="separate"/>
      </w:r>
      <w:hyperlink w:anchor="_ENREF_51" w:tooltip="IPCC, 2006 #333" w:history="1">
        <w:r w:rsidR="00F40CE2">
          <w:rPr>
            <w:noProof/>
          </w:rPr>
          <w:t>IPCC (2006</w:t>
        </w:r>
      </w:hyperlink>
      <w:r>
        <w:rPr>
          <w:noProof/>
        </w:rPr>
        <w:t>)</w:t>
      </w:r>
      <w:r>
        <w:fldChar w:fldCharType="end"/>
      </w:r>
      <w:r>
        <w:t xml:space="preserve"> and employed in </w:t>
      </w:r>
      <w:r>
        <w:fldChar w:fldCharType="begin"/>
      </w:r>
      <w:r>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hyperlink w:anchor="_ENREF_16" w:tooltip="DCCEE, 2010 #573" w:history="1">
        <w:r w:rsidR="00F40CE2">
          <w:rPr>
            <w:noProof/>
          </w:rPr>
          <w:t>DCCEE (2010</w:t>
        </w:r>
      </w:hyperlink>
      <w:r>
        <w:rPr>
          <w:noProof/>
        </w:rPr>
        <w:t>)</w:t>
      </w:r>
      <w:r>
        <w:fldChar w:fldCharType="end"/>
      </w:r>
      <w:r>
        <w:t xml:space="preserve"> is used to estimate emissions. The key parameters employed in the model are described in </w:t>
      </w:r>
      <w:r>
        <w:fldChar w:fldCharType="begin"/>
      </w:r>
      <w:r>
        <w:instrText xml:space="preserve"> REF _Ref353790521 \h </w:instrText>
      </w:r>
      <w:r>
        <w:fldChar w:fldCharType="separate"/>
      </w:r>
      <w:r w:rsidR="00564E5C">
        <w:t xml:space="preserve">Table </w:t>
      </w:r>
      <w:r w:rsidR="00564E5C">
        <w:rPr>
          <w:noProof/>
        </w:rPr>
        <w:t>18</w:t>
      </w:r>
      <w:r>
        <w:fldChar w:fldCharType="end"/>
      </w:r>
      <w:r>
        <w:t xml:space="preserve">, all of which have been derived from </w:t>
      </w:r>
      <w:r>
        <w:fldChar w:fldCharType="begin"/>
      </w:r>
      <w:r>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hyperlink w:anchor="_ENREF_16" w:tooltip="DCCEE, 2010 #573" w:history="1">
        <w:r w:rsidR="00F40CE2">
          <w:rPr>
            <w:noProof/>
          </w:rPr>
          <w:t>DCCEE (2010</w:t>
        </w:r>
      </w:hyperlink>
      <w:r>
        <w:rPr>
          <w:noProof/>
        </w:rPr>
        <w:t>)</w:t>
      </w:r>
      <w:r>
        <w:fldChar w:fldCharType="end"/>
      </w:r>
      <w:r>
        <w:t>. The period of analysis employed is 100 years, therefore emissions are considered up to this point. Emissions due to degradation beyond 100 years are not con</w:t>
      </w:r>
      <w:r w:rsidR="00952208">
        <w:t xml:space="preserve">sidered. Model parameters are described in </w:t>
      </w:r>
      <w:r w:rsidR="00952208">
        <w:fldChar w:fldCharType="begin"/>
      </w:r>
      <w:r w:rsidR="00952208">
        <w:instrText xml:space="preserve"> REF _Ref353788415 \h </w:instrText>
      </w:r>
      <w:r w:rsidR="00952208">
        <w:fldChar w:fldCharType="separate"/>
      </w:r>
      <w:r w:rsidR="00564E5C">
        <w:t xml:space="preserve">Table </w:t>
      </w:r>
      <w:r w:rsidR="00564E5C">
        <w:rPr>
          <w:noProof/>
        </w:rPr>
        <w:t>17</w:t>
      </w:r>
      <w:r w:rsidR="00952208">
        <w:fldChar w:fldCharType="end"/>
      </w:r>
      <w:r w:rsidR="00952208">
        <w:t>.</w:t>
      </w:r>
    </w:p>
    <w:p w14:paraId="4C2C2393" w14:textId="77777777" w:rsidR="00834360" w:rsidRDefault="00834360">
      <w:pPr>
        <w:widowControl/>
        <w:spacing w:after="0"/>
        <w:jc w:val="left"/>
      </w:pPr>
      <w:r>
        <w:br w:type="page"/>
      </w:r>
    </w:p>
    <w:p w14:paraId="10D5F8D4" w14:textId="77777777" w:rsidR="00FA1E93" w:rsidRDefault="00FA1E93" w:rsidP="00FA1E93"/>
    <w:p w14:paraId="237BB74B" w14:textId="77777777" w:rsidR="00952208" w:rsidRDefault="00952208" w:rsidP="00952208">
      <w:pPr>
        <w:pStyle w:val="Caption"/>
        <w:keepNext/>
      </w:pPr>
      <w:bookmarkStart w:id="123" w:name="_Ref353788415"/>
      <w:r>
        <w:t xml:space="preserve">Table </w:t>
      </w:r>
      <w:r w:rsidR="00FC7DE2">
        <w:fldChar w:fldCharType="begin"/>
      </w:r>
      <w:r w:rsidR="00FC7DE2">
        <w:instrText xml:space="preserve"> SEQ Table \* ARABIC </w:instrText>
      </w:r>
      <w:r w:rsidR="00FC7DE2">
        <w:fldChar w:fldCharType="separate"/>
      </w:r>
      <w:r w:rsidR="00564E5C">
        <w:rPr>
          <w:noProof/>
        </w:rPr>
        <w:t>17</w:t>
      </w:r>
      <w:r w:rsidR="00FC7DE2">
        <w:rPr>
          <w:noProof/>
        </w:rPr>
        <w:fldChar w:fldCharType="end"/>
      </w:r>
      <w:bookmarkEnd w:id="123"/>
      <w:r>
        <w:t xml:space="preserve"> Methane generation model parameters.</w:t>
      </w:r>
    </w:p>
    <w:tbl>
      <w:tblPr>
        <w:tblStyle w:val="TableGrid"/>
        <w:tblW w:w="0" w:type="auto"/>
        <w:tblLook w:val="04A0" w:firstRow="1" w:lastRow="0" w:firstColumn="1" w:lastColumn="0" w:noHBand="0" w:noVBand="1"/>
      </w:tblPr>
      <w:tblGrid>
        <w:gridCol w:w="1242"/>
        <w:gridCol w:w="4621"/>
      </w:tblGrid>
      <w:tr w:rsidR="00952208" w:rsidRPr="00165054" w14:paraId="33C2B4DA" w14:textId="77777777" w:rsidTr="00952208">
        <w:tc>
          <w:tcPr>
            <w:tcW w:w="1242" w:type="dxa"/>
          </w:tcPr>
          <w:p w14:paraId="5C338EDD" w14:textId="77777777" w:rsidR="00952208" w:rsidRPr="00165054" w:rsidRDefault="00952208" w:rsidP="00952208">
            <w:pPr>
              <w:spacing w:after="0"/>
              <w:rPr>
                <w:b/>
              </w:rPr>
            </w:pPr>
            <w:r w:rsidRPr="00165054">
              <w:rPr>
                <w:b/>
              </w:rPr>
              <w:t>Parameter</w:t>
            </w:r>
          </w:p>
        </w:tc>
        <w:tc>
          <w:tcPr>
            <w:tcW w:w="4621" w:type="dxa"/>
          </w:tcPr>
          <w:p w14:paraId="40FC8D3A" w14:textId="77777777" w:rsidR="00952208" w:rsidRPr="00165054" w:rsidRDefault="00952208" w:rsidP="00952208">
            <w:pPr>
              <w:spacing w:after="0"/>
              <w:jc w:val="left"/>
              <w:rPr>
                <w:b/>
              </w:rPr>
            </w:pPr>
            <w:r w:rsidRPr="00165054">
              <w:rPr>
                <w:b/>
              </w:rPr>
              <w:t>Description</w:t>
            </w:r>
          </w:p>
        </w:tc>
      </w:tr>
      <w:tr w:rsidR="00952208" w14:paraId="50291E65" w14:textId="77777777" w:rsidTr="00952208">
        <w:tc>
          <w:tcPr>
            <w:tcW w:w="1242" w:type="dxa"/>
          </w:tcPr>
          <w:p w14:paraId="4FA0CD4F" w14:textId="77777777" w:rsidR="00952208" w:rsidRPr="0041059A" w:rsidRDefault="00952208" w:rsidP="00952208">
            <w:pPr>
              <w:spacing w:after="0"/>
            </w:pPr>
            <w:r>
              <w:t>CH</w:t>
            </w:r>
            <w:r>
              <w:rPr>
                <w:vertAlign w:val="subscript"/>
              </w:rPr>
              <w:t>4</w:t>
            </w:r>
            <w:r>
              <w:t>emitted</w:t>
            </w:r>
          </w:p>
        </w:tc>
        <w:tc>
          <w:tcPr>
            <w:tcW w:w="4621" w:type="dxa"/>
          </w:tcPr>
          <w:p w14:paraId="66F13FCA" w14:textId="77777777" w:rsidR="00952208" w:rsidRDefault="00952208" w:rsidP="00952208">
            <w:pPr>
              <w:spacing w:after="0"/>
              <w:jc w:val="left"/>
            </w:pPr>
            <w:r>
              <w:t>Methane emitted from landfill (kg)</w:t>
            </w:r>
          </w:p>
        </w:tc>
      </w:tr>
      <w:tr w:rsidR="00952208" w14:paraId="49C79AF4" w14:textId="77777777" w:rsidTr="00952208">
        <w:tc>
          <w:tcPr>
            <w:tcW w:w="1242" w:type="dxa"/>
          </w:tcPr>
          <w:p w14:paraId="547FE5C0" w14:textId="77777777" w:rsidR="00952208" w:rsidRPr="0041059A" w:rsidRDefault="00952208" w:rsidP="00952208">
            <w:pPr>
              <w:spacing w:after="0"/>
              <w:jc w:val="center"/>
            </w:pPr>
            <w:r>
              <w:t>L</w:t>
            </w:r>
            <w:r>
              <w:rPr>
                <w:vertAlign w:val="subscript"/>
              </w:rPr>
              <w:t>O</w:t>
            </w:r>
          </w:p>
        </w:tc>
        <w:tc>
          <w:tcPr>
            <w:tcW w:w="4621" w:type="dxa"/>
          </w:tcPr>
          <w:p w14:paraId="499DE784" w14:textId="77777777" w:rsidR="00952208" w:rsidRDefault="00952208" w:rsidP="00952208">
            <w:pPr>
              <w:spacing w:after="0"/>
              <w:jc w:val="left"/>
            </w:pPr>
            <w:r>
              <w:t>Methane generated by landfill (kg)</w:t>
            </w:r>
          </w:p>
        </w:tc>
      </w:tr>
      <w:tr w:rsidR="00952208" w14:paraId="2BB9C9E4" w14:textId="77777777" w:rsidTr="00952208">
        <w:tc>
          <w:tcPr>
            <w:tcW w:w="1242" w:type="dxa"/>
          </w:tcPr>
          <w:p w14:paraId="099060FB" w14:textId="77777777" w:rsidR="00952208" w:rsidRPr="0041059A" w:rsidRDefault="00952208" w:rsidP="00952208">
            <w:pPr>
              <w:spacing w:after="0"/>
              <w:jc w:val="center"/>
              <w:rPr>
                <w:vertAlign w:val="subscript"/>
              </w:rPr>
            </w:pPr>
            <w:r>
              <w:t>R</w:t>
            </w:r>
          </w:p>
        </w:tc>
        <w:tc>
          <w:tcPr>
            <w:tcW w:w="4621" w:type="dxa"/>
          </w:tcPr>
          <w:p w14:paraId="02E5249A" w14:textId="77777777" w:rsidR="00952208" w:rsidRDefault="00952208" w:rsidP="00952208">
            <w:pPr>
              <w:spacing w:after="0"/>
              <w:jc w:val="left"/>
            </w:pPr>
            <w:r>
              <w:t>Methane recovered (kg)</w:t>
            </w:r>
          </w:p>
        </w:tc>
      </w:tr>
      <w:tr w:rsidR="00952208" w14:paraId="4DF00D8F" w14:textId="77777777" w:rsidTr="00952208">
        <w:tc>
          <w:tcPr>
            <w:tcW w:w="1242" w:type="dxa"/>
          </w:tcPr>
          <w:p w14:paraId="1182EE2D" w14:textId="77777777" w:rsidR="00952208" w:rsidRDefault="00952208" w:rsidP="00952208">
            <w:pPr>
              <w:spacing w:after="0"/>
              <w:jc w:val="center"/>
            </w:pPr>
            <w:r>
              <w:t>OX</w:t>
            </w:r>
          </w:p>
        </w:tc>
        <w:tc>
          <w:tcPr>
            <w:tcW w:w="4621" w:type="dxa"/>
          </w:tcPr>
          <w:p w14:paraId="66F7DD42" w14:textId="77777777" w:rsidR="00952208" w:rsidRDefault="00952208" w:rsidP="00952208">
            <w:pPr>
              <w:spacing w:after="0"/>
              <w:jc w:val="left"/>
            </w:pPr>
            <w:r>
              <w:t>Proportion of methane generated, and not recovered, that is oxidised through the landfill cap.</w:t>
            </w:r>
          </w:p>
        </w:tc>
      </w:tr>
      <w:tr w:rsidR="00952208" w14:paraId="7447D7EE" w14:textId="77777777" w:rsidTr="00952208">
        <w:tc>
          <w:tcPr>
            <w:tcW w:w="1242" w:type="dxa"/>
          </w:tcPr>
          <w:p w14:paraId="0D4505F6" w14:textId="77777777" w:rsidR="00952208" w:rsidRDefault="00952208" w:rsidP="00952208">
            <w:pPr>
              <w:spacing w:after="0"/>
              <w:jc w:val="center"/>
            </w:pPr>
            <w:r>
              <w:t>DDOCm</w:t>
            </w:r>
          </w:p>
        </w:tc>
        <w:tc>
          <w:tcPr>
            <w:tcW w:w="4621" w:type="dxa"/>
          </w:tcPr>
          <w:p w14:paraId="2C026E22" w14:textId="77777777" w:rsidR="00952208" w:rsidRDefault="00952208" w:rsidP="00952208">
            <w:pPr>
              <w:spacing w:after="0"/>
              <w:jc w:val="left"/>
            </w:pPr>
            <w:r>
              <w:t>Mass of decomposable DOC deposited in landfill.</w:t>
            </w:r>
          </w:p>
        </w:tc>
      </w:tr>
      <w:tr w:rsidR="00952208" w14:paraId="29B0F06E" w14:textId="77777777" w:rsidTr="00952208">
        <w:tc>
          <w:tcPr>
            <w:tcW w:w="1242" w:type="dxa"/>
          </w:tcPr>
          <w:p w14:paraId="0333AD8A" w14:textId="77777777" w:rsidR="00952208" w:rsidRDefault="00952208" w:rsidP="00952208">
            <w:pPr>
              <w:spacing w:after="0"/>
              <w:jc w:val="center"/>
            </w:pPr>
            <w:r>
              <w:t>F</w:t>
            </w:r>
          </w:p>
        </w:tc>
        <w:tc>
          <w:tcPr>
            <w:tcW w:w="4621" w:type="dxa"/>
          </w:tcPr>
          <w:p w14:paraId="70954625" w14:textId="77777777" w:rsidR="00952208" w:rsidRPr="00635ADC" w:rsidRDefault="00952208" w:rsidP="00952208">
            <w:pPr>
              <w:spacing w:after="0"/>
              <w:jc w:val="left"/>
            </w:pPr>
            <w:r>
              <w:t>Fraction of CH</w:t>
            </w:r>
            <w:r>
              <w:rPr>
                <w:vertAlign w:val="subscript"/>
              </w:rPr>
              <w:t>4</w:t>
            </w:r>
            <w:r>
              <w:t xml:space="preserve"> in landfill gas (volume fraction).</w:t>
            </w:r>
          </w:p>
        </w:tc>
      </w:tr>
      <w:tr w:rsidR="00952208" w14:paraId="232A0D6D" w14:textId="77777777" w:rsidTr="00952208">
        <w:tc>
          <w:tcPr>
            <w:tcW w:w="1242" w:type="dxa"/>
          </w:tcPr>
          <w:p w14:paraId="04048774" w14:textId="77777777" w:rsidR="00952208" w:rsidRDefault="00952208" w:rsidP="00952208">
            <w:pPr>
              <w:spacing w:after="0"/>
              <w:jc w:val="center"/>
            </w:pPr>
            <w:r>
              <w:t>W</w:t>
            </w:r>
          </w:p>
        </w:tc>
        <w:tc>
          <w:tcPr>
            <w:tcW w:w="4621" w:type="dxa"/>
          </w:tcPr>
          <w:p w14:paraId="3CCD184D" w14:textId="77777777" w:rsidR="00952208" w:rsidRDefault="00952208" w:rsidP="00952208">
            <w:pPr>
              <w:spacing w:after="0"/>
              <w:jc w:val="left"/>
            </w:pPr>
            <w:r>
              <w:t>Mass of waste deposited in landfill.</w:t>
            </w:r>
          </w:p>
        </w:tc>
      </w:tr>
      <w:tr w:rsidR="00952208" w14:paraId="1EEE1FBC" w14:textId="77777777" w:rsidTr="00952208">
        <w:tc>
          <w:tcPr>
            <w:tcW w:w="1242" w:type="dxa"/>
          </w:tcPr>
          <w:p w14:paraId="1F51E511" w14:textId="77777777" w:rsidR="00952208" w:rsidRDefault="00952208" w:rsidP="00952208">
            <w:pPr>
              <w:spacing w:after="0"/>
              <w:jc w:val="center"/>
            </w:pPr>
            <w:r>
              <w:t>DOC</w:t>
            </w:r>
          </w:p>
        </w:tc>
        <w:tc>
          <w:tcPr>
            <w:tcW w:w="4621" w:type="dxa"/>
          </w:tcPr>
          <w:p w14:paraId="23CD882E" w14:textId="77777777" w:rsidR="00952208" w:rsidRDefault="00952208" w:rsidP="00952208">
            <w:pPr>
              <w:spacing w:after="0"/>
              <w:jc w:val="left"/>
            </w:pPr>
            <w:r>
              <w:t>Degradable organic carbon fraction. The fraction of degradable organic carbon within the waste.</w:t>
            </w:r>
          </w:p>
        </w:tc>
      </w:tr>
      <w:tr w:rsidR="00952208" w14:paraId="3508A1E7" w14:textId="77777777" w:rsidTr="00952208">
        <w:tc>
          <w:tcPr>
            <w:tcW w:w="1242" w:type="dxa"/>
          </w:tcPr>
          <w:p w14:paraId="30442CAA" w14:textId="77777777" w:rsidR="00952208" w:rsidRPr="00635ADC" w:rsidRDefault="00952208" w:rsidP="00952208">
            <w:pPr>
              <w:spacing w:after="0"/>
              <w:jc w:val="center"/>
              <w:rPr>
                <w:vertAlign w:val="subscript"/>
              </w:rPr>
            </w:pPr>
            <w:r>
              <w:t>DOC</w:t>
            </w:r>
            <w:r>
              <w:rPr>
                <w:vertAlign w:val="subscript"/>
              </w:rPr>
              <w:t>f</w:t>
            </w:r>
          </w:p>
        </w:tc>
        <w:tc>
          <w:tcPr>
            <w:tcW w:w="4621" w:type="dxa"/>
          </w:tcPr>
          <w:p w14:paraId="42724688" w14:textId="77777777" w:rsidR="00952208" w:rsidRDefault="00952208" w:rsidP="00952208">
            <w:pPr>
              <w:spacing w:after="0"/>
              <w:jc w:val="left"/>
            </w:pPr>
            <w:r>
              <w:t>Fraction of DOC that can decompose.</w:t>
            </w:r>
          </w:p>
        </w:tc>
      </w:tr>
      <w:tr w:rsidR="00952208" w14:paraId="53480DF5" w14:textId="77777777" w:rsidTr="00952208">
        <w:tc>
          <w:tcPr>
            <w:tcW w:w="1242" w:type="dxa"/>
          </w:tcPr>
          <w:p w14:paraId="2737F43C" w14:textId="77777777" w:rsidR="00952208" w:rsidRDefault="00952208" w:rsidP="00952208">
            <w:pPr>
              <w:spacing w:after="0"/>
              <w:jc w:val="center"/>
            </w:pPr>
            <w:r>
              <w:t>MCF</w:t>
            </w:r>
          </w:p>
        </w:tc>
        <w:tc>
          <w:tcPr>
            <w:tcW w:w="4621" w:type="dxa"/>
          </w:tcPr>
          <w:p w14:paraId="28A1690E" w14:textId="77777777" w:rsidR="00952208" w:rsidRDefault="00952208" w:rsidP="00952208">
            <w:pPr>
              <w:spacing w:after="0"/>
              <w:jc w:val="left"/>
            </w:pPr>
            <w:r>
              <w:t>Methane correction factor. Acknowledges possibility that in some cases waste degradation will not generate methane.</w:t>
            </w:r>
          </w:p>
        </w:tc>
      </w:tr>
    </w:tbl>
    <w:p w14:paraId="170B31A1" w14:textId="77777777" w:rsidR="00952208" w:rsidRDefault="00952208" w:rsidP="00FA1E93"/>
    <w:p w14:paraId="6FE340C6" w14:textId="77777777" w:rsidR="00FA1E93" w:rsidRDefault="00FA1E93" w:rsidP="00FA1E93">
      <w:pPr>
        <w:pStyle w:val="Caption"/>
        <w:keepNext/>
      </w:pPr>
      <w:bookmarkStart w:id="124" w:name="_Ref353790521"/>
      <w:r>
        <w:t xml:space="preserve">Table </w:t>
      </w:r>
      <w:r w:rsidR="00FC7DE2">
        <w:fldChar w:fldCharType="begin"/>
      </w:r>
      <w:r w:rsidR="00FC7DE2">
        <w:instrText xml:space="preserve"> SEQ Table \* ARABIC </w:instrText>
      </w:r>
      <w:r w:rsidR="00FC7DE2">
        <w:fldChar w:fldCharType="separate"/>
      </w:r>
      <w:r w:rsidR="00564E5C">
        <w:rPr>
          <w:noProof/>
        </w:rPr>
        <w:t>18</w:t>
      </w:r>
      <w:r w:rsidR="00FC7DE2">
        <w:rPr>
          <w:noProof/>
        </w:rPr>
        <w:fldChar w:fldCharType="end"/>
      </w:r>
      <w:bookmarkEnd w:id="124"/>
      <w:r>
        <w:t xml:space="preserve"> Material specific methane generation and carbon storage assumptions.</w:t>
      </w:r>
    </w:p>
    <w:p w14:paraId="7C38ED41" w14:textId="77777777" w:rsidR="00FA1E93" w:rsidRDefault="00FA1E93" w:rsidP="00FA1E93">
      <w:r w:rsidRPr="004976C8">
        <w:rPr>
          <w:noProof/>
        </w:rPr>
        <w:drawing>
          <wp:inline distT="0" distB="0" distL="0" distR="0" wp14:anchorId="553EF31C" wp14:editId="6B015C99">
            <wp:extent cx="5731510" cy="303052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30528"/>
                    </a:xfrm>
                    <a:prstGeom prst="rect">
                      <a:avLst/>
                    </a:prstGeom>
                    <a:noFill/>
                    <a:ln>
                      <a:noFill/>
                    </a:ln>
                  </pic:spPr>
                </pic:pic>
              </a:graphicData>
            </a:graphic>
          </wp:inline>
        </w:drawing>
      </w:r>
    </w:p>
    <w:p w14:paraId="2EF2C416" w14:textId="6A1D9B7A" w:rsidR="00FA1E93" w:rsidRDefault="00FA1E93" w:rsidP="00FA1E93">
      <w:r>
        <w:t xml:space="preserve">Non-material specific parameters are described in </w:t>
      </w:r>
      <w:r>
        <w:fldChar w:fldCharType="begin"/>
      </w:r>
      <w:r>
        <w:instrText xml:space="preserve"> REF _Ref353790574 \h </w:instrText>
      </w:r>
      <w:r>
        <w:fldChar w:fldCharType="separate"/>
      </w:r>
      <w:r w:rsidR="00564E5C">
        <w:t xml:space="preserve">Table </w:t>
      </w:r>
      <w:r w:rsidR="00564E5C">
        <w:rPr>
          <w:noProof/>
        </w:rPr>
        <w:t>19</w:t>
      </w:r>
      <w:r>
        <w:fldChar w:fldCharType="end"/>
      </w:r>
      <w:r>
        <w:t>, along with a number of parameters associated with the calculation of methane recovery. A key variable when estimating emissions is the determination of the mass of methane recovered by the landfill (R</w:t>
      </w:r>
      <w:r w:rsidR="00952208" w:rsidRPr="00952208">
        <w:rPr>
          <w:vertAlign w:val="subscript"/>
        </w:rPr>
        <w:t>t</w:t>
      </w:r>
      <w:r>
        <w:t xml:space="preserve"> </w:t>
      </w:r>
      <w:r w:rsidR="00952208">
        <w:t xml:space="preserve">shown </w:t>
      </w:r>
      <w:r>
        <w:t>in</w:t>
      </w:r>
      <w:r w:rsidR="00952208">
        <w:t xml:space="preserve"> </w:t>
      </w:r>
      <w:r w:rsidR="00952208">
        <w:fldChar w:fldCharType="begin"/>
      </w:r>
      <w:r w:rsidR="00952208">
        <w:instrText xml:space="preserve"> REF _Ref353790574 \h </w:instrText>
      </w:r>
      <w:r w:rsidR="00952208">
        <w:fldChar w:fldCharType="separate"/>
      </w:r>
      <w:r w:rsidR="00564E5C">
        <w:t xml:space="preserve">Table </w:t>
      </w:r>
      <w:r w:rsidR="00564E5C">
        <w:rPr>
          <w:noProof/>
        </w:rPr>
        <w:t>19</w:t>
      </w:r>
      <w:r w:rsidR="00952208">
        <w:fldChar w:fldCharType="end"/>
      </w:r>
      <w:r w:rsidR="00952208">
        <w:t>, the recovery rate during the collection period, equates to a recovery fraction, R</w:t>
      </w:r>
      <w:r w:rsidR="00952208" w:rsidRPr="00952208">
        <w:rPr>
          <w:vertAlign w:val="subscript"/>
        </w:rPr>
        <w:t>f</w:t>
      </w:r>
      <w:r w:rsidR="00952208">
        <w:t>, over the 100 year period considered of 56%</w:t>
      </w:r>
      <w:r>
        <w:t xml:space="preserve">). The determination of R undertaken in </w:t>
      </w:r>
      <w:r>
        <w:fldChar w:fldCharType="begin"/>
      </w:r>
      <w:r w:rsidR="00F40CE2">
        <w:instrText xml:space="preserve"> ADDIN EN.CITE &lt;EndNote&gt;&lt;Cite&gt;&lt;Author&gt;DCCEE&lt;/Author&gt;&lt;Year&gt;2010&lt;/Year&gt;&lt;RecNum&gt;573&lt;/RecNum&gt;&lt;DisplayText&gt;(DCCEE,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r w:rsidR="00F40CE2">
        <w:rPr>
          <w:noProof/>
        </w:rPr>
        <w:t>(</w:t>
      </w:r>
      <w:hyperlink w:anchor="_ENREF_16" w:tooltip="DCCEE, 2010 #573" w:history="1">
        <w:r w:rsidR="00F40CE2">
          <w:rPr>
            <w:noProof/>
          </w:rPr>
          <w:t>DCCEE, 2010</w:t>
        </w:r>
      </w:hyperlink>
      <w:r w:rsidR="00F40CE2">
        <w:rPr>
          <w:noProof/>
        </w:rPr>
        <w:t>)</w:t>
      </w:r>
      <w:r>
        <w:fldChar w:fldCharType="end"/>
      </w:r>
      <w:r>
        <w:t xml:space="preserve"> is based upon the reporting of carbon emissions by landfill operators under the National Greenhouse and Energy Reporting Scheme (NGERS). The most recent value for R</w:t>
      </w:r>
      <w:r>
        <w:rPr>
          <w:vertAlign w:val="subscript"/>
        </w:rPr>
        <w:t>f</w:t>
      </w:r>
      <w:r>
        <w:t xml:space="preserve"> reported</w:t>
      </w:r>
      <w:r>
        <w:rPr>
          <w:rStyle w:val="FootnoteReference"/>
        </w:rPr>
        <w:footnoteReference w:id="7"/>
      </w:r>
      <w:r>
        <w:t xml:space="preserve"> in </w:t>
      </w:r>
      <w:r>
        <w:fldChar w:fldCharType="begin"/>
      </w:r>
      <w:r w:rsidR="00F40CE2">
        <w:instrText xml:space="preserve"> ADDIN EN.CITE &lt;EndNote&gt;&lt;Cite&gt;&lt;Author&gt;DCCEE&lt;/Author&gt;&lt;Year&gt;2010&lt;/Year&gt;&lt;RecNum&gt;573&lt;/RecNum&gt;&lt;DisplayText&gt;(DCCEE,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r w:rsidR="00F40CE2">
        <w:rPr>
          <w:noProof/>
        </w:rPr>
        <w:t>(</w:t>
      </w:r>
      <w:hyperlink w:anchor="_ENREF_16" w:tooltip="DCCEE, 2010 #573" w:history="1">
        <w:r w:rsidR="00F40CE2">
          <w:rPr>
            <w:noProof/>
          </w:rPr>
          <w:t>DCCEE, 2010</w:t>
        </w:r>
      </w:hyperlink>
      <w:r w:rsidR="00F40CE2">
        <w:rPr>
          <w:noProof/>
        </w:rPr>
        <w:t>)</w:t>
      </w:r>
      <w:r>
        <w:fldChar w:fldCharType="end"/>
      </w:r>
      <w:r>
        <w:t xml:space="preserve"> equates to the recovery of approximately 26% of methane generated in Australian landfill.</w:t>
      </w:r>
    </w:p>
    <w:p w14:paraId="32594201" w14:textId="5A2B2D46" w:rsidR="00FA1E93" w:rsidRDefault="00FA1E93" w:rsidP="00FA1E93">
      <w:r>
        <w:t xml:space="preserve">In this study an alternative approach to the determination of methane recovery has been adopted due to the limitations of the DCCEE approach, chief amongst these is the retrospective nature of the </w:t>
      </w:r>
      <w:r>
        <w:lastRenderedPageBreak/>
        <w:t>estimate. Under its obligations to report Australia’s current emissions from landfill, the f</w:t>
      </w:r>
      <w:r w:rsidR="00C93BE6">
        <w:t>r</w:t>
      </w:r>
      <w:r>
        <w:t>action of methane captured nationally must incorporate a range of landfill sites that are no longer reflective of contemporary landfill practice. As this study aims to understand landfill impacts prospectively, this approach was considered unrealistic.</w:t>
      </w:r>
    </w:p>
    <w:p w14:paraId="2545FB2E" w14:textId="6DCDAA1F" w:rsidR="00FA1E93" w:rsidRDefault="00FA1E93" w:rsidP="00FA1E93">
      <w:r>
        <w:t xml:space="preserve">As discussed in </w:t>
      </w:r>
      <w:r w:rsidR="00304D1C">
        <w:fldChar w:fldCharType="begin"/>
      </w:r>
      <w:r w:rsidR="00304D1C">
        <w:instrText xml:space="preserve"> REF _Ref360560152 \h </w:instrText>
      </w:r>
      <w:r w:rsidR="00304D1C">
        <w:fldChar w:fldCharType="separate"/>
      </w:r>
      <w:r w:rsidR="00564E5C">
        <w:t>Appendix B – Inventory Report</w:t>
      </w:r>
      <w:r w:rsidR="00304D1C">
        <w:fldChar w:fldCharType="end"/>
      </w:r>
      <w:r w:rsidR="00304D1C">
        <w:t>,</w:t>
      </w:r>
      <w:r>
        <w:t xml:space="preserve"> 82% of waste collected from the kerbside is deposited in 10 large landfill sites across Victoria, 9 of which are known to be pursuing landfill gas projects involving methane collection and combustion. It is therefore more likely that landfill sites in Victoria accepting kerbside waste will achieve higher recovery rates than the 26% reported by DCCEE. In </w:t>
      </w:r>
      <w:r>
        <w:fldChar w:fldCharType="begin"/>
      </w:r>
      <w:r w:rsidR="00F40CE2">
        <w:instrText xml:space="preserve"> ADDIN EN.CITE &lt;EndNote&gt;&lt;Cite AuthorYear="1"&gt;&lt;Author&gt;Pickin&lt;/Author&gt;&lt;Year&gt;1996&lt;/Year&gt;&lt;RecNum&gt;241&lt;/RecNum&gt;&lt;DisplayText&gt;Pickin (1996)&lt;/DisplayText&gt;&lt;record&gt;&lt;rec-number&gt;241&lt;/rec-number&gt;&lt;foreign-keys&gt;&lt;key app="EN" db-id="tfpv5staxsvs2nexzpp5taewzsvpx0er5fap"&gt;241&lt;/key&gt;&lt;/foreign-keys&gt;&lt;ref-type name="Thesis"&gt;32&lt;/ref-type&gt;&lt;contributors&gt;&lt;authors&gt;&lt;author&gt;Pickin, J.,&lt;/author&gt;&lt;/authors&gt;&lt;/contributors&gt;&lt;titles&gt;&lt;title&gt;Paper and the Greenhouse Effect&lt;/title&gt;&lt;secondary-title&gt;Faculty of Architecture, Building and Planning&lt;/secondary-title&gt;&lt;/titles&gt;&lt;dates&gt;&lt;year&gt;1996&lt;/year&gt;&lt;/dates&gt;&lt;pub-location&gt;Melbourne&lt;/pub-location&gt;&lt;publisher&gt;RMIT&lt;/publisher&gt;&lt;urls&gt;&lt;/urls&gt;&lt;/record&gt;&lt;/Cite&gt;&lt;/EndNote&gt;</w:instrText>
      </w:r>
      <w:r>
        <w:fldChar w:fldCharType="separate"/>
      </w:r>
      <w:hyperlink w:anchor="_ENREF_64" w:tooltip="Pickin, 1996 #241" w:history="1">
        <w:r w:rsidR="00F40CE2">
          <w:rPr>
            <w:noProof/>
          </w:rPr>
          <w:t>Pickin (1996</w:t>
        </w:r>
      </w:hyperlink>
      <w:r w:rsidR="00F40CE2">
        <w:rPr>
          <w:noProof/>
        </w:rPr>
        <w:t>)</w:t>
      </w:r>
      <w:r>
        <w:fldChar w:fldCharType="end"/>
      </w:r>
      <w:r>
        <w:t>, estimates for the Wollert Landfill in Victoria ranged from between 60% and 88% for R</w:t>
      </w:r>
      <w:r>
        <w:rPr>
          <w:vertAlign w:val="subscript"/>
        </w:rPr>
        <w:t>f</w:t>
      </w:r>
      <w:r>
        <w:t xml:space="preserve">. </w:t>
      </w:r>
    </w:p>
    <w:p w14:paraId="08C1CCE3" w14:textId="29BD818C" w:rsidR="00FA1E93" w:rsidRDefault="00C93BE6" w:rsidP="00FA1E93">
      <w:r>
        <w:t>In Picki</w:t>
      </w:r>
      <w:r w:rsidR="00FA1E93">
        <w:t xml:space="preserve">n’s approach, landfill gas was assumed to be collected for a period of 40 years (energy generation for 30 years, followed by 10 years gas flaring), during which time 70% of methane generated would be collected. After this time, collection operations were assumed to cease and the remaining methane generated in the landfill is assumed to be emitted to atmosphere (less the proportion of methane oxidised in the landfill cap). This approach appears reasonable, given likely obligations of landfill operators to extend the operation and management of landfill gas beyond the closure of the landfill site (The Victorian EPA mentions a minimum 30 year period in its best practice guidelines </w:t>
      </w:r>
      <w:r w:rsidR="00FA1E93">
        <w:fldChar w:fldCharType="begin"/>
      </w:r>
      <w:r w:rsidR="00F40CE2">
        <w:instrText xml:space="preserve"> ADDIN EN.CITE &lt;EndNote&gt;&lt;Cite&gt;&lt;Author&gt;EPA Victoria&lt;/Author&gt;&lt;Year&gt;2010&lt;/Year&gt;&lt;RecNum&gt;586&lt;/RecNum&gt;&lt;DisplayText&gt;(EPA Victoria, 2010)&lt;/DisplayText&gt;&lt;record&gt;&lt;rec-number&gt;586&lt;/rec-number&gt;&lt;foreign-keys&gt;&lt;key app="EN" db-id="tfpv5staxsvs2nexzpp5taewzsvpx0er5fap"&gt;586&lt;/key&gt;&lt;/foreign-keys&gt;&lt;ref-type name="Report"&gt;27&lt;/ref-type&gt;&lt;contributors&gt;&lt;authors&gt;&lt;author&gt;EPA Victoria,&lt;/author&gt;&lt;/authors&gt;&lt;/contributors&gt;&lt;titles&gt;&lt;title&gt;Best Practice Environmental Management - Siting, Design, Operation and Rehabilitation of Landfills&lt;/title&gt;&lt;/titles&gt;&lt;number&gt;Publication 788.1&lt;/number&gt;&lt;dates&gt;&lt;year&gt;2010&lt;/year&gt;&lt;/dates&gt;&lt;pub-location&gt;Melbourne&lt;/pub-location&gt;&lt;urls&gt;&lt;/urls&gt;&lt;/record&gt;&lt;/Cite&gt;&lt;/EndNote&gt;</w:instrText>
      </w:r>
      <w:r w:rsidR="00FA1E93">
        <w:fldChar w:fldCharType="separate"/>
      </w:r>
      <w:r w:rsidR="00F40CE2">
        <w:rPr>
          <w:noProof/>
        </w:rPr>
        <w:t>(</w:t>
      </w:r>
      <w:hyperlink w:anchor="_ENREF_21" w:tooltip="EPA Victoria, 2010 #586" w:history="1">
        <w:r w:rsidR="00F40CE2">
          <w:rPr>
            <w:noProof/>
          </w:rPr>
          <w:t>EPA Victoria, 2010</w:t>
        </w:r>
      </w:hyperlink>
      <w:r w:rsidR="00F40CE2">
        <w:rPr>
          <w:noProof/>
        </w:rPr>
        <w:t>)</w:t>
      </w:r>
      <w:r w:rsidR="00FA1E93">
        <w:fldChar w:fldCharType="end"/>
      </w:r>
      <w:r w:rsidR="00FA1E93">
        <w:t>).</w:t>
      </w:r>
    </w:p>
    <w:p w14:paraId="0DDDC449" w14:textId="01BCE264" w:rsidR="00FA1E93" w:rsidRPr="00B23BB3" w:rsidRDefault="00FA1E93" w:rsidP="00FA1E93">
      <w:r>
        <w:t>In this study an estimate of methane recovered has been derived in a similar fash</w:t>
      </w:r>
      <w:r w:rsidR="00D235EC">
        <w:t>ion to that adopted by Picki</w:t>
      </w:r>
      <w:r>
        <w:t xml:space="preserve">n, for each material considered. Assumptions regarding collection and flaring lifetimes are shown in </w:t>
      </w:r>
      <w:r>
        <w:fldChar w:fldCharType="begin"/>
      </w:r>
      <w:r>
        <w:instrText xml:space="preserve"> REF _Ref353790574 \h </w:instrText>
      </w:r>
      <w:r>
        <w:fldChar w:fldCharType="separate"/>
      </w:r>
      <w:r w:rsidR="00564E5C">
        <w:t xml:space="preserve">Table </w:t>
      </w:r>
      <w:r w:rsidR="00564E5C">
        <w:rPr>
          <w:noProof/>
        </w:rPr>
        <w:t>19</w:t>
      </w:r>
      <w:r>
        <w:fldChar w:fldCharType="end"/>
      </w:r>
      <w:r>
        <w:t>, as well as an estimate of methane gas collected and not oxidised. This factor reflects the reality that a portion of landfill gas collected will be vented to atmosphere over the life of the collection system (during maintenance, accidental leakage, etc.).</w:t>
      </w:r>
      <w:r w:rsidR="00304D1C">
        <w:t xml:space="preserve"> Over the life of the landfill the collected fraction (R</w:t>
      </w:r>
      <w:r w:rsidR="00304D1C" w:rsidRPr="00304D1C">
        <w:rPr>
          <w:vertAlign w:val="subscript"/>
        </w:rPr>
        <w:t>f</w:t>
      </w:r>
      <w:r w:rsidR="00304D1C">
        <w:t>) is equivalent to 56%.</w:t>
      </w:r>
    </w:p>
    <w:p w14:paraId="0FBFD141" w14:textId="77777777" w:rsidR="00FA1E93" w:rsidRDefault="00FA1E93" w:rsidP="00FA1E93">
      <w:pPr>
        <w:pStyle w:val="Caption"/>
        <w:keepNext/>
      </w:pPr>
      <w:bookmarkStart w:id="125" w:name="_Ref353790574"/>
      <w:r>
        <w:t xml:space="preserve">Table </w:t>
      </w:r>
      <w:r w:rsidR="00FC7DE2">
        <w:fldChar w:fldCharType="begin"/>
      </w:r>
      <w:r w:rsidR="00FC7DE2">
        <w:instrText xml:space="preserve"> SEQ Table \* ARABIC </w:instrText>
      </w:r>
      <w:r w:rsidR="00FC7DE2">
        <w:fldChar w:fldCharType="separate"/>
      </w:r>
      <w:r w:rsidR="00564E5C">
        <w:rPr>
          <w:noProof/>
        </w:rPr>
        <w:t>19</w:t>
      </w:r>
      <w:r w:rsidR="00FC7DE2">
        <w:rPr>
          <w:noProof/>
        </w:rPr>
        <w:fldChar w:fldCharType="end"/>
      </w:r>
      <w:bookmarkEnd w:id="125"/>
      <w:r>
        <w:t xml:space="preserve"> General methane generation, emission and recovery assumptions.</w:t>
      </w:r>
    </w:p>
    <w:p w14:paraId="4CCB6EF3" w14:textId="77777777" w:rsidR="00FA1E93" w:rsidRDefault="00FA1E93" w:rsidP="00FA1E93">
      <w:r w:rsidRPr="00FA3F4A">
        <w:rPr>
          <w:noProof/>
        </w:rPr>
        <w:drawing>
          <wp:inline distT="0" distB="0" distL="0" distR="0" wp14:anchorId="2E4A5B36" wp14:editId="7599E33B">
            <wp:extent cx="4791075" cy="2352675"/>
            <wp:effectExtent l="19050" t="0" r="9525"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791075" cy="2352675"/>
                    </a:xfrm>
                    <a:prstGeom prst="rect">
                      <a:avLst/>
                    </a:prstGeom>
                    <a:noFill/>
                    <a:ln w="9525">
                      <a:noFill/>
                      <a:miter lim="800000"/>
                      <a:headEnd/>
                      <a:tailEnd/>
                    </a:ln>
                  </pic:spPr>
                </pic:pic>
              </a:graphicData>
            </a:graphic>
          </wp:inline>
        </w:drawing>
      </w:r>
    </w:p>
    <w:p w14:paraId="336C2CEE" w14:textId="6C5B7B0B" w:rsidR="00FA1E93" w:rsidRDefault="00FA1E93" w:rsidP="00FA1E93">
      <w:r>
        <w:t xml:space="preserve">The results of the emissions analysis are summarised in </w:t>
      </w:r>
      <w:r>
        <w:fldChar w:fldCharType="begin"/>
      </w:r>
      <w:r>
        <w:instrText xml:space="preserve"> REF _Ref353794601 \h </w:instrText>
      </w:r>
      <w:r>
        <w:fldChar w:fldCharType="separate"/>
      </w:r>
      <w:r w:rsidR="00564E5C">
        <w:t xml:space="preserve">Table </w:t>
      </w:r>
      <w:r w:rsidR="00564E5C">
        <w:rPr>
          <w:noProof/>
        </w:rPr>
        <w:t>20</w:t>
      </w:r>
      <w:r>
        <w:fldChar w:fldCharType="end"/>
      </w:r>
      <w:r>
        <w:t xml:space="preserve"> for each material. In addition to methane emissions, carbon storage is</w:t>
      </w:r>
      <w:r w:rsidR="00702E46">
        <w:t xml:space="preserve"> also shown. Carbon stored with</w:t>
      </w:r>
      <w:r>
        <w:t xml:space="preserve">in the landfill is calculated using the factors shown in </w:t>
      </w:r>
      <w:r>
        <w:fldChar w:fldCharType="begin"/>
      </w:r>
      <w:r>
        <w:instrText xml:space="preserve"> REF _Ref353790521 \h </w:instrText>
      </w:r>
      <w:r>
        <w:fldChar w:fldCharType="separate"/>
      </w:r>
      <w:r w:rsidR="00564E5C">
        <w:t xml:space="preserve">Table </w:t>
      </w:r>
      <w:r w:rsidR="00564E5C">
        <w:rPr>
          <w:noProof/>
        </w:rPr>
        <w:t>18</w:t>
      </w:r>
      <w:r>
        <w:fldChar w:fldCharType="end"/>
      </w:r>
      <w:r>
        <w:t xml:space="preserve">, which are in turn based on the work of Morton Barlaz, quoted </w:t>
      </w:r>
      <w:r w:rsidR="00D235EC">
        <w:t>by</w:t>
      </w:r>
      <w:r>
        <w:t xml:space="preserve"> </w:t>
      </w:r>
      <w:r>
        <w:fldChar w:fldCharType="begin"/>
      </w:r>
      <w:r w:rsidR="00D235EC">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hyperlink w:anchor="_ENREF_16" w:tooltip="DCCEE, 2010 #573" w:history="1">
        <w:r w:rsidR="00F40CE2">
          <w:rPr>
            <w:noProof/>
          </w:rPr>
          <w:t>DCCEE (2010</w:t>
        </w:r>
      </w:hyperlink>
      <w:r w:rsidR="00D235EC">
        <w:rPr>
          <w:noProof/>
        </w:rPr>
        <w:t>)</w:t>
      </w:r>
      <w:r>
        <w:fldChar w:fldCharType="end"/>
      </w:r>
      <w:r>
        <w:t>. The factors assume that a portion of the organic carbon deposited in the landfill will not degrade and will remain within the landfill for an extended period.</w:t>
      </w:r>
    </w:p>
    <w:p w14:paraId="58047955" w14:textId="773B7A7A" w:rsidR="00FA1E93" w:rsidRPr="004F72C2" w:rsidRDefault="00FA1E93" w:rsidP="00FA1E93">
      <w:r>
        <w:t xml:space="preserve">In addition, </w:t>
      </w:r>
      <w:r>
        <w:fldChar w:fldCharType="begin"/>
      </w:r>
      <w:r>
        <w:instrText xml:space="preserve"> REF _Ref353794601 \h </w:instrText>
      </w:r>
      <w:r>
        <w:fldChar w:fldCharType="separate"/>
      </w:r>
      <w:r w:rsidR="00564E5C">
        <w:t xml:space="preserve">Table </w:t>
      </w:r>
      <w:r w:rsidR="00564E5C">
        <w:rPr>
          <w:noProof/>
        </w:rPr>
        <w:t>20</w:t>
      </w:r>
      <w:r>
        <w:fldChar w:fldCharType="end"/>
      </w:r>
      <w:r>
        <w:t xml:space="preserve"> describes a calculated equivalent methane capture rate (R</w:t>
      </w:r>
      <w:r>
        <w:rPr>
          <w:vertAlign w:val="subscript"/>
        </w:rPr>
        <w:t>f</w:t>
      </w:r>
      <w:r>
        <w:t xml:space="preserve">). This factor is comparable to the 26% capture rate reported by </w:t>
      </w:r>
      <w:r>
        <w:fldChar w:fldCharType="begin"/>
      </w:r>
      <w:r w:rsidR="00D235EC">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hyperlink w:anchor="_ENREF_16" w:tooltip="DCCEE, 2010 #573" w:history="1">
        <w:r w:rsidR="00F40CE2">
          <w:rPr>
            <w:noProof/>
          </w:rPr>
          <w:t>DCCEE (2010</w:t>
        </w:r>
      </w:hyperlink>
      <w:r w:rsidR="00D235EC">
        <w:rPr>
          <w:noProof/>
        </w:rPr>
        <w:t>)</w:t>
      </w:r>
      <w:r>
        <w:fldChar w:fldCharType="end"/>
      </w:r>
      <w:r>
        <w:t xml:space="preserve"> and the 60% and 88% capture rates reported by </w:t>
      </w:r>
      <w:r>
        <w:fldChar w:fldCharType="begin"/>
      </w:r>
      <w:r w:rsidR="00F40CE2">
        <w:instrText xml:space="preserve"> ADDIN EN.CITE &lt;EndNote&gt;&lt;Cite AuthorYear="1"&gt;&lt;Author&gt;Pickin&lt;/Author&gt;&lt;Year&gt;1996&lt;/Year&gt;&lt;RecNum&gt;241&lt;/RecNum&gt;&lt;DisplayText&gt;Pickin (1996)&lt;/DisplayText&gt;&lt;record&gt;&lt;rec-number&gt;241&lt;/rec-number&gt;&lt;foreign-keys&gt;&lt;key app="EN" db-id="tfpv5staxsvs2nexzpp5taewzsvpx0er5fap"&gt;241&lt;/key&gt;&lt;/foreign-keys&gt;&lt;ref-type name="Thesis"&gt;32&lt;/ref-type&gt;&lt;contributors&gt;&lt;authors&gt;&lt;author&gt;Pickin, J.,&lt;/author&gt;&lt;/authors&gt;&lt;/contributors&gt;&lt;titles&gt;&lt;title&gt;Paper and the Greenhouse Effect&lt;/title&gt;&lt;secondary-title&gt;Faculty of Architecture, Building and Planning&lt;/secondary-title&gt;&lt;/titles&gt;&lt;dates&gt;&lt;year&gt;1996&lt;/year&gt;&lt;/dates&gt;&lt;pub-location&gt;Melbourne&lt;/pub-location&gt;&lt;publisher&gt;RMIT&lt;/publisher&gt;&lt;urls&gt;&lt;/urls&gt;&lt;/record&gt;&lt;/Cite&gt;&lt;/EndNote&gt;</w:instrText>
      </w:r>
      <w:r>
        <w:fldChar w:fldCharType="separate"/>
      </w:r>
      <w:hyperlink w:anchor="_ENREF_64" w:tooltip="Pickin, 1996 #241" w:history="1">
        <w:r w:rsidR="00F40CE2">
          <w:rPr>
            <w:noProof/>
          </w:rPr>
          <w:t>Pickin (1996</w:t>
        </w:r>
      </w:hyperlink>
      <w:r w:rsidR="00F40CE2">
        <w:rPr>
          <w:noProof/>
        </w:rPr>
        <w:t>)</w:t>
      </w:r>
      <w:r>
        <w:fldChar w:fldCharType="end"/>
      </w:r>
      <w:r>
        <w:t>.</w:t>
      </w:r>
    </w:p>
    <w:p w14:paraId="3EAF87AC" w14:textId="77777777" w:rsidR="00FA1E93" w:rsidRDefault="00FA1E93" w:rsidP="00FA1E93">
      <w:pPr>
        <w:pStyle w:val="Caption"/>
        <w:keepNext/>
      </w:pPr>
      <w:bookmarkStart w:id="126" w:name="_Ref353794601"/>
      <w:r>
        <w:lastRenderedPageBreak/>
        <w:t xml:space="preserve">Table </w:t>
      </w:r>
      <w:r w:rsidR="00FC7DE2">
        <w:fldChar w:fldCharType="begin"/>
      </w:r>
      <w:r w:rsidR="00FC7DE2">
        <w:instrText xml:space="preserve"> SEQ Table \* ARABIC </w:instrText>
      </w:r>
      <w:r w:rsidR="00FC7DE2">
        <w:fldChar w:fldCharType="separate"/>
      </w:r>
      <w:r w:rsidR="00564E5C">
        <w:rPr>
          <w:noProof/>
        </w:rPr>
        <w:t>20</w:t>
      </w:r>
      <w:r w:rsidR="00FC7DE2">
        <w:rPr>
          <w:noProof/>
        </w:rPr>
        <w:fldChar w:fldCharType="end"/>
      </w:r>
      <w:bookmarkEnd w:id="126"/>
      <w:r>
        <w:t xml:space="preserve"> Calculated methane emissions, methane for generation and carbon storage.</w:t>
      </w:r>
    </w:p>
    <w:p w14:paraId="6EF4AA7F" w14:textId="77777777" w:rsidR="00FA1E93" w:rsidRDefault="00FA1E93" w:rsidP="00FA1E93">
      <w:r w:rsidRPr="00D327E0">
        <w:rPr>
          <w:noProof/>
        </w:rPr>
        <w:drawing>
          <wp:inline distT="0" distB="0" distL="0" distR="0" wp14:anchorId="2BAF4C9D" wp14:editId="7F1AF860">
            <wp:extent cx="5731510" cy="3778097"/>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778097"/>
                    </a:xfrm>
                    <a:prstGeom prst="rect">
                      <a:avLst/>
                    </a:prstGeom>
                    <a:noFill/>
                    <a:ln>
                      <a:noFill/>
                    </a:ln>
                  </pic:spPr>
                </pic:pic>
              </a:graphicData>
            </a:graphic>
          </wp:inline>
        </w:drawing>
      </w:r>
    </w:p>
    <w:p w14:paraId="3B3DC23F" w14:textId="77777777" w:rsidR="00FA1E93" w:rsidRDefault="00FA1E93" w:rsidP="00304D1C">
      <w:pPr>
        <w:pStyle w:val="Heading5"/>
      </w:pPr>
      <w:bookmarkStart w:id="127" w:name="_Ref358725604"/>
      <w:r>
        <w:t>Emissions from landfill to water</w:t>
      </w:r>
      <w:bookmarkEnd w:id="127"/>
    </w:p>
    <w:p w14:paraId="4B51CB52" w14:textId="086821CE" w:rsidR="00FA1E93" w:rsidRDefault="00FA1E93" w:rsidP="00FA1E93">
      <w:r>
        <w:t>In addition to gaseous emissions, many sanitary landfills emit substances to water in the form of leachate</w:t>
      </w:r>
      <w:r w:rsidR="00D235EC">
        <w:t>,</w:t>
      </w:r>
      <w:r>
        <w:t xml:space="preserve"> which is collected. Once collected the leachate is typically treated on-site using aeration ponds before being released into the sewer. Treatment may also involve adding chemicals to adjust effluent flow composition such that it lies within discharge limits (trade waste limits). Once discharged to the sewer the leachate travels to municipal waste water treatment plant</w:t>
      </w:r>
      <w:r w:rsidR="00D235EC">
        <w:t>s</w:t>
      </w:r>
      <w:r>
        <w:t xml:space="preserve"> before being discharged to the ocean.</w:t>
      </w:r>
    </w:p>
    <w:p w14:paraId="74FB9B55" w14:textId="77777777" w:rsidR="00304D1C" w:rsidRDefault="00304D1C" w:rsidP="00304D1C">
      <w:r>
        <w:t xml:space="preserve">In this study, the EcoInvent/Doka method has been used to develop an estimate of leachate emissions from landfill which is directly related waste fractions deposited in the landfill. A schematic of the approach is described in </w:t>
      </w:r>
      <w:r>
        <w:fldChar w:fldCharType="begin"/>
      </w:r>
      <w:r>
        <w:instrText xml:space="preserve"> REF _Ref355356851 \h </w:instrText>
      </w:r>
      <w:r>
        <w:fldChar w:fldCharType="separate"/>
      </w:r>
      <w:r w:rsidR="00564E5C">
        <w:t xml:space="preserve">Figure </w:t>
      </w:r>
      <w:r w:rsidR="00564E5C">
        <w:rPr>
          <w:noProof/>
        </w:rPr>
        <w:t>13</w:t>
      </w:r>
      <w:r>
        <w:fldChar w:fldCharType="end"/>
      </w:r>
      <w:r>
        <w:t>.</w:t>
      </w:r>
    </w:p>
    <w:p w14:paraId="0C425602" w14:textId="77777777" w:rsidR="00304D1C" w:rsidRDefault="00304D1C" w:rsidP="00304D1C">
      <w:pPr>
        <w:keepNext/>
      </w:pPr>
      <w:r w:rsidRPr="006347CB">
        <w:rPr>
          <w:noProof/>
        </w:rPr>
        <w:drawing>
          <wp:inline distT="0" distB="0" distL="0" distR="0" wp14:anchorId="235AE04B" wp14:editId="705B64BA">
            <wp:extent cx="5731510" cy="10512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051243"/>
                    </a:xfrm>
                    <a:prstGeom prst="rect">
                      <a:avLst/>
                    </a:prstGeom>
                    <a:noFill/>
                    <a:ln>
                      <a:noFill/>
                    </a:ln>
                  </pic:spPr>
                </pic:pic>
              </a:graphicData>
            </a:graphic>
          </wp:inline>
        </w:drawing>
      </w:r>
    </w:p>
    <w:p w14:paraId="67EA520E" w14:textId="77777777" w:rsidR="00304D1C" w:rsidRDefault="00304D1C" w:rsidP="00304D1C">
      <w:pPr>
        <w:pStyle w:val="Caption"/>
      </w:pPr>
      <w:bookmarkStart w:id="128" w:name="_Ref355356851"/>
      <w:r>
        <w:t xml:space="preserve">Figure </w:t>
      </w:r>
      <w:r w:rsidR="00FC7DE2">
        <w:fldChar w:fldCharType="begin"/>
      </w:r>
      <w:r w:rsidR="00FC7DE2">
        <w:instrText xml:space="preserve"> SEQ Figure \* ARABIC </w:instrText>
      </w:r>
      <w:r w:rsidR="00FC7DE2">
        <w:fldChar w:fldCharType="separate"/>
      </w:r>
      <w:r w:rsidR="00564E5C">
        <w:rPr>
          <w:noProof/>
        </w:rPr>
        <w:t>13</w:t>
      </w:r>
      <w:r w:rsidR="00FC7DE2">
        <w:rPr>
          <w:noProof/>
        </w:rPr>
        <w:fldChar w:fldCharType="end"/>
      </w:r>
      <w:bookmarkEnd w:id="128"/>
      <w:r>
        <w:t xml:space="preserve"> Leachate model (employing transfer models developed by Doka 2009).</w:t>
      </w:r>
    </w:p>
    <w:p w14:paraId="4FA9A936" w14:textId="513CEDBB" w:rsidR="00304D1C" w:rsidRDefault="00304D1C" w:rsidP="00FA1E93">
      <w:r>
        <w:t xml:space="preserve">Utilising the model described in </w:t>
      </w:r>
      <w:r>
        <w:fldChar w:fldCharType="begin"/>
      </w:r>
      <w:r>
        <w:instrText xml:space="preserve"> REF _Ref355356851 \h </w:instrText>
      </w:r>
      <w:r>
        <w:fldChar w:fldCharType="separate"/>
      </w:r>
      <w:r w:rsidR="00564E5C">
        <w:t xml:space="preserve">Figure </w:t>
      </w:r>
      <w:r w:rsidR="00564E5C">
        <w:rPr>
          <w:noProof/>
        </w:rPr>
        <w:t>13</w:t>
      </w:r>
      <w:r>
        <w:fldChar w:fldCharType="end"/>
      </w:r>
      <w:r w:rsidR="00D235EC">
        <w:t>,</w:t>
      </w:r>
      <w:r>
        <w:t xml:space="preserve"> an inventory of emissions to water associated with waste deposition in landfill was derived for </w:t>
      </w:r>
      <w:r w:rsidR="00D235EC">
        <w:t xml:space="preserve">assessed </w:t>
      </w:r>
      <w:r>
        <w:t>substances (those assessed by the study impact assessment method) in a range of waste fractions over a 100 year period.</w:t>
      </w:r>
    </w:p>
    <w:p w14:paraId="2FB93B86" w14:textId="77777777" w:rsidR="00FA1E93" w:rsidRDefault="00FA1E93" w:rsidP="00304D1C">
      <w:pPr>
        <w:pStyle w:val="Heading4"/>
      </w:pPr>
      <w:bookmarkStart w:id="129" w:name="_Toc361755253"/>
      <w:r>
        <w:t>Storage of carbon in landfill</w:t>
      </w:r>
      <w:bookmarkEnd w:id="129"/>
    </w:p>
    <w:p w14:paraId="702D5067" w14:textId="77777777" w:rsidR="00FA1E93" w:rsidRDefault="00FA1E93" w:rsidP="00FA1E93">
      <w:r>
        <w:t xml:space="preserve">In addition to emissions to the environment, landfills also store materials within their structures. For many plant based materials, this means that carbon from the environment is stored within the landfill for an extended period of time. Given that the carbon in plant derived materials, such as paper, and </w:t>
      </w:r>
      <w:r>
        <w:lastRenderedPageBreak/>
        <w:t xml:space="preserve">garden waste is considered to be from biogenic sources, the storage of this carbon in landfill has a beneficial impact upon global warming. </w:t>
      </w:r>
    </w:p>
    <w:p w14:paraId="15727FA0" w14:textId="2632F1FC" w:rsidR="00FA1E93" w:rsidRDefault="00D235EC" w:rsidP="00FA1E93">
      <w:r>
        <w:t>This</w:t>
      </w:r>
      <w:r w:rsidR="00FA1E93">
        <w:t xml:space="preserve"> study assumes that a portion of organic carbon, present in materials deposited in the landfill, will remain in the landfill </w:t>
      </w:r>
      <w:r>
        <w:t>for</w:t>
      </w:r>
      <w:r w:rsidR="00FA1E93">
        <w:t xml:space="preserve"> the long term. This assumption is consistent with other studies and is necessary to maintain an approximate carbon mass balance for the landfill system. Carbon that is stored in the landfill system is considered to have been derived from biogenic sources, so represents a beneficial global warming outcome (it reduces global warming).</w:t>
      </w:r>
    </w:p>
    <w:p w14:paraId="6496C882" w14:textId="44FB5545" w:rsidR="00FA1E93" w:rsidRDefault="00FA1E93" w:rsidP="00FA1E93">
      <w:r>
        <w:t xml:space="preserve">The method used to estimate carbon stored in landfill is based on the work of Morton Barlaz, as quoted </w:t>
      </w:r>
      <w:r w:rsidR="00D235EC">
        <w:t>by</w:t>
      </w:r>
      <w:r>
        <w:t xml:space="preserve"> </w:t>
      </w:r>
      <w:r>
        <w:fldChar w:fldCharType="begin"/>
      </w:r>
      <w:r w:rsidR="00D235EC">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fldChar w:fldCharType="separate"/>
      </w:r>
      <w:hyperlink w:anchor="_ENREF_16" w:tooltip="DCCEE, 2010 #573" w:history="1">
        <w:r w:rsidR="00F40CE2">
          <w:rPr>
            <w:noProof/>
          </w:rPr>
          <w:t>DCCEE (2010</w:t>
        </w:r>
      </w:hyperlink>
      <w:r w:rsidR="00D235EC">
        <w:rPr>
          <w:noProof/>
        </w:rPr>
        <w:t>)</w:t>
      </w:r>
      <w:r>
        <w:fldChar w:fldCharType="end"/>
      </w:r>
      <w:r>
        <w:t>. The calculation of carbon stored is undertaken within the framework of the FOD model for methane emissions such that carbon storage is acknowledged at a consistent rate to methane emissions. As is the case for methane emissions, a portion of the organic carbon entering the landfill is neither emitted nor stored at the end of the 100 year timeframe considered.</w:t>
      </w:r>
    </w:p>
    <w:p w14:paraId="07970397" w14:textId="77777777" w:rsidR="00FA1E93" w:rsidRDefault="00FA1E93" w:rsidP="00FA1E93">
      <w:r>
        <w:t xml:space="preserve">The results of carbon storage calculations for each material considered are shown in </w:t>
      </w:r>
      <w:r>
        <w:fldChar w:fldCharType="begin"/>
      </w:r>
      <w:r>
        <w:instrText xml:space="preserve"> REF _Ref353794601 \h </w:instrText>
      </w:r>
      <w:r>
        <w:fldChar w:fldCharType="separate"/>
      </w:r>
      <w:r w:rsidR="00564E5C">
        <w:t xml:space="preserve">Table </w:t>
      </w:r>
      <w:r w:rsidR="00564E5C">
        <w:rPr>
          <w:noProof/>
        </w:rPr>
        <w:t>20</w:t>
      </w:r>
      <w:r>
        <w:fldChar w:fldCharType="end"/>
      </w:r>
      <w:r>
        <w:t>.</w:t>
      </w:r>
    </w:p>
    <w:p w14:paraId="47715B99" w14:textId="1E970455" w:rsidR="00FA1E93" w:rsidRDefault="00304D1C" w:rsidP="00304D1C">
      <w:pPr>
        <w:pStyle w:val="Heading4"/>
      </w:pPr>
      <w:bookmarkStart w:id="130" w:name="_Toc361755254"/>
      <w:r>
        <w:rPr>
          <w:lang w:val="en-AU"/>
        </w:rPr>
        <w:t xml:space="preserve">Landfill </w:t>
      </w:r>
      <w:r w:rsidR="00FA1E93">
        <w:t>inventory developed</w:t>
      </w:r>
      <w:bookmarkEnd w:id="130"/>
    </w:p>
    <w:p w14:paraId="62D3C8B5" w14:textId="362C773B" w:rsidR="00FA1E93" w:rsidRDefault="00FA1E93" w:rsidP="00FA1E93">
      <w:r>
        <w:t xml:space="preserve">Utilising the information </w:t>
      </w:r>
      <w:r w:rsidR="00304D1C">
        <w:t>above</w:t>
      </w:r>
      <w:r w:rsidR="00D235EC">
        <w:t>,</w:t>
      </w:r>
      <w:r w:rsidR="00304D1C">
        <w:t xml:space="preserve"> </w:t>
      </w:r>
      <w:r>
        <w:t>an inventory for landfill was developed that reflects the different behaviour of materials within the landfill.</w:t>
      </w:r>
      <w:r w:rsidR="0027746E">
        <w:t xml:space="preserve"> </w:t>
      </w:r>
      <w:r>
        <w:t>The result is a series of unit processes that describe the elementary flows associated with the landfill waste treatment process for each material considered.</w:t>
      </w:r>
    </w:p>
    <w:p w14:paraId="71C7B692" w14:textId="71EEE0AF" w:rsidR="00FA1E93" w:rsidRDefault="00FA1E93" w:rsidP="00FA1E93">
      <w:r>
        <w:t>The inventory developed is primarily utilised in the Alternative System as the main means of waste treatment, however it is also utilised in the Recycling System wherever waste is disposed of to landfill</w:t>
      </w:r>
      <w:r w:rsidR="007A6EF5">
        <w:t xml:space="preserve"> (for example, during material reprocessing)</w:t>
      </w:r>
      <w:r>
        <w:t>.</w:t>
      </w:r>
    </w:p>
    <w:p w14:paraId="08CC60D7" w14:textId="77777777" w:rsidR="00523D20" w:rsidRDefault="00523D20" w:rsidP="00523D20">
      <w:pPr>
        <w:pStyle w:val="Heading3"/>
        <w:rPr>
          <w:lang w:val="en-AU"/>
        </w:rPr>
      </w:pPr>
      <w:bookmarkStart w:id="131" w:name="_Toc433964553"/>
      <w:r>
        <w:t>Sorting – Materials Recovery Facility</w:t>
      </w:r>
      <w:bookmarkEnd w:id="131"/>
    </w:p>
    <w:p w14:paraId="7E469BF4" w14:textId="57BCACF8" w:rsidR="000E70FE" w:rsidRDefault="000E70FE" w:rsidP="000E70FE">
      <w:pPr>
        <w:rPr>
          <w:lang w:eastAsia="x-none"/>
        </w:rPr>
      </w:pPr>
      <w:r>
        <w:rPr>
          <w:lang w:eastAsia="x-none"/>
        </w:rPr>
        <w:t>The impact of MRF operation was surveyed however most participants were unwilling to disclose the information publicly. Instead a model was developed based on the disclosed layout of a MRF in Melbourne and the results compared to international studies. Overall the MRF was estimated to use 30 kWh electricity per tonne of waste processed (including glass sort by colour) and approximately 1.2 litres LPG gas. The upstream and on-site impacts of this energy use were then allocated to materials processed within the facility according to what processes the materials passed through. Materials passing through all processes attracted larger allocations than materials that only pass through a single process.</w:t>
      </w:r>
    </w:p>
    <w:p w14:paraId="7C447B95" w14:textId="010272E7" w:rsidR="000E70FE" w:rsidRDefault="000E70FE" w:rsidP="000E70FE">
      <w:pPr>
        <w:rPr>
          <w:lang w:eastAsia="x-none"/>
        </w:rPr>
      </w:pPr>
      <w:r>
        <w:rPr>
          <w:lang w:eastAsia="x-none"/>
        </w:rPr>
        <w:t>Waste material sent to landfill (contamination) fr</w:t>
      </w:r>
      <w:r w:rsidR="00D37956">
        <w:rPr>
          <w:lang w:eastAsia="x-none"/>
        </w:rPr>
        <w:t>om the MRF was as reported by</w:t>
      </w:r>
      <w:r>
        <w:rPr>
          <w:lang w:eastAsia="x-none"/>
        </w:rPr>
        <w:t xml:space="preserve"> </w:t>
      </w:r>
      <w:r w:rsidR="00D37956">
        <w:rPr>
          <w:lang w:eastAsia="x-none"/>
        </w:rPr>
        <w:fldChar w:fldCharType="begin"/>
      </w:r>
      <w:r w:rsidR="00D37956">
        <w:rPr>
          <w:lang w:eastAsia="x-none"/>
        </w:rPr>
        <w:instrText xml:space="preserve"> ADDIN EN.CITE &lt;EndNote&gt;&lt;Cite AuthorYear="1"&gt;&lt;Author&gt;Sustainability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rsidR="00D37956">
        <w:rPr>
          <w:lang w:eastAsia="x-none"/>
        </w:rPr>
        <w:fldChar w:fldCharType="separate"/>
      </w:r>
      <w:hyperlink w:anchor="_ENREF_73" w:tooltip="Sustainability Victoria, 2011 #39" w:history="1">
        <w:r w:rsidR="00F40CE2">
          <w:rPr>
            <w:noProof/>
            <w:lang w:eastAsia="x-none"/>
          </w:rPr>
          <w:t>Sustainability Victoria (2011a</w:t>
        </w:r>
      </w:hyperlink>
      <w:r w:rsidR="00D37956">
        <w:rPr>
          <w:noProof/>
          <w:lang w:eastAsia="x-none"/>
        </w:rPr>
        <w:t>)</w:t>
      </w:r>
      <w:r w:rsidR="00D37956">
        <w:rPr>
          <w:lang w:eastAsia="x-none"/>
        </w:rPr>
        <w:fldChar w:fldCharType="end"/>
      </w:r>
      <w:r w:rsidR="00D37956">
        <w:rPr>
          <w:lang w:eastAsia="x-none"/>
        </w:rPr>
        <w:t xml:space="preserve">. Contamination embedded in ‘sorted’ material streams leaving the MRF was estimated from a U.K. study </w:t>
      </w:r>
      <w:r w:rsidR="00D37956">
        <w:rPr>
          <w:lang w:eastAsia="x-none"/>
        </w:rPr>
        <w:fldChar w:fldCharType="begin"/>
      </w:r>
      <w:r w:rsidR="00F40CE2">
        <w:rPr>
          <w:lang w:eastAsia="x-none"/>
        </w:rPr>
        <w:instrText xml:space="preserve"> ADDIN EN.CITE &lt;EndNote&gt;&lt;Cite&gt;&lt;Author&gt;WRAP&lt;/Author&gt;&lt;Year&gt;2009&lt;/Year&gt;&lt;RecNum&gt;618&lt;/RecNum&gt;&lt;DisplayText&gt;(WRAP, 2009)&lt;/DisplayText&gt;&lt;record&gt;&lt;rec-number&gt;618&lt;/rec-number&gt;&lt;foreign-keys&gt;&lt;key app="EN" db-id="tfpv5staxsvs2nexzpp5taewzsvpx0er5fap"&gt;618&lt;/key&gt;&lt;/foreign-keys&gt;&lt;ref-type name="Report"&gt;27&lt;/ref-type&gt;&lt;contributors&gt;&lt;authors&gt;&lt;author&gt;WRAP,&lt;/author&gt;&lt;/authors&gt;&lt;/contributors&gt;&lt;titles&gt;&lt;title&gt;Final Report - Material quality assessment of municipal MRFs within the UK&lt;/title&gt;&lt;/titles&gt;&lt;dates&gt;&lt;year&gt;2009&lt;/year&gt;&lt;/dates&gt;&lt;publisher&gt;Completed by Enviros Consulting&lt;/publisher&gt;&lt;urls&gt;&lt;/urls&gt;&lt;/record&gt;&lt;/Cite&gt;&lt;/EndNote&gt;</w:instrText>
      </w:r>
      <w:r w:rsidR="00D37956">
        <w:rPr>
          <w:lang w:eastAsia="x-none"/>
        </w:rPr>
        <w:fldChar w:fldCharType="separate"/>
      </w:r>
      <w:r w:rsidR="00F40CE2">
        <w:rPr>
          <w:noProof/>
          <w:lang w:eastAsia="x-none"/>
        </w:rPr>
        <w:t>(</w:t>
      </w:r>
      <w:hyperlink w:anchor="_ENREF_89" w:tooltip="WRAP, 2009 #618" w:history="1">
        <w:r w:rsidR="00F40CE2">
          <w:rPr>
            <w:noProof/>
            <w:lang w:eastAsia="x-none"/>
          </w:rPr>
          <w:t>WRAP, 2009</w:t>
        </w:r>
      </w:hyperlink>
      <w:r w:rsidR="00F40CE2">
        <w:rPr>
          <w:noProof/>
          <w:lang w:eastAsia="x-none"/>
        </w:rPr>
        <w:t>)</w:t>
      </w:r>
      <w:r w:rsidR="00D37956">
        <w:rPr>
          <w:lang w:eastAsia="x-none"/>
        </w:rPr>
        <w:fldChar w:fldCharType="end"/>
      </w:r>
      <w:r w:rsidR="00D37956">
        <w:rPr>
          <w:lang w:eastAsia="x-none"/>
        </w:rPr>
        <w:t xml:space="preserve"> </w:t>
      </w:r>
      <w:r w:rsidR="007A6EF5">
        <w:rPr>
          <w:lang w:eastAsia="x-none"/>
        </w:rPr>
        <w:t>based upon a survey of</w:t>
      </w:r>
      <w:r w:rsidR="00D37956">
        <w:rPr>
          <w:lang w:eastAsia="x-none"/>
        </w:rPr>
        <w:t xml:space="preserve"> MRF’s targeting similar materials.</w:t>
      </w:r>
    </w:p>
    <w:p w14:paraId="4C481970" w14:textId="77777777" w:rsidR="0053401F" w:rsidRDefault="0053401F" w:rsidP="0053401F">
      <w:pPr>
        <w:pStyle w:val="Caption"/>
        <w:keepNext/>
      </w:pPr>
      <w:bookmarkStart w:id="132" w:name="_Ref355790496"/>
      <w:r>
        <w:lastRenderedPageBreak/>
        <w:t xml:space="preserve">Table </w:t>
      </w:r>
      <w:r w:rsidR="00FC7DE2">
        <w:fldChar w:fldCharType="begin"/>
      </w:r>
      <w:r w:rsidR="00FC7DE2">
        <w:instrText xml:space="preserve"> SEQ Table \* ARABIC </w:instrText>
      </w:r>
      <w:r w:rsidR="00FC7DE2">
        <w:fldChar w:fldCharType="separate"/>
      </w:r>
      <w:r w:rsidR="00564E5C">
        <w:rPr>
          <w:noProof/>
        </w:rPr>
        <w:t>21</w:t>
      </w:r>
      <w:r w:rsidR="00FC7DE2">
        <w:rPr>
          <w:noProof/>
        </w:rPr>
        <w:fldChar w:fldCharType="end"/>
      </w:r>
      <w:bookmarkEnd w:id="132"/>
      <w:r>
        <w:t xml:space="preserve"> MRF inputs to outputs.</w:t>
      </w:r>
    </w:p>
    <w:p w14:paraId="0504BDE6" w14:textId="7EACC737" w:rsidR="0053401F" w:rsidRDefault="000028D3" w:rsidP="0053401F">
      <w:r w:rsidRPr="000028D3">
        <w:rPr>
          <w:noProof/>
        </w:rPr>
        <w:drawing>
          <wp:inline distT="0" distB="0" distL="0" distR="0" wp14:anchorId="3F071CDE" wp14:editId="50F39A46">
            <wp:extent cx="5731510" cy="400789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07892"/>
                    </a:xfrm>
                    <a:prstGeom prst="rect">
                      <a:avLst/>
                    </a:prstGeom>
                    <a:noFill/>
                    <a:ln>
                      <a:noFill/>
                    </a:ln>
                  </pic:spPr>
                </pic:pic>
              </a:graphicData>
            </a:graphic>
          </wp:inline>
        </w:drawing>
      </w:r>
    </w:p>
    <w:p w14:paraId="21F5DCB9" w14:textId="37B3DB73" w:rsidR="0053401F" w:rsidRDefault="0053401F" w:rsidP="0053401F">
      <w:r>
        <w:t xml:space="preserve">The model described in </w:t>
      </w:r>
      <w:r>
        <w:fldChar w:fldCharType="begin"/>
      </w:r>
      <w:r>
        <w:instrText xml:space="preserve"> REF _Ref355790496 \h </w:instrText>
      </w:r>
      <w:r>
        <w:fldChar w:fldCharType="separate"/>
      </w:r>
      <w:r w:rsidR="00564E5C">
        <w:t xml:space="preserve">Table </w:t>
      </w:r>
      <w:r w:rsidR="00564E5C">
        <w:rPr>
          <w:noProof/>
        </w:rPr>
        <w:t>21</w:t>
      </w:r>
      <w:r>
        <w:fldChar w:fldCharType="end"/>
      </w:r>
      <w:r>
        <w:t xml:space="preserve"> allows input material fractions to be traced to outputs that will then make their way to reprocessing systems. </w:t>
      </w:r>
    </w:p>
    <w:p w14:paraId="3BF44236" w14:textId="5D39263A" w:rsidR="00D37956" w:rsidRDefault="00D37956" w:rsidP="000E70FE">
      <w:pPr>
        <w:rPr>
          <w:lang w:eastAsia="x-none"/>
        </w:rPr>
      </w:pPr>
      <w:r>
        <w:rPr>
          <w:lang w:eastAsia="x-none"/>
        </w:rPr>
        <w:t xml:space="preserve">Destinations for materials leaving MRFs was requested from operators, however the data was not provided. Instead an estimate of international versus local was developed using national reprocessing estimates from </w:t>
      </w:r>
      <w:r>
        <w:rPr>
          <w:lang w:eastAsia="x-none"/>
        </w:rPr>
        <w:fldChar w:fldCharType="begin"/>
      </w:r>
      <w:r>
        <w:rPr>
          <w:lang w:eastAsia="x-none"/>
        </w:rPr>
        <w:instrText xml:space="preserve"> ADDIN EN.CITE &lt;EndNote&gt;&lt;Cite AuthorYear="1"&gt;&lt;Author&gt;Allen&lt;/Author&gt;&lt;Year&gt;2013&lt;/Year&gt;&lt;RecNum&gt;672&lt;/RecNum&gt;&lt;DisplayText&gt;Allen and A&amp;apos;Vard (2013)&lt;/DisplayText&gt;&lt;record&gt;&lt;rec-number&gt;672&lt;/rec-number&gt;&lt;foreign-keys&gt;&lt;key app="EN" db-id="tfpv5staxsvs2nexzpp5taewzsvpx0er5fap"&gt;672&lt;/key&gt;&lt;/foreign-keys&gt;&lt;ref-type name="Report"&gt;27&lt;/ref-type&gt;&lt;contributors&gt;&lt;authors&gt;&lt;author&gt;Allen, Peter&lt;/author&gt;&lt;author&gt;A&amp;apos;Vard, Daniel&lt;/author&gt;&lt;/authors&gt;&lt;/contributors&gt;&lt;titles&gt;&lt;title&gt;Assessment of recycling infrastructure&lt;/title&gt;&lt;/titles&gt;&lt;dates&gt;&lt;year&gt;2013&lt;/year&gt;&lt;/dates&gt;&lt;pub-location&gt;North Melbourne&lt;/pub-location&gt;&lt;publisher&gt;Sustainable Resource Use Pty Ltd&lt;/publisher&gt;&lt;urls&gt;&lt;/urls&gt;&lt;/record&gt;&lt;/Cite&gt;&lt;/EndNote&gt;</w:instrText>
      </w:r>
      <w:r>
        <w:rPr>
          <w:lang w:eastAsia="x-none"/>
        </w:rPr>
        <w:fldChar w:fldCharType="separate"/>
      </w:r>
      <w:hyperlink w:anchor="_ENREF_7" w:tooltip="Allen, 2013 #672" w:history="1">
        <w:r w:rsidR="00F40CE2">
          <w:rPr>
            <w:noProof/>
            <w:lang w:eastAsia="x-none"/>
          </w:rPr>
          <w:t>Allen and A'Vard (2013</w:t>
        </w:r>
      </w:hyperlink>
      <w:r>
        <w:rPr>
          <w:noProof/>
          <w:lang w:eastAsia="x-none"/>
        </w:rPr>
        <w:t>)</w:t>
      </w:r>
      <w:r>
        <w:rPr>
          <w:lang w:eastAsia="x-none"/>
        </w:rPr>
        <w:fldChar w:fldCharType="end"/>
      </w:r>
      <w:r>
        <w:rPr>
          <w:lang w:eastAsia="x-none"/>
        </w:rPr>
        <w:t>.</w:t>
      </w:r>
    </w:p>
    <w:p w14:paraId="23ABD09A" w14:textId="0CC1C18E" w:rsidR="00523D20" w:rsidRDefault="00FA1E93" w:rsidP="00523D20">
      <w:pPr>
        <w:pStyle w:val="Heading3"/>
        <w:rPr>
          <w:lang w:val="en-AU"/>
        </w:rPr>
      </w:pPr>
      <w:bookmarkStart w:id="133" w:name="_Ref362988403"/>
      <w:bookmarkStart w:id="134" w:name="_Ref363056843"/>
      <w:bookmarkStart w:id="135" w:name="_Ref363056915"/>
      <w:bookmarkStart w:id="136" w:name="_Ref363170301"/>
      <w:bookmarkStart w:id="137" w:name="_Toc433964554"/>
      <w:r>
        <w:rPr>
          <w:lang w:val="en-AU"/>
        </w:rPr>
        <w:t>Treatment of</w:t>
      </w:r>
      <w:r w:rsidR="00523D20">
        <w:t xml:space="preserve"> garden and green waste</w:t>
      </w:r>
      <w:bookmarkEnd w:id="133"/>
      <w:bookmarkEnd w:id="134"/>
      <w:bookmarkEnd w:id="135"/>
      <w:bookmarkEnd w:id="136"/>
      <w:bookmarkEnd w:id="137"/>
    </w:p>
    <w:p w14:paraId="2DA91B99" w14:textId="7D798C03" w:rsidR="00657639" w:rsidRDefault="00657639" w:rsidP="00657639">
      <w:r>
        <w:t xml:space="preserve">Organic waste collection in Victoria </w:t>
      </w:r>
      <w:r w:rsidR="00B7503E">
        <w:t>includes</w:t>
      </w:r>
      <w:r>
        <w:t xml:space="preserve"> one local government collecting food waste at the kerbside (Nillumbik). The bulk of local governments do not collect food waste, so for this reason organics processing focuses upon garden organics processed through the open windrow process.</w:t>
      </w:r>
    </w:p>
    <w:p w14:paraId="4B948543" w14:textId="77777777" w:rsidR="00657639" w:rsidRDefault="00657639" w:rsidP="00657639">
      <w:r>
        <w:t>The processes required to convert green and garden waste collected from kerbside bins are considered as part of the Recycling System, as are processes that perform a similar function under the Alternative System.</w:t>
      </w:r>
    </w:p>
    <w:p w14:paraId="0FB67B5C" w14:textId="541AE36B" w:rsidR="00D37956" w:rsidRDefault="00D37956" w:rsidP="00D37956">
      <w:pPr>
        <w:rPr>
          <w:lang w:eastAsia="x-none"/>
        </w:rPr>
      </w:pPr>
      <w:r>
        <w:rPr>
          <w:lang w:eastAsia="x-none"/>
        </w:rPr>
        <w:t>An inventory of the windrow composting process was developed from one facility f</w:t>
      </w:r>
      <w:r w:rsidR="00B7503E">
        <w:rPr>
          <w:lang w:eastAsia="x-none"/>
        </w:rPr>
        <w:t>or which records were available</w:t>
      </w:r>
      <w:r>
        <w:rPr>
          <w:lang w:eastAsia="x-none"/>
        </w:rPr>
        <w:t xml:space="preserve"> however</w:t>
      </w:r>
      <w:r w:rsidR="00B7503E">
        <w:rPr>
          <w:lang w:eastAsia="x-none"/>
        </w:rPr>
        <w:t>,</w:t>
      </w:r>
      <w:r>
        <w:rPr>
          <w:lang w:eastAsia="x-none"/>
        </w:rPr>
        <w:t xml:space="preserve"> three operators were consulted. In addition</w:t>
      </w:r>
      <w:r w:rsidR="00B7503E">
        <w:rPr>
          <w:lang w:eastAsia="x-none"/>
        </w:rPr>
        <w:t>,</w:t>
      </w:r>
      <w:r>
        <w:rPr>
          <w:lang w:eastAsia="x-none"/>
        </w:rPr>
        <w:t xml:space="preserve"> the work of </w:t>
      </w:r>
      <w:r w:rsidR="00F80539">
        <w:rPr>
          <w:lang w:eastAsia="x-none"/>
        </w:rPr>
        <w:fldChar w:fldCharType="begin"/>
      </w:r>
      <w:r w:rsidR="00F80539">
        <w:rPr>
          <w:lang w:eastAsia="x-none"/>
        </w:rPr>
        <w:instrText xml:space="preserve"> ADDIN EN.CITE &lt;EndNote&gt;&lt;Cite AuthorYear="1"&gt;&lt;Author&gt;Recycled Organics Unit&lt;/Author&gt;&lt;Year&gt;2007&lt;/Year&gt;&lt;RecNum&gt;566&lt;/RecNum&gt;&lt;DisplayText&gt;Recycled Organics Unit (2007)&lt;/DisplayText&gt;&lt;record&gt;&lt;rec-number&gt;566&lt;/rec-number&gt;&lt;foreign-keys&gt;&lt;key app="EN" db-id="tfpv5staxsvs2nexzpp5taewzsvpx0er5fap"&gt;566&lt;/key&gt;&lt;/foreign-keys&gt;&lt;ref-type name="Report"&gt;27&lt;/ref-type&gt;&lt;contributors&gt;&lt;authors&gt;&lt;author&gt;Recycled Organics Unit,&lt;/author&gt;&lt;/authors&gt;&lt;tertiary-authors&gt;&lt;author&gt;Recycled Organics Unit, The University of New South Wales, Sydney&lt;/author&gt;&lt;/tertiary-authors&gt;&lt;/contributors&gt;&lt;titles&gt;&lt;title&gt;Life Cycle Inventory and Life Cycle Assessment for Windrow Composting Systems&lt;/title&gt;&lt;/titles&gt;&lt;edition&gt;Second&lt;/edition&gt;&lt;dates&gt;&lt;year&gt;2007&lt;/year&gt;&lt;/dates&gt;&lt;publisher&gt;Report prepared for NSW Department of Environment and Conservation (Sustainability Programs Division)&lt;/publisher&gt;&lt;urls&gt;&lt;/urls&gt;&lt;/record&gt;&lt;/Cite&gt;&lt;/EndNote&gt;</w:instrText>
      </w:r>
      <w:r w:rsidR="00F80539">
        <w:rPr>
          <w:lang w:eastAsia="x-none"/>
        </w:rPr>
        <w:fldChar w:fldCharType="separate"/>
      </w:r>
      <w:hyperlink w:anchor="_ENREF_66" w:tooltip="Recycled Organics Unit, 2007 #566" w:history="1">
        <w:r w:rsidR="00F40CE2">
          <w:rPr>
            <w:noProof/>
            <w:lang w:eastAsia="x-none"/>
          </w:rPr>
          <w:t>Recycled Organics Unit (2007</w:t>
        </w:r>
      </w:hyperlink>
      <w:r w:rsidR="00F80539">
        <w:rPr>
          <w:noProof/>
          <w:lang w:eastAsia="x-none"/>
        </w:rPr>
        <w:t>)</w:t>
      </w:r>
      <w:r w:rsidR="00F80539">
        <w:rPr>
          <w:lang w:eastAsia="x-none"/>
        </w:rPr>
        <w:fldChar w:fldCharType="end"/>
      </w:r>
      <w:r w:rsidR="00FC0191">
        <w:rPr>
          <w:lang w:eastAsia="x-none"/>
        </w:rPr>
        <w:t xml:space="preserve"> for a NSW application was also utilised, along with other international studies.</w:t>
      </w:r>
    </w:p>
    <w:p w14:paraId="6B0FCE98" w14:textId="46F8B6EF" w:rsidR="00FC0191" w:rsidRDefault="00FC0191" w:rsidP="00D37956">
      <w:pPr>
        <w:rPr>
          <w:lang w:eastAsia="x-none"/>
        </w:rPr>
      </w:pPr>
      <w:r>
        <w:rPr>
          <w:lang w:eastAsia="x-none"/>
        </w:rPr>
        <w:t xml:space="preserve">Although some uncertainty exists regarding windrow composting inputs and outputs, greater uncertainty exists as to the function of the product produced. Studies, such as </w:t>
      </w:r>
      <w:r w:rsidR="00F80539">
        <w:rPr>
          <w:lang w:eastAsia="x-none"/>
        </w:rPr>
        <w:fldChar w:fldCharType="begin"/>
      </w:r>
      <w:r w:rsidR="00F80539">
        <w:rPr>
          <w:lang w:eastAsia="x-none"/>
        </w:rPr>
        <w:instrText xml:space="preserve"> ADDIN EN.CITE &lt;EndNote&gt;&lt;Cite AuthorYear="1"&gt;&lt;Author&gt;Recycled Organics Unit&lt;/Author&gt;&lt;Year&gt;2007&lt;/Year&gt;&lt;RecNum&gt;566&lt;/RecNum&gt;&lt;DisplayText&gt;Recycled Organics Unit (2007)&lt;/DisplayText&gt;&lt;record&gt;&lt;rec-number&gt;566&lt;/rec-number&gt;&lt;foreign-keys&gt;&lt;key app="EN" db-id="tfpv5staxsvs2nexzpp5taewzsvpx0er5fap"&gt;566&lt;/key&gt;&lt;/foreign-keys&gt;&lt;ref-type name="Report"&gt;27&lt;/ref-type&gt;&lt;contributors&gt;&lt;authors&gt;&lt;author&gt;Recycled Organics Unit,&lt;/author&gt;&lt;/authors&gt;&lt;tertiary-authors&gt;&lt;author&gt;Recycled Organics Unit, The University of New South Wales, Sydney&lt;/author&gt;&lt;/tertiary-authors&gt;&lt;/contributors&gt;&lt;titles&gt;&lt;title&gt;Life Cycle Inventory and Life Cycle Assessment for Windrow Composting Systems&lt;/title&gt;&lt;/titles&gt;&lt;edition&gt;Second&lt;/edition&gt;&lt;dates&gt;&lt;year&gt;2007&lt;/year&gt;&lt;/dates&gt;&lt;publisher&gt;Report prepared for NSW Department of Environment and Conservation (Sustainability Programs Division)&lt;/publisher&gt;&lt;urls&gt;&lt;/urls&gt;&lt;/record&gt;&lt;/Cite&gt;&lt;/EndNote&gt;</w:instrText>
      </w:r>
      <w:r w:rsidR="00F80539">
        <w:rPr>
          <w:lang w:eastAsia="x-none"/>
        </w:rPr>
        <w:fldChar w:fldCharType="separate"/>
      </w:r>
      <w:hyperlink w:anchor="_ENREF_66" w:tooltip="Recycled Organics Unit, 2007 #566" w:history="1">
        <w:r w:rsidR="00F40CE2">
          <w:rPr>
            <w:noProof/>
            <w:lang w:eastAsia="x-none"/>
          </w:rPr>
          <w:t>Recycled Organics Unit (2007</w:t>
        </w:r>
      </w:hyperlink>
      <w:r w:rsidR="00F80539">
        <w:rPr>
          <w:noProof/>
          <w:lang w:eastAsia="x-none"/>
        </w:rPr>
        <w:t>)</w:t>
      </w:r>
      <w:r w:rsidR="00F80539">
        <w:rPr>
          <w:lang w:eastAsia="x-none"/>
        </w:rPr>
        <w:fldChar w:fldCharType="end"/>
      </w:r>
      <w:r>
        <w:rPr>
          <w:lang w:eastAsia="x-none"/>
        </w:rPr>
        <w:t xml:space="preserve"> focus on assessing the function of compost in specific farm applications, however in Victoria, </w:t>
      </w:r>
      <w:r w:rsidR="002F4326">
        <w:rPr>
          <w:lang w:eastAsia="x-none"/>
        </w:rPr>
        <w:t xml:space="preserve">it is estimated that </w:t>
      </w:r>
      <w:r w:rsidR="00657639">
        <w:rPr>
          <w:lang w:eastAsia="x-none"/>
        </w:rPr>
        <w:t>75</w:t>
      </w:r>
      <w:r>
        <w:rPr>
          <w:lang w:eastAsia="x-none"/>
        </w:rPr>
        <w:t xml:space="preserve">% or more of compost produced is </w:t>
      </w:r>
      <w:r w:rsidR="00657639">
        <w:rPr>
          <w:lang w:eastAsia="x-none"/>
        </w:rPr>
        <w:t>likely</w:t>
      </w:r>
      <w:r w:rsidR="00F37C00">
        <w:rPr>
          <w:lang w:eastAsia="x-none"/>
        </w:rPr>
        <w:t xml:space="preserve"> </w:t>
      </w:r>
      <w:r w:rsidR="00B7503E">
        <w:rPr>
          <w:lang w:eastAsia="x-none"/>
        </w:rPr>
        <w:t xml:space="preserve">to be </w:t>
      </w:r>
      <w:r>
        <w:rPr>
          <w:lang w:eastAsia="x-none"/>
        </w:rPr>
        <w:t xml:space="preserve">used in non-farm applications. These non-farm applications relate mainly to urban soil products produced for </w:t>
      </w:r>
      <w:r w:rsidR="00B22F44">
        <w:rPr>
          <w:lang w:eastAsia="x-none"/>
        </w:rPr>
        <w:t>commercial or consumer markets, for which little research exists.</w:t>
      </w:r>
    </w:p>
    <w:p w14:paraId="08434651" w14:textId="4385D16F" w:rsidR="00D00266" w:rsidRDefault="00D00266" w:rsidP="00D00266">
      <w:r>
        <w:t xml:space="preserve">Significant uncertainty exists across most elements of the garden and green waste treatment inventory. The greatest uncertainty exists in three areas: First, the actual application is uncertain as </w:t>
      </w:r>
      <w:r>
        <w:lastRenderedPageBreak/>
        <w:t>market application data for Victoria</w:t>
      </w:r>
      <w:r w:rsidR="002F4326">
        <w:t xml:space="preserve"> is still developing and </w:t>
      </w:r>
      <w:r w:rsidR="00BB056D">
        <w:t>is incomplete</w:t>
      </w:r>
      <w:r>
        <w:t xml:space="preserve">; second, the benefits derived from applications are uncertain, particularly urban amenity applications, and; finally, the exact nature of waste treatment in the absence of recycling is uncertain – landfill is not the only </w:t>
      </w:r>
      <w:r w:rsidR="002F4326">
        <w:t xml:space="preserve">alternative </w:t>
      </w:r>
      <w:r>
        <w:t xml:space="preserve">option for this </w:t>
      </w:r>
      <w:r w:rsidR="002F4326">
        <w:t xml:space="preserve">type </w:t>
      </w:r>
      <w:r>
        <w:t>waste.</w:t>
      </w:r>
    </w:p>
    <w:p w14:paraId="17ED3D90" w14:textId="5FBC34D1" w:rsidR="00D00266" w:rsidRDefault="00D00266" w:rsidP="00D00266">
      <w:r>
        <w:t xml:space="preserve">To address these uncertainties a range of scenarios </w:t>
      </w:r>
      <w:r w:rsidR="002F4326">
        <w:t>were</w:t>
      </w:r>
      <w:r>
        <w:t xml:space="preserve"> developed in the inventory, and a ‘Balanced Estimate’ developed as a base case. All the scenarios employ a mixture of agriculture and urban amenity applications at different ratios (</w:t>
      </w:r>
      <w:r>
        <w:fldChar w:fldCharType="begin"/>
      </w:r>
      <w:r>
        <w:instrText xml:space="preserve"> REF _Ref359534183 \h </w:instrText>
      </w:r>
      <w:r>
        <w:fldChar w:fldCharType="separate"/>
      </w:r>
      <w:r w:rsidR="00564E5C">
        <w:t xml:space="preserve">Table </w:t>
      </w:r>
      <w:r w:rsidR="00564E5C">
        <w:rPr>
          <w:noProof/>
        </w:rPr>
        <w:t>22</w:t>
      </w:r>
      <w:r>
        <w:fldChar w:fldCharType="end"/>
      </w:r>
      <w:r>
        <w:t xml:space="preserve">). For the base case (the ‘Balanced Estimate’), it is assumed that 25% of compost produced is used in agriculture or agriculture-like applications. The remaining 75% of compost produced is assumed to be used in urban amenity applications which avoid the production of compost from other residual sources, but </w:t>
      </w:r>
      <w:r w:rsidR="002F4326">
        <w:t xml:space="preserve">are assumed to </w:t>
      </w:r>
      <w:r>
        <w:t>provide no additional benefits.</w:t>
      </w:r>
    </w:p>
    <w:p w14:paraId="035F7045" w14:textId="4D61C0B3" w:rsidR="00D00266" w:rsidRDefault="00D00266" w:rsidP="00D00266">
      <w:r>
        <w:t xml:space="preserve">The use of 25% of compost products in agriculture or agriculture-like </w:t>
      </w:r>
      <w:r w:rsidR="002F4326">
        <w:t xml:space="preserve">applications </w:t>
      </w:r>
      <w:r>
        <w:t xml:space="preserve">has been selected based on the 15% agriculture market utilisation estimated </w:t>
      </w:r>
      <w:r w:rsidR="00BB056D">
        <w:t xml:space="preserve">national statistics </w:t>
      </w:r>
      <w:r>
        <w:t xml:space="preserve">from </w:t>
      </w:r>
      <w:r>
        <w:fldChar w:fldCharType="begin"/>
      </w:r>
      <w:r w:rsidR="002F4326">
        <w:instrText xml:space="preserve"> ADDIN EN.CITE &lt;EndNote&gt;&lt;Cite AuthorYear="1"&gt;&lt;Author&gt;Campbell&lt;/Author&gt;&lt;Year&gt;2010&lt;/Year&gt;&lt;RecNum&gt;711&lt;/RecNum&gt;&lt;DisplayText&gt;Campbell and Shepherd (2010)&lt;/DisplayText&gt;&lt;record&gt;&lt;rec-number&gt;711&lt;/rec-number&gt;&lt;foreign-keys&gt;&lt;key app="EN" db-id="tfpv5staxsvs2nexzpp5taewzsvpx0er5fap"&gt;711&lt;/key&gt;&lt;/foreign-keys&gt;&lt;ref-type name="Report"&gt;27&lt;/ref-type&gt;&lt;contributors&gt;&lt;authors&gt;&lt;author&gt;Angus Campbell&lt;/author&gt;&lt;author&gt;Nigel Shepherd&lt;/author&gt;&lt;/authors&gt;&lt;/contributors&gt;&lt;titles&gt;&lt;title&gt;Organics Recycling in Australia - Industry Statistics 2010&lt;/title&gt;&lt;/titles&gt;&lt;dates&gt;&lt;year&gt;2010&lt;/year&gt;&lt;/dates&gt;&lt;pub-location&gt;Sydney&lt;/pub-location&gt;&lt;publisher&gt;Recycled Organics Unit, University of New South Wales&lt;/publisher&gt;&lt;urls&gt;&lt;/urls&gt;&lt;/record&gt;&lt;/Cite&gt;&lt;/EndNote&gt;</w:instrText>
      </w:r>
      <w:r>
        <w:fldChar w:fldCharType="separate"/>
      </w:r>
      <w:hyperlink w:anchor="_ENREF_12" w:tooltip="Campbell, 2010 #711" w:history="1">
        <w:r w:rsidR="00F40CE2">
          <w:rPr>
            <w:noProof/>
          </w:rPr>
          <w:t>Campbell and Shepherd (2010</w:t>
        </w:r>
      </w:hyperlink>
      <w:r w:rsidR="002F4326">
        <w:rPr>
          <w:noProof/>
        </w:rPr>
        <w:t>)</w:t>
      </w:r>
      <w:r>
        <w:fldChar w:fldCharType="end"/>
      </w:r>
      <w:r>
        <w:t>. It is expected that agricultural applications will achieve the full benefit and that many other applications will achieve part of the agriculture benefit, hence the increase from 15% to 25%. The balance of the composted product from the kerbside is assumed to be used in urban amenity applications.</w:t>
      </w:r>
    </w:p>
    <w:p w14:paraId="7F62A7F5" w14:textId="77777777" w:rsidR="00D00266" w:rsidRDefault="00D00266" w:rsidP="00D00266">
      <w:r>
        <w:t>Alternative waste disposal options for garden and green waste are also varied scenario to scenario. Under the ‘Balanced Estimate’ it is assumed that 50% of garden and green waste is treated in landfill, 25% is home composted and 25% is open burned.</w:t>
      </w:r>
    </w:p>
    <w:p w14:paraId="06D2583F" w14:textId="77777777" w:rsidR="00D00266" w:rsidRDefault="00D00266" w:rsidP="00D00266">
      <w:pPr>
        <w:pStyle w:val="Caption"/>
        <w:keepNext/>
      </w:pPr>
      <w:bookmarkStart w:id="138" w:name="_Ref359534183"/>
      <w:r>
        <w:t xml:space="preserve">Table </w:t>
      </w:r>
      <w:r w:rsidR="00FC7DE2">
        <w:fldChar w:fldCharType="begin"/>
      </w:r>
      <w:r w:rsidR="00FC7DE2">
        <w:instrText xml:space="preserve"> SEQ Table \* ARABIC </w:instrText>
      </w:r>
      <w:r w:rsidR="00FC7DE2">
        <w:fldChar w:fldCharType="separate"/>
      </w:r>
      <w:r w:rsidR="00564E5C">
        <w:rPr>
          <w:noProof/>
        </w:rPr>
        <w:t>22</w:t>
      </w:r>
      <w:r w:rsidR="00FC7DE2">
        <w:rPr>
          <w:noProof/>
        </w:rPr>
        <w:fldChar w:fldCharType="end"/>
      </w:r>
      <w:bookmarkEnd w:id="138"/>
      <w:r>
        <w:t xml:space="preserve"> Scenarios considered for green and garden waste treatment under the Recycling System and the Alternative System.</w:t>
      </w:r>
    </w:p>
    <w:tbl>
      <w:tblPr>
        <w:tblStyle w:val="TableGrid"/>
        <w:tblW w:w="9180" w:type="dxa"/>
        <w:tblLayout w:type="fixed"/>
        <w:tblLook w:val="04A0" w:firstRow="1" w:lastRow="0" w:firstColumn="1" w:lastColumn="0" w:noHBand="0" w:noVBand="1"/>
      </w:tblPr>
      <w:tblGrid>
        <w:gridCol w:w="2864"/>
        <w:gridCol w:w="1355"/>
        <w:gridCol w:w="1276"/>
        <w:gridCol w:w="1276"/>
        <w:gridCol w:w="1275"/>
        <w:gridCol w:w="1134"/>
      </w:tblGrid>
      <w:tr w:rsidR="000E574A" w:rsidRPr="002A6E41" w14:paraId="65BF3324" w14:textId="77777777" w:rsidTr="000E574A">
        <w:tc>
          <w:tcPr>
            <w:tcW w:w="2864" w:type="dxa"/>
            <w:vAlign w:val="center"/>
          </w:tcPr>
          <w:p w14:paraId="19328120" w14:textId="77777777" w:rsidR="000E574A" w:rsidRPr="002A6E41" w:rsidRDefault="000E574A" w:rsidP="000E574A">
            <w:pPr>
              <w:spacing w:after="0"/>
              <w:jc w:val="center"/>
              <w:rPr>
                <w:sz w:val="18"/>
              </w:rPr>
            </w:pPr>
            <w:r w:rsidRPr="002A6E41">
              <w:rPr>
                <w:sz w:val="18"/>
              </w:rPr>
              <w:t>Scenario</w:t>
            </w:r>
          </w:p>
        </w:tc>
        <w:tc>
          <w:tcPr>
            <w:tcW w:w="1355" w:type="dxa"/>
            <w:vAlign w:val="center"/>
          </w:tcPr>
          <w:p w14:paraId="41906218" w14:textId="77777777" w:rsidR="000E574A" w:rsidRPr="002A6E41" w:rsidRDefault="000E574A" w:rsidP="000E574A">
            <w:pPr>
              <w:spacing w:after="0"/>
              <w:jc w:val="center"/>
              <w:rPr>
                <w:sz w:val="18"/>
              </w:rPr>
            </w:pPr>
            <w:r>
              <w:rPr>
                <w:sz w:val="18"/>
              </w:rPr>
              <w:t xml:space="preserve">Extremely </w:t>
            </w:r>
            <w:r w:rsidRPr="002A6E41">
              <w:rPr>
                <w:sz w:val="18"/>
              </w:rPr>
              <w:t>Conservative</w:t>
            </w:r>
          </w:p>
        </w:tc>
        <w:tc>
          <w:tcPr>
            <w:tcW w:w="1276" w:type="dxa"/>
            <w:vAlign w:val="center"/>
          </w:tcPr>
          <w:p w14:paraId="5B1018C5" w14:textId="77777777" w:rsidR="000E574A" w:rsidRPr="002A6E41" w:rsidRDefault="000E574A" w:rsidP="000E574A">
            <w:pPr>
              <w:spacing w:after="0"/>
              <w:jc w:val="center"/>
              <w:rPr>
                <w:sz w:val="18"/>
              </w:rPr>
            </w:pPr>
            <w:r w:rsidRPr="002A6E41">
              <w:rPr>
                <w:sz w:val="18"/>
              </w:rPr>
              <w:t>Mild</w:t>
            </w:r>
            <w:r>
              <w:rPr>
                <w:sz w:val="18"/>
              </w:rPr>
              <w:t>ly C</w:t>
            </w:r>
            <w:r w:rsidRPr="002A6E41">
              <w:rPr>
                <w:sz w:val="18"/>
              </w:rPr>
              <w:t>onservative</w:t>
            </w:r>
          </w:p>
        </w:tc>
        <w:tc>
          <w:tcPr>
            <w:tcW w:w="1276" w:type="dxa"/>
            <w:shd w:val="clear" w:color="auto" w:fill="D6E3BC" w:themeFill="accent3" w:themeFillTint="66"/>
            <w:vAlign w:val="center"/>
          </w:tcPr>
          <w:p w14:paraId="1393268B" w14:textId="77777777" w:rsidR="000E574A" w:rsidRDefault="000E574A" w:rsidP="000E574A">
            <w:pPr>
              <w:spacing w:after="0"/>
              <w:jc w:val="center"/>
              <w:rPr>
                <w:sz w:val="18"/>
              </w:rPr>
            </w:pPr>
            <w:r w:rsidRPr="002A6E41">
              <w:rPr>
                <w:sz w:val="18"/>
              </w:rPr>
              <w:t>Balanced Estimate</w:t>
            </w:r>
          </w:p>
          <w:p w14:paraId="0F3A6855" w14:textId="77777777" w:rsidR="000E574A" w:rsidRPr="002A6E41" w:rsidRDefault="000E574A" w:rsidP="000E574A">
            <w:pPr>
              <w:spacing w:after="0"/>
              <w:jc w:val="center"/>
              <w:rPr>
                <w:sz w:val="18"/>
              </w:rPr>
            </w:pPr>
            <w:r>
              <w:rPr>
                <w:sz w:val="18"/>
              </w:rPr>
              <w:t>(Base case)</w:t>
            </w:r>
          </w:p>
        </w:tc>
        <w:tc>
          <w:tcPr>
            <w:tcW w:w="1275" w:type="dxa"/>
            <w:vAlign w:val="center"/>
          </w:tcPr>
          <w:p w14:paraId="4EC14372" w14:textId="77777777" w:rsidR="000E574A" w:rsidRPr="002A6E41" w:rsidRDefault="000E574A" w:rsidP="000E574A">
            <w:pPr>
              <w:spacing w:after="0"/>
              <w:jc w:val="center"/>
              <w:rPr>
                <w:sz w:val="18"/>
              </w:rPr>
            </w:pPr>
            <w:r w:rsidRPr="002A6E41">
              <w:rPr>
                <w:sz w:val="18"/>
              </w:rPr>
              <w:t>Mild</w:t>
            </w:r>
            <w:r>
              <w:rPr>
                <w:sz w:val="18"/>
              </w:rPr>
              <w:t>ly O</w:t>
            </w:r>
            <w:r w:rsidRPr="002A6E41">
              <w:rPr>
                <w:sz w:val="18"/>
              </w:rPr>
              <w:t>ptimis</w:t>
            </w:r>
            <w:r>
              <w:rPr>
                <w:sz w:val="18"/>
              </w:rPr>
              <w:t>tic</w:t>
            </w:r>
          </w:p>
        </w:tc>
        <w:tc>
          <w:tcPr>
            <w:tcW w:w="1134" w:type="dxa"/>
            <w:vAlign w:val="center"/>
          </w:tcPr>
          <w:p w14:paraId="67453997" w14:textId="77777777" w:rsidR="000E574A" w:rsidRPr="002A6E41" w:rsidRDefault="000E574A" w:rsidP="000E574A">
            <w:pPr>
              <w:spacing w:after="0"/>
              <w:jc w:val="center"/>
              <w:rPr>
                <w:sz w:val="18"/>
              </w:rPr>
            </w:pPr>
            <w:r>
              <w:rPr>
                <w:sz w:val="18"/>
              </w:rPr>
              <w:t>Extremely</w:t>
            </w:r>
            <w:r w:rsidRPr="002A6E41">
              <w:rPr>
                <w:sz w:val="18"/>
              </w:rPr>
              <w:t xml:space="preserve"> Optimistic</w:t>
            </w:r>
          </w:p>
        </w:tc>
      </w:tr>
      <w:tr w:rsidR="000E574A" w:rsidRPr="002A6E41" w14:paraId="10C8EED8" w14:textId="77777777" w:rsidTr="000E574A">
        <w:tc>
          <w:tcPr>
            <w:tcW w:w="2864" w:type="dxa"/>
          </w:tcPr>
          <w:p w14:paraId="7319CB62" w14:textId="77777777" w:rsidR="000E574A" w:rsidRPr="002A6E41" w:rsidRDefault="000E574A" w:rsidP="000E574A">
            <w:pPr>
              <w:spacing w:after="0"/>
              <w:jc w:val="left"/>
              <w:rPr>
                <w:b/>
                <w:sz w:val="18"/>
                <w:u w:val="single"/>
              </w:rPr>
            </w:pPr>
            <w:r>
              <w:rPr>
                <w:b/>
                <w:sz w:val="18"/>
                <w:u w:val="single"/>
              </w:rPr>
              <w:t>Recycling System</w:t>
            </w:r>
          </w:p>
        </w:tc>
        <w:tc>
          <w:tcPr>
            <w:tcW w:w="1355" w:type="dxa"/>
          </w:tcPr>
          <w:p w14:paraId="3F9C709A" w14:textId="77777777" w:rsidR="000E574A" w:rsidRPr="002A6E41" w:rsidRDefault="000E574A" w:rsidP="000E574A">
            <w:pPr>
              <w:spacing w:after="0"/>
              <w:jc w:val="left"/>
              <w:rPr>
                <w:sz w:val="18"/>
              </w:rPr>
            </w:pPr>
          </w:p>
        </w:tc>
        <w:tc>
          <w:tcPr>
            <w:tcW w:w="1276" w:type="dxa"/>
          </w:tcPr>
          <w:p w14:paraId="6F98A37A" w14:textId="77777777" w:rsidR="000E574A" w:rsidRPr="002A6E41" w:rsidRDefault="000E574A" w:rsidP="000E574A">
            <w:pPr>
              <w:spacing w:after="0"/>
              <w:jc w:val="left"/>
              <w:rPr>
                <w:sz w:val="18"/>
              </w:rPr>
            </w:pPr>
          </w:p>
        </w:tc>
        <w:tc>
          <w:tcPr>
            <w:tcW w:w="1276" w:type="dxa"/>
            <w:shd w:val="clear" w:color="auto" w:fill="D6E3BC" w:themeFill="accent3" w:themeFillTint="66"/>
          </w:tcPr>
          <w:p w14:paraId="4DC46FDD" w14:textId="77777777" w:rsidR="000E574A" w:rsidRPr="002A6E41" w:rsidRDefault="000E574A" w:rsidP="000E574A">
            <w:pPr>
              <w:spacing w:after="0"/>
              <w:jc w:val="left"/>
              <w:rPr>
                <w:sz w:val="18"/>
              </w:rPr>
            </w:pPr>
          </w:p>
        </w:tc>
        <w:tc>
          <w:tcPr>
            <w:tcW w:w="1275" w:type="dxa"/>
          </w:tcPr>
          <w:p w14:paraId="04044462" w14:textId="77777777" w:rsidR="000E574A" w:rsidRPr="002A6E41" w:rsidRDefault="000E574A" w:rsidP="000E574A">
            <w:pPr>
              <w:spacing w:after="0"/>
              <w:jc w:val="left"/>
              <w:rPr>
                <w:sz w:val="18"/>
              </w:rPr>
            </w:pPr>
          </w:p>
        </w:tc>
        <w:tc>
          <w:tcPr>
            <w:tcW w:w="1134" w:type="dxa"/>
          </w:tcPr>
          <w:p w14:paraId="32C027F0" w14:textId="77777777" w:rsidR="000E574A" w:rsidRPr="002A6E41" w:rsidRDefault="000E574A" w:rsidP="000E574A">
            <w:pPr>
              <w:spacing w:after="0"/>
              <w:jc w:val="left"/>
              <w:rPr>
                <w:sz w:val="18"/>
              </w:rPr>
            </w:pPr>
          </w:p>
        </w:tc>
      </w:tr>
      <w:tr w:rsidR="000E574A" w:rsidRPr="002A6E41" w14:paraId="0CF600A5" w14:textId="77777777" w:rsidTr="000E574A">
        <w:tc>
          <w:tcPr>
            <w:tcW w:w="2864" w:type="dxa"/>
          </w:tcPr>
          <w:p w14:paraId="077F80FB" w14:textId="77777777" w:rsidR="000E574A" w:rsidRPr="00C03394" w:rsidRDefault="000E574A" w:rsidP="000E574A">
            <w:pPr>
              <w:spacing w:after="0"/>
              <w:jc w:val="left"/>
              <w:rPr>
                <w:sz w:val="18"/>
              </w:rPr>
            </w:pPr>
            <w:r w:rsidRPr="00C03394">
              <w:rPr>
                <w:sz w:val="18"/>
              </w:rPr>
              <w:t>Compost applied in agriculture</w:t>
            </w:r>
          </w:p>
        </w:tc>
        <w:tc>
          <w:tcPr>
            <w:tcW w:w="1355" w:type="dxa"/>
          </w:tcPr>
          <w:p w14:paraId="4183CC9D" w14:textId="77777777" w:rsidR="000E574A" w:rsidRDefault="000E574A" w:rsidP="000E574A">
            <w:pPr>
              <w:spacing w:after="0"/>
              <w:jc w:val="center"/>
              <w:rPr>
                <w:sz w:val="18"/>
              </w:rPr>
            </w:pPr>
            <w:r>
              <w:rPr>
                <w:sz w:val="18"/>
              </w:rPr>
              <w:t>0 kg</w:t>
            </w:r>
          </w:p>
          <w:p w14:paraId="784D7C0C" w14:textId="77777777" w:rsidR="000E574A" w:rsidRPr="002A6E41" w:rsidRDefault="000E574A" w:rsidP="000E574A">
            <w:pPr>
              <w:spacing w:after="0"/>
              <w:jc w:val="center"/>
              <w:rPr>
                <w:sz w:val="18"/>
              </w:rPr>
            </w:pPr>
            <w:r>
              <w:rPr>
                <w:sz w:val="18"/>
              </w:rPr>
              <w:t>0% of total</w:t>
            </w:r>
          </w:p>
        </w:tc>
        <w:tc>
          <w:tcPr>
            <w:tcW w:w="1276" w:type="dxa"/>
          </w:tcPr>
          <w:p w14:paraId="4F9CD078" w14:textId="77777777" w:rsidR="000E574A" w:rsidRDefault="000E574A" w:rsidP="000E574A">
            <w:pPr>
              <w:spacing w:after="0"/>
              <w:jc w:val="center"/>
              <w:rPr>
                <w:sz w:val="18"/>
              </w:rPr>
            </w:pPr>
            <w:r>
              <w:rPr>
                <w:sz w:val="18"/>
              </w:rPr>
              <w:t>33 kg</w:t>
            </w:r>
          </w:p>
          <w:p w14:paraId="4DF66C07" w14:textId="77777777" w:rsidR="000E574A" w:rsidRPr="002A6E41" w:rsidRDefault="000E574A" w:rsidP="000E574A">
            <w:pPr>
              <w:spacing w:after="0"/>
              <w:jc w:val="center"/>
              <w:rPr>
                <w:sz w:val="18"/>
              </w:rPr>
            </w:pPr>
            <w:r>
              <w:rPr>
                <w:sz w:val="18"/>
              </w:rPr>
              <w:t>15% of total</w:t>
            </w:r>
          </w:p>
        </w:tc>
        <w:tc>
          <w:tcPr>
            <w:tcW w:w="1276" w:type="dxa"/>
            <w:shd w:val="clear" w:color="auto" w:fill="D6E3BC" w:themeFill="accent3" w:themeFillTint="66"/>
          </w:tcPr>
          <w:p w14:paraId="019B199F" w14:textId="77777777" w:rsidR="000E574A" w:rsidRDefault="000E574A" w:rsidP="000E574A">
            <w:pPr>
              <w:spacing w:after="0"/>
              <w:jc w:val="center"/>
              <w:rPr>
                <w:sz w:val="18"/>
              </w:rPr>
            </w:pPr>
            <w:r>
              <w:rPr>
                <w:sz w:val="18"/>
              </w:rPr>
              <w:t>55 kg</w:t>
            </w:r>
          </w:p>
          <w:p w14:paraId="36328A68" w14:textId="77777777" w:rsidR="000E574A" w:rsidRPr="002A6E41" w:rsidRDefault="000E574A" w:rsidP="000E574A">
            <w:pPr>
              <w:spacing w:after="0"/>
              <w:jc w:val="center"/>
              <w:rPr>
                <w:sz w:val="18"/>
              </w:rPr>
            </w:pPr>
            <w:r>
              <w:rPr>
                <w:sz w:val="18"/>
              </w:rPr>
              <w:t>25% of total</w:t>
            </w:r>
          </w:p>
        </w:tc>
        <w:tc>
          <w:tcPr>
            <w:tcW w:w="1275" w:type="dxa"/>
          </w:tcPr>
          <w:p w14:paraId="4BF4809D" w14:textId="77777777" w:rsidR="000E574A" w:rsidRDefault="000E574A" w:rsidP="000E574A">
            <w:pPr>
              <w:spacing w:after="0"/>
              <w:jc w:val="center"/>
              <w:rPr>
                <w:sz w:val="18"/>
              </w:rPr>
            </w:pPr>
            <w:r>
              <w:rPr>
                <w:sz w:val="18"/>
              </w:rPr>
              <w:t>110 kg</w:t>
            </w:r>
          </w:p>
          <w:p w14:paraId="7DF6DB40" w14:textId="77777777" w:rsidR="000E574A" w:rsidRPr="002A6E41" w:rsidRDefault="000E574A" w:rsidP="000E574A">
            <w:pPr>
              <w:spacing w:after="0"/>
              <w:jc w:val="center"/>
              <w:rPr>
                <w:sz w:val="18"/>
              </w:rPr>
            </w:pPr>
            <w:r>
              <w:rPr>
                <w:sz w:val="18"/>
              </w:rPr>
              <w:t>50% of total</w:t>
            </w:r>
          </w:p>
        </w:tc>
        <w:tc>
          <w:tcPr>
            <w:tcW w:w="1134" w:type="dxa"/>
          </w:tcPr>
          <w:p w14:paraId="02462CC0" w14:textId="77777777" w:rsidR="000E574A" w:rsidRDefault="000E574A" w:rsidP="000E574A">
            <w:pPr>
              <w:spacing w:after="0"/>
              <w:jc w:val="center"/>
              <w:rPr>
                <w:sz w:val="18"/>
              </w:rPr>
            </w:pPr>
            <w:r>
              <w:rPr>
                <w:sz w:val="18"/>
              </w:rPr>
              <w:t>219 kg</w:t>
            </w:r>
          </w:p>
          <w:p w14:paraId="592F7706" w14:textId="77777777" w:rsidR="000E574A" w:rsidRPr="002A6E41" w:rsidRDefault="000E574A" w:rsidP="000E574A">
            <w:pPr>
              <w:spacing w:after="0"/>
              <w:jc w:val="center"/>
              <w:rPr>
                <w:sz w:val="18"/>
              </w:rPr>
            </w:pPr>
            <w:r w:rsidRPr="00B12C32">
              <w:rPr>
                <w:sz w:val="14"/>
              </w:rPr>
              <w:t>100% of total</w:t>
            </w:r>
          </w:p>
        </w:tc>
      </w:tr>
      <w:tr w:rsidR="000E574A" w:rsidRPr="002A6E41" w14:paraId="477E9B46" w14:textId="77777777" w:rsidTr="000E574A">
        <w:tc>
          <w:tcPr>
            <w:tcW w:w="2864" w:type="dxa"/>
          </w:tcPr>
          <w:p w14:paraId="54836DCA" w14:textId="77777777" w:rsidR="000E574A" w:rsidRPr="00C03394" w:rsidRDefault="000E574A" w:rsidP="000E574A">
            <w:pPr>
              <w:spacing w:after="0"/>
              <w:jc w:val="left"/>
              <w:rPr>
                <w:sz w:val="18"/>
              </w:rPr>
            </w:pPr>
            <w:r w:rsidRPr="00C03394">
              <w:rPr>
                <w:sz w:val="18"/>
              </w:rPr>
              <w:t>Compost applied in urban soil applications</w:t>
            </w:r>
          </w:p>
        </w:tc>
        <w:tc>
          <w:tcPr>
            <w:tcW w:w="1355" w:type="dxa"/>
          </w:tcPr>
          <w:p w14:paraId="5117D2E5" w14:textId="77777777" w:rsidR="000E574A" w:rsidRDefault="000E574A" w:rsidP="000E574A">
            <w:pPr>
              <w:spacing w:after="0"/>
              <w:jc w:val="center"/>
              <w:rPr>
                <w:sz w:val="18"/>
              </w:rPr>
            </w:pPr>
            <w:r>
              <w:rPr>
                <w:sz w:val="18"/>
              </w:rPr>
              <w:t>219 kg</w:t>
            </w:r>
          </w:p>
          <w:p w14:paraId="1A028657" w14:textId="77777777" w:rsidR="000E574A" w:rsidRPr="002A6E41" w:rsidRDefault="000E574A" w:rsidP="000E574A">
            <w:pPr>
              <w:spacing w:after="0"/>
              <w:jc w:val="center"/>
              <w:rPr>
                <w:sz w:val="18"/>
              </w:rPr>
            </w:pPr>
            <w:r>
              <w:rPr>
                <w:sz w:val="18"/>
              </w:rPr>
              <w:t>100% of total</w:t>
            </w:r>
          </w:p>
        </w:tc>
        <w:tc>
          <w:tcPr>
            <w:tcW w:w="1276" w:type="dxa"/>
          </w:tcPr>
          <w:p w14:paraId="6DE887B4" w14:textId="77777777" w:rsidR="000E574A" w:rsidRDefault="000E574A" w:rsidP="000E574A">
            <w:pPr>
              <w:spacing w:after="0"/>
              <w:jc w:val="center"/>
              <w:rPr>
                <w:sz w:val="18"/>
              </w:rPr>
            </w:pPr>
            <w:r>
              <w:rPr>
                <w:sz w:val="18"/>
              </w:rPr>
              <w:t>186 kg</w:t>
            </w:r>
          </w:p>
          <w:p w14:paraId="0CAAE4E7" w14:textId="77777777" w:rsidR="000E574A" w:rsidRPr="002A6E41" w:rsidRDefault="000E574A" w:rsidP="000E574A">
            <w:pPr>
              <w:spacing w:after="0"/>
              <w:jc w:val="center"/>
              <w:rPr>
                <w:sz w:val="18"/>
              </w:rPr>
            </w:pPr>
            <w:r>
              <w:rPr>
                <w:sz w:val="18"/>
              </w:rPr>
              <w:t>85% of total</w:t>
            </w:r>
          </w:p>
        </w:tc>
        <w:tc>
          <w:tcPr>
            <w:tcW w:w="1276" w:type="dxa"/>
            <w:shd w:val="clear" w:color="auto" w:fill="D6E3BC" w:themeFill="accent3" w:themeFillTint="66"/>
          </w:tcPr>
          <w:p w14:paraId="131C2399" w14:textId="77777777" w:rsidR="000E574A" w:rsidRDefault="000E574A" w:rsidP="000E574A">
            <w:pPr>
              <w:spacing w:after="0"/>
              <w:jc w:val="center"/>
              <w:rPr>
                <w:sz w:val="18"/>
              </w:rPr>
            </w:pPr>
            <w:r>
              <w:rPr>
                <w:sz w:val="18"/>
              </w:rPr>
              <w:t>164 kg</w:t>
            </w:r>
          </w:p>
          <w:p w14:paraId="398E6878" w14:textId="77777777" w:rsidR="000E574A" w:rsidRPr="002A6E41" w:rsidRDefault="000E574A" w:rsidP="000E574A">
            <w:pPr>
              <w:spacing w:after="0"/>
              <w:jc w:val="center"/>
              <w:rPr>
                <w:sz w:val="18"/>
              </w:rPr>
            </w:pPr>
            <w:r>
              <w:rPr>
                <w:sz w:val="18"/>
              </w:rPr>
              <w:t>75% of total</w:t>
            </w:r>
          </w:p>
        </w:tc>
        <w:tc>
          <w:tcPr>
            <w:tcW w:w="1275" w:type="dxa"/>
          </w:tcPr>
          <w:p w14:paraId="274A8CCD" w14:textId="77777777" w:rsidR="000E574A" w:rsidRDefault="000E574A" w:rsidP="000E574A">
            <w:pPr>
              <w:spacing w:after="0"/>
              <w:jc w:val="center"/>
              <w:rPr>
                <w:sz w:val="18"/>
              </w:rPr>
            </w:pPr>
            <w:r>
              <w:rPr>
                <w:sz w:val="18"/>
              </w:rPr>
              <w:t>109 kg</w:t>
            </w:r>
          </w:p>
          <w:p w14:paraId="720859B4" w14:textId="77777777" w:rsidR="000E574A" w:rsidRPr="002A6E41" w:rsidRDefault="000E574A" w:rsidP="000E574A">
            <w:pPr>
              <w:spacing w:after="0"/>
              <w:jc w:val="center"/>
              <w:rPr>
                <w:sz w:val="18"/>
              </w:rPr>
            </w:pPr>
            <w:r>
              <w:rPr>
                <w:sz w:val="18"/>
              </w:rPr>
              <w:t>50% of total</w:t>
            </w:r>
          </w:p>
        </w:tc>
        <w:tc>
          <w:tcPr>
            <w:tcW w:w="1134" w:type="dxa"/>
          </w:tcPr>
          <w:p w14:paraId="4566484D" w14:textId="77777777" w:rsidR="000E574A" w:rsidRDefault="000E574A" w:rsidP="000E574A">
            <w:pPr>
              <w:spacing w:after="0"/>
              <w:jc w:val="center"/>
              <w:rPr>
                <w:sz w:val="18"/>
              </w:rPr>
            </w:pPr>
            <w:r>
              <w:rPr>
                <w:sz w:val="18"/>
              </w:rPr>
              <w:t>0 kg</w:t>
            </w:r>
          </w:p>
          <w:p w14:paraId="7FF079D3" w14:textId="77777777" w:rsidR="000E574A" w:rsidRPr="002A6E41" w:rsidRDefault="000E574A" w:rsidP="000E574A">
            <w:pPr>
              <w:spacing w:after="0"/>
              <w:jc w:val="center"/>
              <w:rPr>
                <w:sz w:val="18"/>
              </w:rPr>
            </w:pPr>
            <w:r>
              <w:rPr>
                <w:sz w:val="18"/>
              </w:rPr>
              <w:t>0% of total</w:t>
            </w:r>
          </w:p>
        </w:tc>
      </w:tr>
      <w:tr w:rsidR="000E574A" w:rsidRPr="002A6E41" w14:paraId="61DAFDA7" w14:textId="77777777" w:rsidTr="000E574A">
        <w:tc>
          <w:tcPr>
            <w:tcW w:w="2864" w:type="dxa"/>
          </w:tcPr>
          <w:p w14:paraId="77BCD107" w14:textId="77777777" w:rsidR="000E574A" w:rsidRPr="002A6E41" w:rsidRDefault="000E574A" w:rsidP="000E574A">
            <w:pPr>
              <w:spacing w:after="0"/>
              <w:jc w:val="left"/>
              <w:rPr>
                <w:b/>
                <w:sz w:val="18"/>
                <w:u w:val="single"/>
              </w:rPr>
            </w:pPr>
            <w:r>
              <w:rPr>
                <w:b/>
                <w:sz w:val="18"/>
                <w:u w:val="single"/>
              </w:rPr>
              <w:t>Alternative System</w:t>
            </w:r>
          </w:p>
        </w:tc>
        <w:tc>
          <w:tcPr>
            <w:tcW w:w="1355" w:type="dxa"/>
          </w:tcPr>
          <w:p w14:paraId="21ABF1E1" w14:textId="77777777" w:rsidR="000E574A" w:rsidRPr="002A6E41" w:rsidRDefault="000E574A" w:rsidP="000E574A">
            <w:pPr>
              <w:spacing w:after="0"/>
              <w:jc w:val="left"/>
              <w:rPr>
                <w:sz w:val="18"/>
              </w:rPr>
            </w:pPr>
          </w:p>
        </w:tc>
        <w:tc>
          <w:tcPr>
            <w:tcW w:w="1276" w:type="dxa"/>
          </w:tcPr>
          <w:p w14:paraId="5C6B13A3" w14:textId="77777777" w:rsidR="000E574A" w:rsidRPr="002A6E41" w:rsidRDefault="000E574A" w:rsidP="000E574A">
            <w:pPr>
              <w:spacing w:after="0"/>
              <w:jc w:val="left"/>
              <w:rPr>
                <w:sz w:val="18"/>
              </w:rPr>
            </w:pPr>
          </w:p>
        </w:tc>
        <w:tc>
          <w:tcPr>
            <w:tcW w:w="1276" w:type="dxa"/>
            <w:shd w:val="clear" w:color="auto" w:fill="D6E3BC" w:themeFill="accent3" w:themeFillTint="66"/>
          </w:tcPr>
          <w:p w14:paraId="12DD3852" w14:textId="77777777" w:rsidR="000E574A" w:rsidRPr="002A6E41" w:rsidRDefault="000E574A" w:rsidP="000E574A">
            <w:pPr>
              <w:spacing w:after="0"/>
              <w:jc w:val="left"/>
              <w:rPr>
                <w:sz w:val="18"/>
              </w:rPr>
            </w:pPr>
          </w:p>
        </w:tc>
        <w:tc>
          <w:tcPr>
            <w:tcW w:w="1275" w:type="dxa"/>
          </w:tcPr>
          <w:p w14:paraId="4BC66F0A" w14:textId="77777777" w:rsidR="000E574A" w:rsidRPr="002A6E41" w:rsidRDefault="000E574A" w:rsidP="000E574A">
            <w:pPr>
              <w:spacing w:after="0"/>
              <w:jc w:val="left"/>
              <w:rPr>
                <w:sz w:val="18"/>
              </w:rPr>
            </w:pPr>
          </w:p>
        </w:tc>
        <w:tc>
          <w:tcPr>
            <w:tcW w:w="1134" w:type="dxa"/>
          </w:tcPr>
          <w:p w14:paraId="169EB6E4" w14:textId="77777777" w:rsidR="000E574A" w:rsidRPr="002A6E41" w:rsidRDefault="000E574A" w:rsidP="000E574A">
            <w:pPr>
              <w:spacing w:after="0"/>
              <w:jc w:val="left"/>
              <w:rPr>
                <w:sz w:val="18"/>
              </w:rPr>
            </w:pPr>
          </w:p>
        </w:tc>
      </w:tr>
      <w:tr w:rsidR="000E574A" w:rsidRPr="002A6E41" w14:paraId="60DD1A6B" w14:textId="77777777" w:rsidTr="000E574A">
        <w:tc>
          <w:tcPr>
            <w:tcW w:w="2864" w:type="dxa"/>
          </w:tcPr>
          <w:p w14:paraId="2941CBAE" w14:textId="77777777" w:rsidR="000E574A" w:rsidRPr="00C03394" w:rsidRDefault="000E574A" w:rsidP="000E574A">
            <w:pPr>
              <w:spacing w:after="0"/>
              <w:jc w:val="left"/>
              <w:rPr>
                <w:i/>
                <w:sz w:val="18"/>
              </w:rPr>
            </w:pPr>
            <w:r w:rsidRPr="00C03394">
              <w:rPr>
                <w:i/>
                <w:sz w:val="18"/>
              </w:rPr>
              <w:t>Benefit producing mechanisms</w:t>
            </w:r>
          </w:p>
        </w:tc>
        <w:tc>
          <w:tcPr>
            <w:tcW w:w="1355" w:type="dxa"/>
          </w:tcPr>
          <w:p w14:paraId="5C2FAE26" w14:textId="77777777" w:rsidR="000E574A" w:rsidRPr="002A6E41" w:rsidRDefault="000E574A" w:rsidP="000E574A">
            <w:pPr>
              <w:spacing w:after="0"/>
              <w:jc w:val="center"/>
              <w:rPr>
                <w:sz w:val="18"/>
              </w:rPr>
            </w:pPr>
          </w:p>
        </w:tc>
        <w:tc>
          <w:tcPr>
            <w:tcW w:w="1276" w:type="dxa"/>
          </w:tcPr>
          <w:p w14:paraId="2C38BCC6" w14:textId="77777777" w:rsidR="000E574A" w:rsidRPr="002A6E41" w:rsidRDefault="000E574A" w:rsidP="000E574A">
            <w:pPr>
              <w:spacing w:after="0"/>
              <w:jc w:val="center"/>
              <w:rPr>
                <w:sz w:val="18"/>
              </w:rPr>
            </w:pPr>
          </w:p>
        </w:tc>
        <w:tc>
          <w:tcPr>
            <w:tcW w:w="1276" w:type="dxa"/>
            <w:shd w:val="clear" w:color="auto" w:fill="D6E3BC" w:themeFill="accent3" w:themeFillTint="66"/>
          </w:tcPr>
          <w:p w14:paraId="17AED106" w14:textId="77777777" w:rsidR="000E574A" w:rsidRPr="002A6E41" w:rsidRDefault="000E574A" w:rsidP="000E574A">
            <w:pPr>
              <w:spacing w:after="0"/>
              <w:jc w:val="center"/>
              <w:rPr>
                <w:sz w:val="18"/>
              </w:rPr>
            </w:pPr>
          </w:p>
        </w:tc>
        <w:tc>
          <w:tcPr>
            <w:tcW w:w="1275" w:type="dxa"/>
          </w:tcPr>
          <w:p w14:paraId="28958589" w14:textId="77777777" w:rsidR="000E574A" w:rsidRPr="002A6E41" w:rsidRDefault="000E574A" w:rsidP="000E574A">
            <w:pPr>
              <w:spacing w:after="0"/>
              <w:jc w:val="center"/>
              <w:rPr>
                <w:sz w:val="18"/>
              </w:rPr>
            </w:pPr>
          </w:p>
        </w:tc>
        <w:tc>
          <w:tcPr>
            <w:tcW w:w="1134" w:type="dxa"/>
          </w:tcPr>
          <w:p w14:paraId="0B308EA6" w14:textId="77777777" w:rsidR="000E574A" w:rsidRPr="002A6E41" w:rsidRDefault="000E574A" w:rsidP="000E574A">
            <w:pPr>
              <w:spacing w:after="0"/>
              <w:jc w:val="center"/>
              <w:rPr>
                <w:sz w:val="18"/>
              </w:rPr>
            </w:pPr>
          </w:p>
        </w:tc>
      </w:tr>
      <w:tr w:rsidR="000E574A" w:rsidRPr="002A6E41" w14:paraId="4967D5D6" w14:textId="77777777" w:rsidTr="000E574A">
        <w:tc>
          <w:tcPr>
            <w:tcW w:w="2864" w:type="dxa"/>
          </w:tcPr>
          <w:p w14:paraId="1507D0FE" w14:textId="77777777" w:rsidR="000E574A" w:rsidRDefault="000E574A" w:rsidP="000E574A">
            <w:pPr>
              <w:spacing w:after="0"/>
              <w:jc w:val="left"/>
              <w:rPr>
                <w:sz w:val="18"/>
              </w:rPr>
            </w:pPr>
            <w:r w:rsidRPr="002A6E41">
              <w:rPr>
                <w:sz w:val="18"/>
              </w:rPr>
              <w:t xml:space="preserve">Combination of synthetic fertilisers, </w:t>
            </w:r>
            <w:r>
              <w:rPr>
                <w:sz w:val="18"/>
              </w:rPr>
              <w:t>herbicide</w:t>
            </w:r>
            <w:r w:rsidRPr="002A6E41">
              <w:rPr>
                <w:sz w:val="18"/>
              </w:rPr>
              <w:t>s and water</w:t>
            </w:r>
          </w:p>
          <w:p w14:paraId="1D4B69D8" w14:textId="23DEED94" w:rsidR="00BB056D" w:rsidRPr="002A6E41" w:rsidRDefault="00BB056D" w:rsidP="000E574A">
            <w:pPr>
              <w:spacing w:after="0"/>
              <w:jc w:val="left"/>
              <w:rPr>
                <w:sz w:val="18"/>
              </w:rPr>
            </w:pPr>
            <w:r>
              <w:rPr>
                <w:sz w:val="18"/>
              </w:rPr>
              <w:t>N=Nitrogen, P=Phosphorous, K=Potassium, glyph.=glyphosate</w:t>
            </w:r>
          </w:p>
        </w:tc>
        <w:tc>
          <w:tcPr>
            <w:tcW w:w="1355" w:type="dxa"/>
          </w:tcPr>
          <w:p w14:paraId="71283751" w14:textId="77777777" w:rsidR="000E574A" w:rsidRPr="002A6E41" w:rsidRDefault="000E574A" w:rsidP="000E574A">
            <w:pPr>
              <w:spacing w:after="0"/>
              <w:jc w:val="center"/>
              <w:rPr>
                <w:sz w:val="18"/>
              </w:rPr>
            </w:pPr>
            <w:r>
              <w:rPr>
                <w:sz w:val="18"/>
              </w:rPr>
              <w:t>0</w:t>
            </w:r>
          </w:p>
        </w:tc>
        <w:tc>
          <w:tcPr>
            <w:tcW w:w="1276" w:type="dxa"/>
          </w:tcPr>
          <w:p w14:paraId="2EDF12F1" w14:textId="77777777" w:rsidR="000E574A" w:rsidRPr="00697B4D" w:rsidRDefault="000E574A" w:rsidP="000E574A">
            <w:pPr>
              <w:spacing w:after="0"/>
              <w:jc w:val="left"/>
              <w:rPr>
                <w:sz w:val="18"/>
              </w:rPr>
            </w:pPr>
            <w:r>
              <w:rPr>
                <w:sz w:val="18"/>
              </w:rPr>
              <w:t xml:space="preserve">0.5 </w:t>
            </w:r>
            <w:r w:rsidRPr="00697B4D">
              <w:rPr>
                <w:sz w:val="18"/>
              </w:rPr>
              <w:t>kg N</w:t>
            </w:r>
          </w:p>
          <w:p w14:paraId="3EE66C69" w14:textId="77777777" w:rsidR="000E574A" w:rsidRPr="00697B4D" w:rsidRDefault="000E574A" w:rsidP="000E574A">
            <w:pPr>
              <w:spacing w:after="0"/>
              <w:jc w:val="left"/>
              <w:rPr>
                <w:sz w:val="18"/>
              </w:rPr>
            </w:pPr>
            <w:r>
              <w:rPr>
                <w:sz w:val="18"/>
              </w:rPr>
              <w:t>0.5</w:t>
            </w:r>
            <w:r w:rsidRPr="00697B4D">
              <w:rPr>
                <w:sz w:val="18"/>
              </w:rPr>
              <w:t xml:space="preserve"> kg P</w:t>
            </w:r>
          </w:p>
          <w:p w14:paraId="28D9CF37" w14:textId="77777777" w:rsidR="000E574A" w:rsidRPr="00697B4D" w:rsidRDefault="000E574A" w:rsidP="000E574A">
            <w:pPr>
              <w:spacing w:after="0"/>
              <w:jc w:val="left"/>
              <w:rPr>
                <w:sz w:val="18"/>
              </w:rPr>
            </w:pPr>
            <w:r>
              <w:rPr>
                <w:sz w:val="18"/>
              </w:rPr>
              <w:t>0.2</w:t>
            </w:r>
            <w:r w:rsidRPr="00697B4D">
              <w:rPr>
                <w:sz w:val="18"/>
              </w:rPr>
              <w:t xml:space="preserve"> kg K</w:t>
            </w:r>
          </w:p>
          <w:p w14:paraId="46EF2701" w14:textId="77777777" w:rsidR="000E574A" w:rsidRPr="002A6E41" w:rsidRDefault="000E574A" w:rsidP="000E574A">
            <w:pPr>
              <w:spacing w:after="0"/>
              <w:jc w:val="left"/>
              <w:rPr>
                <w:sz w:val="18"/>
              </w:rPr>
            </w:pPr>
            <w:r>
              <w:rPr>
                <w:sz w:val="18"/>
              </w:rPr>
              <w:t xml:space="preserve">0 </w:t>
            </w:r>
            <w:r w:rsidRPr="00697B4D">
              <w:rPr>
                <w:sz w:val="18"/>
              </w:rPr>
              <w:t>l glyph</w:t>
            </w:r>
          </w:p>
        </w:tc>
        <w:tc>
          <w:tcPr>
            <w:tcW w:w="1276" w:type="dxa"/>
            <w:shd w:val="clear" w:color="auto" w:fill="D6E3BC" w:themeFill="accent3" w:themeFillTint="66"/>
          </w:tcPr>
          <w:p w14:paraId="5FB829C7" w14:textId="77777777" w:rsidR="000E574A" w:rsidRPr="00697B4D" w:rsidRDefault="000E574A" w:rsidP="000E574A">
            <w:pPr>
              <w:spacing w:after="0"/>
              <w:jc w:val="left"/>
              <w:rPr>
                <w:sz w:val="18"/>
              </w:rPr>
            </w:pPr>
            <w:r>
              <w:rPr>
                <w:sz w:val="18"/>
              </w:rPr>
              <w:t xml:space="preserve">0.6 </w:t>
            </w:r>
            <w:r w:rsidRPr="00697B4D">
              <w:rPr>
                <w:sz w:val="18"/>
              </w:rPr>
              <w:t>kg N</w:t>
            </w:r>
          </w:p>
          <w:p w14:paraId="37279E05" w14:textId="77777777" w:rsidR="000E574A" w:rsidRPr="00697B4D" w:rsidRDefault="000E574A" w:rsidP="000E574A">
            <w:pPr>
              <w:spacing w:after="0"/>
              <w:jc w:val="left"/>
              <w:rPr>
                <w:sz w:val="18"/>
              </w:rPr>
            </w:pPr>
            <w:r>
              <w:rPr>
                <w:sz w:val="18"/>
              </w:rPr>
              <w:t>0.6</w:t>
            </w:r>
            <w:r w:rsidRPr="00697B4D">
              <w:rPr>
                <w:sz w:val="18"/>
              </w:rPr>
              <w:t xml:space="preserve"> kg P</w:t>
            </w:r>
          </w:p>
          <w:p w14:paraId="05E600C9" w14:textId="77777777" w:rsidR="000E574A" w:rsidRPr="00697B4D" w:rsidRDefault="000E574A" w:rsidP="000E574A">
            <w:pPr>
              <w:spacing w:after="0"/>
              <w:jc w:val="left"/>
              <w:rPr>
                <w:sz w:val="18"/>
              </w:rPr>
            </w:pPr>
            <w:r>
              <w:rPr>
                <w:sz w:val="18"/>
              </w:rPr>
              <w:t>0.3</w:t>
            </w:r>
            <w:r w:rsidRPr="00697B4D">
              <w:rPr>
                <w:sz w:val="18"/>
              </w:rPr>
              <w:t xml:space="preserve"> kg K</w:t>
            </w:r>
          </w:p>
          <w:p w14:paraId="63B8BFC3" w14:textId="77777777" w:rsidR="000E574A" w:rsidRPr="002A6E41" w:rsidRDefault="000E574A" w:rsidP="000E574A">
            <w:pPr>
              <w:spacing w:after="0"/>
              <w:jc w:val="left"/>
              <w:rPr>
                <w:sz w:val="18"/>
              </w:rPr>
            </w:pPr>
            <w:r>
              <w:rPr>
                <w:sz w:val="18"/>
              </w:rPr>
              <w:t>0.01</w:t>
            </w:r>
            <w:r w:rsidRPr="00697B4D">
              <w:rPr>
                <w:sz w:val="18"/>
              </w:rPr>
              <w:t xml:space="preserve"> l glyph.</w:t>
            </w:r>
          </w:p>
        </w:tc>
        <w:tc>
          <w:tcPr>
            <w:tcW w:w="1275" w:type="dxa"/>
          </w:tcPr>
          <w:p w14:paraId="41A18424" w14:textId="77777777" w:rsidR="000E574A" w:rsidRPr="00697B4D" w:rsidRDefault="000E574A" w:rsidP="000E574A">
            <w:pPr>
              <w:spacing w:after="0"/>
              <w:jc w:val="left"/>
              <w:rPr>
                <w:sz w:val="16"/>
                <w:szCs w:val="16"/>
              </w:rPr>
            </w:pPr>
            <w:r>
              <w:rPr>
                <w:sz w:val="16"/>
                <w:szCs w:val="16"/>
              </w:rPr>
              <w:t>1.3</w:t>
            </w:r>
            <w:r w:rsidRPr="00697B4D">
              <w:rPr>
                <w:sz w:val="16"/>
                <w:szCs w:val="16"/>
              </w:rPr>
              <w:t xml:space="preserve"> kg N</w:t>
            </w:r>
          </w:p>
          <w:p w14:paraId="6C572CEC" w14:textId="77777777" w:rsidR="000E574A" w:rsidRPr="00697B4D" w:rsidRDefault="000E574A" w:rsidP="000E574A">
            <w:pPr>
              <w:spacing w:after="0"/>
              <w:jc w:val="left"/>
              <w:rPr>
                <w:sz w:val="16"/>
                <w:szCs w:val="16"/>
              </w:rPr>
            </w:pPr>
            <w:r>
              <w:rPr>
                <w:sz w:val="16"/>
                <w:szCs w:val="16"/>
              </w:rPr>
              <w:t>1.3</w:t>
            </w:r>
            <w:r w:rsidRPr="00697B4D">
              <w:rPr>
                <w:sz w:val="16"/>
                <w:szCs w:val="16"/>
              </w:rPr>
              <w:t xml:space="preserve"> kg P</w:t>
            </w:r>
          </w:p>
          <w:p w14:paraId="67633D63" w14:textId="77777777" w:rsidR="000E574A" w:rsidRPr="00697B4D" w:rsidRDefault="000E574A" w:rsidP="000E574A">
            <w:pPr>
              <w:spacing w:after="0"/>
              <w:jc w:val="left"/>
              <w:rPr>
                <w:sz w:val="16"/>
                <w:szCs w:val="16"/>
              </w:rPr>
            </w:pPr>
            <w:r>
              <w:rPr>
                <w:sz w:val="16"/>
                <w:szCs w:val="16"/>
              </w:rPr>
              <w:t>1.2</w:t>
            </w:r>
            <w:r w:rsidRPr="00697B4D">
              <w:rPr>
                <w:sz w:val="16"/>
                <w:szCs w:val="16"/>
              </w:rPr>
              <w:t xml:space="preserve"> kg K</w:t>
            </w:r>
          </w:p>
          <w:p w14:paraId="6536EF21" w14:textId="77777777" w:rsidR="000E574A" w:rsidRPr="002A6E41" w:rsidRDefault="000E574A" w:rsidP="000E574A">
            <w:pPr>
              <w:spacing w:after="0"/>
              <w:rPr>
                <w:sz w:val="18"/>
              </w:rPr>
            </w:pPr>
            <w:r>
              <w:rPr>
                <w:sz w:val="16"/>
                <w:szCs w:val="16"/>
              </w:rPr>
              <w:t>0.02</w:t>
            </w:r>
            <w:r w:rsidRPr="00697B4D">
              <w:rPr>
                <w:sz w:val="16"/>
                <w:szCs w:val="16"/>
              </w:rPr>
              <w:t xml:space="preserve"> l glyph.</w:t>
            </w:r>
          </w:p>
        </w:tc>
        <w:tc>
          <w:tcPr>
            <w:tcW w:w="1134" w:type="dxa"/>
          </w:tcPr>
          <w:p w14:paraId="0780C1F9" w14:textId="77777777" w:rsidR="000E574A" w:rsidRPr="00697B4D" w:rsidRDefault="000E574A" w:rsidP="000E574A">
            <w:pPr>
              <w:spacing w:after="0"/>
              <w:jc w:val="left"/>
              <w:rPr>
                <w:sz w:val="16"/>
                <w:szCs w:val="16"/>
              </w:rPr>
            </w:pPr>
            <w:r>
              <w:rPr>
                <w:sz w:val="16"/>
                <w:szCs w:val="16"/>
              </w:rPr>
              <w:t xml:space="preserve">2.5 </w:t>
            </w:r>
            <w:r w:rsidRPr="00697B4D">
              <w:rPr>
                <w:sz w:val="16"/>
                <w:szCs w:val="16"/>
              </w:rPr>
              <w:t>kg N</w:t>
            </w:r>
          </w:p>
          <w:p w14:paraId="719E2008" w14:textId="77777777" w:rsidR="000E574A" w:rsidRPr="00697B4D" w:rsidRDefault="000E574A" w:rsidP="000E574A">
            <w:pPr>
              <w:spacing w:after="0"/>
              <w:jc w:val="left"/>
              <w:rPr>
                <w:sz w:val="16"/>
                <w:szCs w:val="16"/>
              </w:rPr>
            </w:pPr>
            <w:r>
              <w:rPr>
                <w:sz w:val="16"/>
                <w:szCs w:val="16"/>
              </w:rPr>
              <w:t xml:space="preserve">2.5 </w:t>
            </w:r>
            <w:r w:rsidRPr="00697B4D">
              <w:rPr>
                <w:sz w:val="16"/>
                <w:szCs w:val="16"/>
              </w:rPr>
              <w:t>kg P</w:t>
            </w:r>
          </w:p>
          <w:p w14:paraId="5A3FC40C" w14:textId="77777777" w:rsidR="000E574A" w:rsidRPr="00697B4D" w:rsidRDefault="000E574A" w:rsidP="000E574A">
            <w:pPr>
              <w:spacing w:after="0"/>
              <w:jc w:val="left"/>
              <w:rPr>
                <w:sz w:val="16"/>
                <w:szCs w:val="16"/>
              </w:rPr>
            </w:pPr>
            <w:r>
              <w:rPr>
                <w:sz w:val="16"/>
                <w:szCs w:val="16"/>
              </w:rPr>
              <w:t>1.4</w:t>
            </w:r>
            <w:r w:rsidRPr="00697B4D">
              <w:rPr>
                <w:sz w:val="16"/>
                <w:szCs w:val="16"/>
              </w:rPr>
              <w:t xml:space="preserve"> kg K</w:t>
            </w:r>
          </w:p>
          <w:p w14:paraId="5B50E4D6" w14:textId="77777777" w:rsidR="000E574A" w:rsidRPr="002A6E41" w:rsidRDefault="000E574A" w:rsidP="000E574A">
            <w:pPr>
              <w:spacing w:after="0"/>
              <w:jc w:val="left"/>
              <w:rPr>
                <w:sz w:val="18"/>
              </w:rPr>
            </w:pPr>
            <w:r>
              <w:rPr>
                <w:sz w:val="16"/>
                <w:szCs w:val="16"/>
              </w:rPr>
              <w:t>0.03</w:t>
            </w:r>
            <w:r w:rsidRPr="00697B4D">
              <w:rPr>
                <w:sz w:val="16"/>
                <w:szCs w:val="16"/>
              </w:rPr>
              <w:t xml:space="preserve"> l glyph.</w:t>
            </w:r>
          </w:p>
        </w:tc>
      </w:tr>
      <w:tr w:rsidR="000E574A" w:rsidRPr="002A6E41" w14:paraId="20417DCB" w14:textId="77777777" w:rsidTr="000E574A">
        <w:tc>
          <w:tcPr>
            <w:tcW w:w="2864" w:type="dxa"/>
          </w:tcPr>
          <w:p w14:paraId="2F834264" w14:textId="77777777" w:rsidR="000E574A" w:rsidRPr="002A6E41" w:rsidRDefault="000E574A" w:rsidP="000E574A">
            <w:pPr>
              <w:spacing w:after="0"/>
              <w:jc w:val="left"/>
              <w:rPr>
                <w:sz w:val="18"/>
              </w:rPr>
            </w:pPr>
            <w:r w:rsidRPr="002A6E41">
              <w:rPr>
                <w:sz w:val="18"/>
              </w:rPr>
              <w:t>Compost produced from alternative residues (wastes)</w:t>
            </w:r>
          </w:p>
        </w:tc>
        <w:tc>
          <w:tcPr>
            <w:tcW w:w="1355" w:type="dxa"/>
          </w:tcPr>
          <w:p w14:paraId="5996D363" w14:textId="77777777" w:rsidR="000E574A" w:rsidRPr="002A6E41" w:rsidRDefault="000E574A" w:rsidP="000E574A">
            <w:pPr>
              <w:spacing w:after="0"/>
              <w:jc w:val="center"/>
              <w:rPr>
                <w:sz w:val="18"/>
              </w:rPr>
            </w:pPr>
            <w:r>
              <w:rPr>
                <w:sz w:val="18"/>
              </w:rPr>
              <w:t>219 kg</w:t>
            </w:r>
          </w:p>
        </w:tc>
        <w:tc>
          <w:tcPr>
            <w:tcW w:w="1276" w:type="dxa"/>
          </w:tcPr>
          <w:p w14:paraId="0A386DBC" w14:textId="77777777" w:rsidR="000E574A" w:rsidRPr="002A6E41" w:rsidRDefault="000E574A" w:rsidP="000E574A">
            <w:pPr>
              <w:spacing w:after="0"/>
              <w:jc w:val="center"/>
              <w:rPr>
                <w:sz w:val="18"/>
              </w:rPr>
            </w:pPr>
            <w:r>
              <w:rPr>
                <w:sz w:val="18"/>
              </w:rPr>
              <w:t>186 kg</w:t>
            </w:r>
          </w:p>
        </w:tc>
        <w:tc>
          <w:tcPr>
            <w:tcW w:w="1276" w:type="dxa"/>
            <w:shd w:val="clear" w:color="auto" w:fill="D6E3BC" w:themeFill="accent3" w:themeFillTint="66"/>
          </w:tcPr>
          <w:p w14:paraId="31D686EF" w14:textId="77777777" w:rsidR="000E574A" w:rsidRPr="002A6E41" w:rsidRDefault="000E574A" w:rsidP="000E574A">
            <w:pPr>
              <w:spacing w:after="0"/>
              <w:jc w:val="center"/>
              <w:rPr>
                <w:sz w:val="18"/>
              </w:rPr>
            </w:pPr>
            <w:r>
              <w:rPr>
                <w:sz w:val="18"/>
              </w:rPr>
              <w:t>164 kg</w:t>
            </w:r>
          </w:p>
        </w:tc>
        <w:tc>
          <w:tcPr>
            <w:tcW w:w="1275" w:type="dxa"/>
          </w:tcPr>
          <w:p w14:paraId="0E035D2A" w14:textId="77777777" w:rsidR="000E574A" w:rsidRPr="002A6E41" w:rsidRDefault="000E574A" w:rsidP="000E574A">
            <w:pPr>
              <w:spacing w:after="0"/>
              <w:jc w:val="center"/>
              <w:rPr>
                <w:sz w:val="18"/>
              </w:rPr>
            </w:pPr>
            <w:r>
              <w:rPr>
                <w:sz w:val="18"/>
              </w:rPr>
              <w:t>109 kg</w:t>
            </w:r>
          </w:p>
        </w:tc>
        <w:tc>
          <w:tcPr>
            <w:tcW w:w="1134" w:type="dxa"/>
          </w:tcPr>
          <w:p w14:paraId="3219BBAC" w14:textId="77777777" w:rsidR="000E574A" w:rsidRPr="002A6E41" w:rsidRDefault="000E574A" w:rsidP="000E574A">
            <w:pPr>
              <w:spacing w:after="0"/>
              <w:jc w:val="center"/>
              <w:rPr>
                <w:sz w:val="18"/>
              </w:rPr>
            </w:pPr>
            <w:r>
              <w:rPr>
                <w:sz w:val="18"/>
              </w:rPr>
              <w:t>0 kg</w:t>
            </w:r>
          </w:p>
        </w:tc>
      </w:tr>
      <w:tr w:rsidR="000E574A" w:rsidRPr="002A6E41" w14:paraId="12B77C36" w14:textId="77777777" w:rsidTr="000E574A">
        <w:tc>
          <w:tcPr>
            <w:tcW w:w="2864" w:type="dxa"/>
          </w:tcPr>
          <w:p w14:paraId="0B839317" w14:textId="77777777" w:rsidR="000E574A" w:rsidRPr="00C03394" w:rsidRDefault="000E574A" w:rsidP="000E574A">
            <w:pPr>
              <w:spacing w:after="0"/>
              <w:jc w:val="left"/>
              <w:rPr>
                <w:i/>
                <w:sz w:val="18"/>
              </w:rPr>
            </w:pPr>
            <w:r w:rsidRPr="00C03394">
              <w:rPr>
                <w:i/>
                <w:sz w:val="18"/>
              </w:rPr>
              <w:t>Waste disposal mechanisms</w:t>
            </w:r>
          </w:p>
        </w:tc>
        <w:tc>
          <w:tcPr>
            <w:tcW w:w="1355" w:type="dxa"/>
          </w:tcPr>
          <w:p w14:paraId="51AE91A0" w14:textId="77777777" w:rsidR="000E574A" w:rsidRPr="002A6E41" w:rsidRDefault="000E574A" w:rsidP="000E574A">
            <w:pPr>
              <w:spacing w:after="0"/>
              <w:jc w:val="left"/>
              <w:rPr>
                <w:sz w:val="18"/>
              </w:rPr>
            </w:pPr>
          </w:p>
        </w:tc>
        <w:tc>
          <w:tcPr>
            <w:tcW w:w="1276" w:type="dxa"/>
          </w:tcPr>
          <w:p w14:paraId="311590C6" w14:textId="77777777" w:rsidR="000E574A" w:rsidRPr="002A6E41" w:rsidRDefault="000E574A" w:rsidP="000E574A">
            <w:pPr>
              <w:spacing w:after="0"/>
              <w:jc w:val="left"/>
              <w:rPr>
                <w:sz w:val="18"/>
              </w:rPr>
            </w:pPr>
          </w:p>
        </w:tc>
        <w:tc>
          <w:tcPr>
            <w:tcW w:w="1276" w:type="dxa"/>
            <w:shd w:val="clear" w:color="auto" w:fill="D6E3BC" w:themeFill="accent3" w:themeFillTint="66"/>
          </w:tcPr>
          <w:p w14:paraId="235FDA1E" w14:textId="77777777" w:rsidR="000E574A" w:rsidRPr="002A6E41" w:rsidRDefault="000E574A" w:rsidP="000E574A">
            <w:pPr>
              <w:spacing w:after="0"/>
              <w:jc w:val="left"/>
              <w:rPr>
                <w:sz w:val="18"/>
              </w:rPr>
            </w:pPr>
          </w:p>
        </w:tc>
        <w:tc>
          <w:tcPr>
            <w:tcW w:w="1275" w:type="dxa"/>
          </w:tcPr>
          <w:p w14:paraId="2F3F70BD" w14:textId="77777777" w:rsidR="000E574A" w:rsidRPr="002A6E41" w:rsidRDefault="000E574A" w:rsidP="000E574A">
            <w:pPr>
              <w:spacing w:after="0"/>
              <w:jc w:val="left"/>
              <w:rPr>
                <w:sz w:val="18"/>
              </w:rPr>
            </w:pPr>
          </w:p>
        </w:tc>
        <w:tc>
          <w:tcPr>
            <w:tcW w:w="1134" w:type="dxa"/>
          </w:tcPr>
          <w:p w14:paraId="2FD4D336" w14:textId="77777777" w:rsidR="000E574A" w:rsidRPr="002A6E41" w:rsidRDefault="000E574A" w:rsidP="000E574A">
            <w:pPr>
              <w:spacing w:after="0"/>
              <w:jc w:val="left"/>
              <w:rPr>
                <w:sz w:val="18"/>
              </w:rPr>
            </w:pPr>
          </w:p>
        </w:tc>
      </w:tr>
      <w:tr w:rsidR="000E574A" w:rsidRPr="002A6E41" w14:paraId="787621FE" w14:textId="77777777" w:rsidTr="000E574A">
        <w:tc>
          <w:tcPr>
            <w:tcW w:w="2864" w:type="dxa"/>
          </w:tcPr>
          <w:p w14:paraId="2424E2EF" w14:textId="77777777" w:rsidR="000E574A" w:rsidRPr="002A6E41" w:rsidRDefault="000E574A" w:rsidP="000E574A">
            <w:pPr>
              <w:spacing w:after="0"/>
              <w:jc w:val="left"/>
              <w:rPr>
                <w:sz w:val="18"/>
              </w:rPr>
            </w:pPr>
            <w:r w:rsidRPr="002A6E41">
              <w:rPr>
                <w:sz w:val="18"/>
              </w:rPr>
              <w:t>Landfill (via kerbside collection)</w:t>
            </w:r>
          </w:p>
        </w:tc>
        <w:tc>
          <w:tcPr>
            <w:tcW w:w="1355" w:type="dxa"/>
          </w:tcPr>
          <w:p w14:paraId="3622B0F5" w14:textId="77777777" w:rsidR="000E574A" w:rsidRPr="002A6E41" w:rsidRDefault="000E574A" w:rsidP="000E574A">
            <w:pPr>
              <w:spacing w:after="0"/>
              <w:jc w:val="center"/>
              <w:rPr>
                <w:sz w:val="18"/>
              </w:rPr>
            </w:pPr>
            <w:r>
              <w:rPr>
                <w:sz w:val="18"/>
              </w:rPr>
              <w:t>0 kg</w:t>
            </w:r>
          </w:p>
        </w:tc>
        <w:tc>
          <w:tcPr>
            <w:tcW w:w="1276" w:type="dxa"/>
          </w:tcPr>
          <w:p w14:paraId="6BEB8171" w14:textId="77777777" w:rsidR="000E574A" w:rsidRPr="002A6E41" w:rsidRDefault="000E574A" w:rsidP="000E574A">
            <w:pPr>
              <w:spacing w:after="0"/>
              <w:jc w:val="center"/>
              <w:rPr>
                <w:sz w:val="18"/>
              </w:rPr>
            </w:pPr>
            <w:r>
              <w:rPr>
                <w:sz w:val="18"/>
              </w:rPr>
              <w:t>152 kg</w:t>
            </w:r>
          </w:p>
        </w:tc>
        <w:tc>
          <w:tcPr>
            <w:tcW w:w="1276" w:type="dxa"/>
            <w:shd w:val="clear" w:color="auto" w:fill="D6E3BC" w:themeFill="accent3" w:themeFillTint="66"/>
          </w:tcPr>
          <w:p w14:paraId="44D1AF1B" w14:textId="77777777" w:rsidR="000E574A" w:rsidRPr="002A6E41" w:rsidRDefault="000E574A" w:rsidP="000E574A">
            <w:pPr>
              <w:spacing w:after="0"/>
              <w:jc w:val="center"/>
              <w:rPr>
                <w:sz w:val="18"/>
              </w:rPr>
            </w:pPr>
            <w:r>
              <w:rPr>
                <w:sz w:val="18"/>
              </w:rPr>
              <w:t>152 kg</w:t>
            </w:r>
          </w:p>
        </w:tc>
        <w:tc>
          <w:tcPr>
            <w:tcW w:w="1275" w:type="dxa"/>
          </w:tcPr>
          <w:p w14:paraId="3B377D98" w14:textId="77777777" w:rsidR="000E574A" w:rsidRPr="002A6E41" w:rsidRDefault="000E574A" w:rsidP="000E574A">
            <w:pPr>
              <w:spacing w:after="0"/>
              <w:jc w:val="center"/>
              <w:rPr>
                <w:sz w:val="18"/>
              </w:rPr>
            </w:pPr>
            <w:r>
              <w:rPr>
                <w:sz w:val="18"/>
              </w:rPr>
              <w:t>152kg</w:t>
            </w:r>
          </w:p>
        </w:tc>
        <w:tc>
          <w:tcPr>
            <w:tcW w:w="1134" w:type="dxa"/>
          </w:tcPr>
          <w:p w14:paraId="5ADA0171" w14:textId="77777777" w:rsidR="000E574A" w:rsidRPr="002A6E41" w:rsidRDefault="000E574A" w:rsidP="000E574A">
            <w:pPr>
              <w:spacing w:after="0"/>
              <w:jc w:val="center"/>
              <w:rPr>
                <w:sz w:val="18"/>
              </w:rPr>
            </w:pPr>
            <w:r>
              <w:rPr>
                <w:sz w:val="18"/>
              </w:rPr>
              <w:t>304 kg</w:t>
            </w:r>
          </w:p>
        </w:tc>
      </w:tr>
      <w:tr w:rsidR="000E574A" w:rsidRPr="002A6E41" w14:paraId="6823851B" w14:textId="77777777" w:rsidTr="000E574A">
        <w:tc>
          <w:tcPr>
            <w:tcW w:w="2864" w:type="dxa"/>
          </w:tcPr>
          <w:p w14:paraId="6702F439" w14:textId="77777777" w:rsidR="000E574A" w:rsidRPr="002A6E41" w:rsidRDefault="000E574A" w:rsidP="000E574A">
            <w:pPr>
              <w:spacing w:after="0"/>
              <w:jc w:val="left"/>
              <w:rPr>
                <w:sz w:val="18"/>
              </w:rPr>
            </w:pPr>
            <w:r w:rsidRPr="002A6E41">
              <w:rPr>
                <w:sz w:val="18"/>
              </w:rPr>
              <w:t>Open burning</w:t>
            </w:r>
          </w:p>
        </w:tc>
        <w:tc>
          <w:tcPr>
            <w:tcW w:w="1355" w:type="dxa"/>
          </w:tcPr>
          <w:p w14:paraId="77601E92" w14:textId="77777777" w:rsidR="000E574A" w:rsidRPr="002A6E41" w:rsidRDefault="000E574A" w:rsidP="000E574A">
            <w:pPr>
              <w:spacing w:after="0"/>
              <w:jc w:val="center"/>
              <w:rPr>
                <w:sz w:val="18"/>
              </w:rPr>
            </w:pPr>
            <w:r>
              <w:rPr>
                <w:sz w:val="18"/>
              </w:rPr>
              <w:t>152 kg</w:t>
            </w:r>
          </w:p>
        </w:tc>
        <w:tc>
          <w:tcPr>
            <w:tcW w:w="1276" w:type="dxa"/>
          </w:tcPr>
          <w:p w14:paraId="3D81CE83" w14:textId="77777777" w:rsidR="000E574A" w:rsidRPr="002A6E41" w:rsidRDefault="000E574A" w:rsidP="000E574A">
            <w:pPr>
              <w:spacing w:after="0"/>
              <w:jc w:val="center"/>
              <w:rPr>
                <w:sz w:val="18"/>
              </w:rPr>
            </w:pPr>
            <w:r>
              <w:rPr>
                <w:sz w:val="18"/>
              </w:rPr>
              <w:t>76 kg</w:t>
            </w:r>
          </w:p>
        </w:tc>
        <w:tc>
          <w:tcPr>
            <w:tcW w:w="1276" w:type="dxa"/>
            <w:shd w:val="clear" w:color="auto" w:fill="D6E3BC" w:themeFill="accent3" w:themeFillTint="66"/>
          </w:tcPr>
          <w:p w14:paraId="37DC3AA7" w14:textId="77777777" w:rsidR="000E574A" w:rsidRPr="002A6E41" w:rsidRDefault="000E574A" w:rsidP="000E574A">
            <w:pPr>
              <w:spacing w:after="0"/>
              <w:jc w:val="center"/>
              <w:rPr>
                <w:sz w:val="18"/>
              </w:rPr>
            </w:pPr>
            <w:r>
              <w:rPr>
                <w:sz w:val="18"/>
              </w:rPr>
              <w:t>76 kg</w:t>
            </w:r>
          </w:p>
        </w:tc>
        <w:tc>
          <w:tcPr>
            <w:tcW w:w="1275" w:type="dxa"/>
          </w:tcPr>
          <w:p w14:paraId="16C2E1F3" w14:textId="77777777" w:rsidR="000E574A" w:rsidRPr="002A6E41" w:rsidRDefault="000E574A" w:rsidP="000E574A">
            <w:pPr>
              <w:spacing w:after="0"/>
              <w:jc w:val="center"/>
              <w:rPr>
                <w:sz w:val="18"/>
              </w:rPr>
            </w:pPr>
            <w:r>
              <w:rPr>
                <w:sz w:val="18"/>
              </w:rPr>
              <w:t>76 kg</w:t>
            </w:r>
          </w:p>
        </w:tc>
        <w:tc>
          <w:tcPr>
            <w:tcW w:w="1134" w:type="dxa"/>
          </w:tcPr>
          <w:p w14:paraId="4D62F37B" w14:textId="77777777" w:rsidR="000E574A" w:rsidRPr="002A6E41" w:rsidRDefault="000E574A" w:rsidP="000E574A">
            <w:pPr>
              <w:spacing w:after="0"/>
              <w:jc w:val="center"/>
              <w:rPr>
                <w:sz w:val="18"/>
              </w:rPr>
            </w:pPr>
            <w:r>
              <w:rPr>
                <w:sz w:val="18"/>
              </w:rPr>
              <w:t>0 kg</w:t>
            </w:r>
          </w:p>
        </w:tc>
      </w:tr>
      <w:tr w:rsidR="000E574A" w:rsidRPr="002A6E41" w14:paraId="55A26916" w14:textId="77777777" w:rsidTr="000E574A">
        <w:tc>
          <w:tcPr>
            <w:tcW w:w="2864" w:type="dxa"/>
          </w:tcPr>
          <w:p w14:paraId="35B64B54" w14:textId="77777777" w:rsidR="000E574A" w:rsidRPr="002A6E41" w:rsidRDefault="000E574A" w:rsidP="000E574A">
            <w:pPr>
              <w:spacing w:after="0"/>
              <w:jc w:val="left"/>
              <w:rPr>
                <w:sz w:val="18"/>
              </w:rPr>
            </w:pPr>
            <w:r w:rsidRPr="002A6E41">
              <w:rPr>
                <w:sz w:val="18"/>
              </w:rPr>
              <w:t>Home composting</w:t>
            </w:r>
          </w:p>
        </w:tc>
        <w:tc>
          <w:tcPr>
            <w:tcW w:w="1355" w:type="dxa"/>
          </w:tcPr>
          <w:p w14:paraId="2D74AC49" w14:textId="77777777" w:rsidR="000E574A" w:rsidRPr="002A6E41" w:rsidRDefault="000E574A" w:rsidP="000E574A">
            <w:pPr>
              <w:spacing w:after="0"/>
              <w:jc w:val="center"/>
              <w:rPr>
                <w:sz w:val="18"/>
              </w:rPr>
            </w:pPr>
            <w:r>
              <w:rPr>
                <w:sz w:val="18"/>
              </w:rPr>
              <w:t>152 kg</w:t>
            </w:r>
          </w:p>
        </w:tc>
        <w:tc>
          <w:tcPr>
            <w:tcW w:w="1276" w:type="dxa"/>
          </w:tcPr>
          <w:p w14:paraId="70022D08" w14:textId="77777777" w:rsidR="000E574A" w:rsidRPr="002A6E41" w:rsidRDefault="000E574A" w:rsidP="000E574A">
            <w:pPr>
              <w:spacing w:after="0"/>
              <w:jc w:val="center"/>
              <w:rPr>
                <w:sz w:val="18"/>
              </w:rPr>
            </w:pPr>
            <w:r>
              <w:rPr>
                <w:sz w:val="18"/>
              </w:rPr>
              <w:t>76 kg</w:t>
            </w:r>
          </w:p>
        </w:tc>
        <w:tc>
          <w:tcPr>
            <w:tcW w:w="1276" w:type="dxa"/>
            <w:shd w:val="clear" w:color="auto" w:fill="D6E3BC" w:themeFill="accent3" w:themeFillTint="66"/>
          </w:tcPr>
          <w:p w14:paraId="1E8674CF" w14:textId="77777777" w:rsidR="000E574A" w:rsidRPr="002A6E41" w:rsidRDefault="000E574A" w:rsidP="000E574A">
            <w:pPr>
              <w:spacing w:after="0"/>
              <w:jc w:val="center"/>
              <w:rPr>
                <w:sz w:val="18"/>
              </w:rPr>
            </w:pPr>
            <w:r>
              <w:rPr>
                <w:sz w:val="18"/>
              </w:rPr>
              <w:t>76 kg</w:t>
            </w:r>
          </w:p>
        </w:tc>
        <w:tc>
          <w:tcPr>
            <w:tcW w:w="1275" w:type="dxa"/>
          </w:tcPr>
          <w:p w14:paraId="273BE811" w14:textId="77777777" w:rsidR="000E574A" w:rsidRPr="002A6E41" w:rsidRDefault="000E574A" w:rsidP="000E574A">
            <w:pPr>
              <w:spacing w:after="0"/>
              <w:jc w:val="center"/>
              <w:rPr>
                <w:sz w:val="18"/>
              </w:rPr>
            </w:pPr>
            <w:r>
              <w:rPr>
                <w:sz w:val="18"/>
              </w:rPr>
              <w:t>76 kg</w:t>
            </w:r>
          </w:p>
        </w:tc>
        <w:tc>
          <w:tcPr>
            <w:tcW w:w="1134" w:type="dxa"/>
          </w:tcPr>
          <w:p w14:paraId="404296DD" w14:textId="77777777" w:rsidR="000E574A" w:rsidRPr="002A6E41" w:rsidRDefault="000E574A" w:rsidP="000E574A">
            <w:pPr>
              <w:spacing w:after="0"/>
              <w:jc w:val="center"/>
              <w:rPr>
                <w:sz w:val="18"/>
              </w:rPr>
            </w:pPr>
            <w:r>
              <w:rPr>
                <w:sz w:val="18"/>
              </w:rPr>
              <w:t>0 kg</w:t>
            </w:r>
          </w:p>
        </w:tc>
      </w:tr>
    </w:tbl>
    <w:p w14:paraId="4411797C" w14:textId="77777777" w:rsidR="00D00266" w:rsidRDefault="00D00266" w:rsidP="00D00266"/>
    <w:p w14:paraId="3D04A212" w14:textId="16CF1800" w:rsidR="00F80539" w:rsidRDefault="00E139FB" w:rsidP="00D37956">
      <w:pPr>
        <w:rPr>
          <w:lang w:eastAsia="x-none"/>
        </w:rPr>
      </w:pPr>
      <w:r>
        <w:rPr>
          <w:lang w:eastAsia="x-none"/>
        </w:rPr>
        <w:t xml:space="preserve">A full discussion of the treatment of garden and green waste </w:t>
      </w:r>
      <w:r w:rsidR="00F37C00">
        <w:rPr>
          <w:lang w:eastAsia="x-none"/>
        </w:rPr>
        <w:t xml:space="preserve">is included in </w:t>
      </w:r>
      <w:r w:rsidR="00F37C00">
        <w:rPr>
          <w:lang w:eastAsia="x-none"/>
        </w:rPr>
        <w:fldChar w:fldCharType="begin"/>
      </w:r>
      <w:r w:rsidR="00F37C00">
        <w:rPr>
          <w:lang w:eastAsia="x-none"/>
        </w:rPr>
        <w:instrText xml:space="preserve"> REF _Ref360560152 \h </w:instrText>
      </w:r>
      <w:r w:rsidR="00F37C00">
        <w:rPr>
          <w:lang w:eastAsia="x-none"/>
        </w:rPr>
      </w:r>
      <w:r w:rsidR="00F37C00">
        <w:rPr>
          <w:lang w:eastAsia="x-none"/>
        </w:rPr>
        <w:fldChar w:fldCharType="separate"/>
      </w:r>
      <w:r w:rsidR="00564E5C">
        <w:t>Appendix B – Inventory Report</w:t>
      </w:r>
      <w:r w:rsidR="00F37C00">
        <w:rPr>
          <w:lang w:eastAsia="x-none"/>
        </w:rPr>
        <w:fldChar w:fldCharType="end"/>
      </w:r>
      <w:r w:rsidR="00F37C00">
        <w:rPr>
          <w:lang w:eastAsia="x-none"/>
        </w:rPr>
        <w:t>.</w:t>
      </w:r>
    </w:p>
    <w:p w14:paraId="116E7C24" w14:textId="42AB190C" w:rsidR="00523D20" w:rsidRDefault="008B345F" w:rsidP="00523D20">
      <w:pPr>
        <w:pStyle w:val="Heading3"/>
        <w:rPr>
          <w:lang w:val="en-AU"/>
        </w:rPr>
      </w:pPr>
      <w:bookmarkStart w:id="139" w:name="_Ref362988746"/>
      <w:bookmarkStart w:id="140" w:name="_Toc433964555"/>
      <w:r>
        <w:rPr>
          <w:lang w:val="en-AU"/>
        </w:rPr>
        <w:t>Treatment of</w:t>
      </w:r>
      <w:r w:rsidR="00523D20">
        <w:t xml:space="preserve"> waste paper</w:t>
      </w:r>
      <w:bookmarkEnd w:id="139"/>
      <w:bookmarkEnd w:id="140"/>
    </w:p>
    <w:p w14:paraId="1CA8B760" w14:textId="0093B1F5" w:rsidR="00A3704E" w:rsidRDefault="00A3704E" w:rsidP="00A3704E">
      <w:r>
        <w:t xml:space="preserve">In a national study of post-consumer packaging recycling infrastructure, </w:t>
      </w:r>
      <w:r>
        <w:fldChar w:fldCharType="begin"/>
      </w:r>
      <w:r w:rsidR="00F40CE2">
        <w:instrText xml:space="preserve"> ADDIN EN.CITE &lt;EndNote&gt;&lt;Cite&gt;&lt;Author&gt;Allan&lt;/Author&gt;&lt;Year&gt;2013&lt;/Year&gt;&lt;RecNum&gt;611&lt;/RecNum&gt;&lt;DisplayText&gt;(Allan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r w:rsidR="00F40CE2">
        <w:rPr>
          <w:noProof/>
        </w:rPr>
        <w:t>(</w:t>
      </w:r>
      <w:hyperlink w:anchor="_ENREF_5" w:tooltip="Allan, 2013 #611" w:history="1">
        <w:r w:rsidR="00F40CE2">
          <w:rPr>
            <w:noProof/>
          </w:rPr>
          <w:t>Allan and A’Vard, 2013</w:t>
        </w:r>
      </w:hyperlink>
      <w:r w:rsidR="00F40CE2">
        <w:rPr>
          <w:noProof/>
        </w:rPr>
        <w:t>)</w:t>
      </w:r>
      <w:r>
        <w:fldChar w:fldCharType="end"/>
      </w:r>
      <w:r>
        <w:t xml:space="preserve"> states that 56% of waste paper collected from residential sources would be recycled in Australia and that 44% would most likely be reprocessed in China.</w:t>
      </w:r>
    </w:p>
    <w:p w14:paraId="513F68CA" w14:textId="4C78F740" w:rsidR="008B345F" w:rsidRDefault="008B345F" w:rsidP="00A3704E">
      <w:r>
        <w:t xml:space="preserve">This waste paper treatment inventory addresses processing waste paper and cardboard into recycled paper products (corrugated board and linerboard). It also considers the production of these products using pulp derived from forests. A single product that utilises waste paper collected from the kerbside is considered: industrial packaging paper. Newsprint production is not addressed as waste paper from </w:t>
      </w:r>
      <w:r>
        <w:lastRenderedPageBreak/>
        <w:t xml:space="preserve">the kerbside stream </w:t>
      </w:r>
      <w:r w:rsidR="00BB056D">
        <w:t xml:space="preserve">is no longer used in its production </w:t>
      </w:r>
      <w:r>
        <w:t>(this is a change from the previous study).</w:t>
      </w:r>
    </w:p>
    <w:p w14:paraId="08A3FB15" w14:textId="559A21E8" w:rsidR="008B345F" w:rsidRDefault="008B345F" w:rsidP="008B345F">
      <w:r>
        <w:t>Within the Recycling System, packaging paper products are produced from 100% waste paper fibre sources, and within the Alternative System, packaging paper products are produced from 100% forest fibre sources. In reality both products are typically produced from a mix of waste paper and forest fibre, so production inventories have been adjusted to reflect this change.</w:t>
      </w:r>
    </w:p>
    <w:p w14:paraId="20CD95C4" w14:textId="77777777" w:rsidR="008B345F" w:rsidRDefault="008B345F" w:rsidP="008B345F">
      <w:pPr>
        <w:pStyle w:val="Heading4"/>
      </w:pPr>
      <w:r>
        <w:t>The Recycling System</w:t>
      </w:r>
    </w:p>
    <w:p w14:paraId="129FFA1A" w14:textId="5D945840" w:rsidR="008B345F" w:rsidRDefault="008B345F" w:rsidP="008B345F">
      <w:r>
        <w:t xml:space="preserve">The inventory developed seeks to represent the reprocessing of waste paper generated in Victoria by tracing two key reprocessing pathways. Dating to 2002/3, the </w:t>
      </w:r>
      <w:r>
        <w:fldChar w:fldCharType="begin"/>
      </w:r>
      <w:r w:rsidR="00F40CE2">
        <w:instrText xml:space="preserve"> ADDIN EN.CITE &lt;EndNote&gt;&lt;Cite&gt;&lt;Author&gt;A3P&lt;/Author&gt;&lt;Year&gt;2005&lt;/Year&gt;&lt;RecNum&gt;647&lt;/RecNum&gt;&lt;DisplayText&gt;(A3P, 2005)&lt;/DisplayText&gt;&lt;record&gt;&lt;rec-number&gt;647&lt;/rec-number&gt;&lt;foreign-keys&gt;&lt;key app="EN" db-id="tfpv5staxsvs2nexzpp5taewzsvpx0er5fap"&gt;647&lt;/key&gt;&lt;/foreign-keys&gt;&lt;ref-type name="Report"&gt;27&lt;/ref-type&gt;&lt;contributors&gt;&lt;authors&gt;&lt;author&gt;A3P,&lt;/author&gt;&lt;/authors&gt;&lt;/contributors&gt;&lt;titles&gt;&lt;title&gt;Australian Paper Industry Production Statistics 2003-04&lt;/title&gt;&lt;/titles&gt;&lt;dates&gt;&lt;year&gt;2005&lt;/year&gt;&lt;/dates&gt;&lt;urls&gt;&lt;/urls&gt;&lt;/record&gt;&lt;/Cite&gt;&lt;/EndNote&gt;</w:instrText>
      </w:r>
      <w:r>
        <w:fldChar w:fldCharType="separate"/>
      </w:r>
      <w:r w:rsidR="00F40CE2">
        <w:rPr>
          <w:noProof/>
        </w:rPr>
        <w:t>(</w:t>
      </w:r>
      <w:hyperlink w:anchor="_ENREF_1" w:tooltip="A3P, 2005 #647" w:history="1">
        <w:r w:rsidR="00F40CE2">
          <w:rPr>
            <w:noProof/>
          </w:rPr>
          <w:t>A3P, 2005</w:t>
        </w:r>
      </w:hyperlink>
      <w:r w:rsidR="00F40CE2">
        <w:rPr>
          <w:noProof/>
        </w:rPr>
        <w:t>)</w:t>
      </w:r>
      <w:r>
        <w:fldChar w:fldCharType="end"/>
      </w:r>
      <w:r>
        <w:t xml:space="preserve"> data indicates that industrial and packaging paper manufacturing utilises 87% of waste paper utilised in Australia and newsprint production utilises 10%. Discussions with </w:t>
      </w:r>
      <w:r w:rsidR="00BB056D">
        <w:t>newsprint producers indicate that</w:t>
      </w:r>
      <w:r>
        <w:t xml:space="preserve"> waste paper is no longer utilised from kerbside sources so this reprocessing pathway is excluded.</w:t>
      </w:r>
    </w:p>
    <w:p w14:paraId="1E4A6946" w14:textId="17348260" w:rsidR="008B345F" w:rsidRDefault="008B345F" w:rsidP="008B345F">
      <w:r>
        <w:t xml:space="preserve">Packaging paper includes corrugated cardboard which is produced at Amcor’s Botany facility from 100% waste paper feedstock. Botany is likely to be a large user of Victoria’s waste paper as it is relatively close to the state. The process employed is also indicative of other likely reprocessing facilities such as Visy’s linerboard plant at Coolaroo. For these reason’s the Botany plant is used as the basis for the packaging paper reprocessing inventory </w:t>
      </w:r>
      <w:r>
        <w:fldChar w:fldCharType="begin"/>
      </w:r>
      <w:r w:rsidR="00F40CE2">
        <w:instrText xml:space="preserve"> ADDIN EN.CITE &lt;EndNote&gt;&lt;Cite&gt;&lt;Author&gt;SKM&lt;/Author&gt;&lt;Year&gt;2006&lt;/Year&gt;&lt;RecNum&gt;640&lt;/RecNum&gt;&lt;DisplayText&gt;(SKM, 2006)&lt;/DisplayText&gt;&lt;record&gt;&lt;rec-number&gt;640&lt;/rec-number&gt;&lt;foreign-keys&gt;&lt;key app="EN" db-id="tfpv5staxsvs2nexzpp5taewzsvpx0er5fap"&gt;640&lt;/key&gt;&lt;/foreign-keys&gt;&lt;ref-type name="Report"&gt;27&lt;/ref-type&gt;&lt;contributors&gt;&lt;authors&gt;&lt;author&gt;SKM,&lt;/author&gt;&lt;/authors&gt;&lt;/contributors&gt;&lt;titles&gt;&lt;title&gt;New Botany Paper Mill Project B9 - ENVIRONMENTAL ASSESSMENT REPORT &lt;/title&gt;&lt;/titles&gt;&lt;dates&gt;&lt;year&gt;2006&lt;/year&gt;&lt;/dates&gt;&lt;pub-location&gt;St Leonards&lt;/pub-location&gt;&lt;urls&gt;&lt;/urls&gt;&lt;/record&gt;&lt;/Cite&gt;&lt;/EndNote&gt;</w:instrText>
      </w:r>
      <w:r>
        <w:fldChar w:fldCharType="separate"/>
      </w:r>
      <w:r w:rsidR="00F40CE2">
        <w:rPr>
          <w:noProof/>
        </w:rPr>
        <w:t>(</w:t>
      </w:r>
      <w:hyperlink w:anchor="_ENREF_71" w:tooltip="SKM, 2006 #640" w:history="1">
        <w:r w:rsidR="00F40CE2">
          <w:rPr>
            <w:noProof/>
          </w:rPr>
          <w:t>SKM, 2006</w:t>
        </w:r>
      </w:hyperlink>
      <w:r w:rsidR="00F40CE2">
        <w:rPr>
          <w:noProof/>
        </w:rPr>
        <w:t>)</w:t>
      </w:r>
      <w:r>
        <w:fldChar w:fldCharType="end"/>
      </w:r>
      <w:r>
        <w:t xml:space="preserve">. This inventory is complemented by data for Wellenstoff production </w:t>
      </w:r>
      <w:r>
        <w:fldChar w:fldCharType="begin"/>
      </w:r>
      <w:r w:rsidR="00F40CE2">
        <w:instrText xml:space="preserve"> ADDIN EN.CITE &lt;EndNote&gt;&lt;Cite&gt;&lt;Author&gt;FEFCO&lt;/Author&gt;&lt;Year&gt;2013&lt;/Year&gt;&lt;RecNum&gt;643&lt;/RecNum&gt;&lt;DisplayText&gt;(FEFCO, 2013)&lt;/DisplayText&gt;&lt;record&gt;&lt;rec-number&gt;643&lt;/rec-number&gt;&lt;foreign-keys&gt;&lt;key app="EN" db-id="tfpv5staxsvs2nexzpp5taewzsvpx0er5fap"&gt;643&lt;/key&gt;&lt;/foreign-keys&gt;&lt;ref-type name="Report"&gt;27&lt;/ref-type&gt;&lt;contributors&gt;&lt;authors&gt;&lt;author&gt;FEFCO,&lt;/author&gt;&lt;/authors&gt;&lt;/contributors&gt;&lt;titles&gt;&lt;title&gt;European Database for Corrugated Board Life Cycle Studies - 2012&lt;/title&gt;&lt;/titles&gt;&lt;dates&gt;&lt;year&gt;2013&lt;/year&gt;&lt;/dates&gt;&lt;pub-location&gt;Brussels&lt;/pub-location&gt;&lt;publisher&gt;Cepi Container Board&lt;/publisher&gt;&lt;urls&gt;&lt;/urls&gt;&lt;/record&gt;&lt;/Cite&gt;&lt;/EndNote&gt;</w:instrText>
      </w:r>
      <w:r>
        <w:fldChar w:fldCharType="separate"/>
      </w:r>
      <w:r w:rsidR="00F40CE2">
        <w:rPr>
          <w:noProof/>
        </w:rPr>
        <w:t>(</w:t>
      </w:r>
      <w:hyperlink w:anchor="_ENREF_24" w:tooltip="FEFCO, 2013 #643" w:history="1">
        <w:r w:rsidR="00F40CE2">
          <w:rPr>
            <w:noProof/>
          </w:rPr>
          <w:t>FEFCO, 2013</w:t>
        </w:r>
      </w:hyperlink>
      <w:r w:rsidR="00F40CE2">
        <w:rPr>
          <w:noProof/>
        </w:rPr>
        <w:t>)</w:t>
      </w:r>
      <w:r>
        <w:fldChar w:fldCharType="end"/>
      </w:r>
      <w:r>
        <w:t>, which is also produced from 100% waste paper and is commonly used in corrugate production. Transportation is weighted 50% to Botany and 50% to Coolaroo, reflecting the likely Victoria to NSW spilt in reprocessing activity.</w:t>
      </w:r>
    </w:p>
    <w:p w14:paraId="27B57441" w14:textId="6E739699" w:rsidR="008B345F" w:rsidRDefault="008B345F" w:rsidP="008B345F">
      <w:r>
        <w:t>The Recycling System inventory includes both the packaging paper inventory described above as well as an equivalent inventory for packaging paper production in China. The inventory is similar to that for Australia however energy sources have been adjusted to reflect a preference for coal in plac</w:t>
      </w:r>
      <w:r w:rsidR="00BB056D">
        <w:t>e of natural gas</w:t>
      </w:r>
      <w:r>
        <w:t xml:space="preserve"> and differing electricity supply systems. A portion of waste paper, in accordance with </w:t>
      </w:r>
      <w:r>
        <w:fldChar w:fldCharType="begin"/>
      </w:r>
      <w:r w:rsidR="00BB056D">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sidR="00BB056D">
        <w:rPr>
          <w:noProof/>
        </w:rPr>
        <w:t>)</w:t>
      </w:r>
      <w:r>
        <w:fldChar w:fldCharType="end"/>
      </w:r>
      <w:r>
        <w:t xml:space="preserve"> is transported to China by container ship and truck for processing in Shandong Province.</w:t>
      </w:r>
    </w:p>
    <w:p w14:paraId="7739A293" w14:textId="77777777" w:rsidR="008B345F" w:rsidRDefault="008B345F" w:rsidP="008B345F">
      <w:r>
        <w:t>The outputs of the Recycling System include packaging paper in Australia and in China. For the Alternative System, inventories were developed for packaging paper products produced from forest fibre.</w:t>
      </w:r>
    </w:p>
    <w:p w14:paraId="163ABA1B" w14:textId="77777777" w:rsidR="008B345F" w:rsidRDefault="008B345F" w:rsidP="008B345F">
      <w:pPr>
        <w:pStyle w:val="Heading4"/>
      </w:pPr>
      <w:bookmarkStart w:id="141" w:name="_Toc361755283"/>
      <w:r>
        <w:t>The Alternative System</w:t>
      </w:r>
      <w:bookmarkEnd w:id="141"/>
    </w:p>
    <w:p w14:paraId="6602680F" w14:textId="4F26F103" w:rsidR="008B345F" w:rsidRDefault="008B345F" w:rsidP="008B345F">
      <w:r>
        <w:t xml:space="preserve">The </w:t>
      </w:r>
      <w:r w:rsidR="00B27210">
        <w:t xml:space="preserve">packaging paper output of the </w:t>
      </w:r>
      <w:r>
        <w:t>Recycling System is produced in the Alternative System from fibre sourced from plantation pine forest. The production processes utilised are different, reflecting the different processing needs of fibre sourced from trees.</w:t>
      </w:r>
    </w:p>
    <w:p w14:paraId="055F07E1" w14:textId="19DCD103" w:rsidR="008B345F" w:rsidRDefault="008B345F" w:rsidP="008B345F">
      <w:r>
        <w:t xml:space="preserve">Packaging paper production is produced in large quantities at Visy’s Tumut mill in NSW using the kraft or sulphate pulp process. This production inventory for this facility is based upon data reported </w:t>
      </w:r>
      <w:r w:rsidR="00487C1B">
        <w:t>by</w:t>
      </w:r>
      <w:r>
        <w:t xml:space="preserve"> </w:t>
      </w:r>
      <w:r>
        <w:fldChar w:fldCharType="begin"/>
      </w:r>
      <w:r w:rsidR="00487C1B">
        <w:instrText xml:space="preserve"> ADDIN EN.CITE &lt;EndNote&gt;&lt;Cite AuthorYear="1"&gt;&lt;Author&gt;Advitech&lt;/Author&gt;&lt;Year&gt;2013&lt;/Year&gt;&lt;RecNum&gt;651&lt;/RecNum&gt;&lt;DisplayText&gt;Advitech (2013)&lt;/DisplayText&gt;&lt;record&gt;&lt;rec-number&gt;651&lt;/rec-number&gt;&lt;foreign-keys&gt;&lt;key app="EN" db-id="tfpv5staxsvs2nexzpp5taewzsvpx0er5fap"&gt;651&lt;/key&gt;&lt;/foreign-keys&gt;&lt;ref-type name="Report"&gt;27&lt;/ref-type&gt;&lt;contributors&gt;&lt;authors&gt;&lt;author&gt;Advitech,&lt;/author&gt;&lt;/authors&gt;&lt;/contributors&gt;&lt;titles&gt;&lt;title&gt;Environmental Compliance Audit - 2012 - Tumut Facility&lt;/title&gt;&lt;/titles&gt;&lt;dates&gt;&lt;year&gt;2013&lt;/year&gt;&lt;/dates&gt;&lt;pub-location&gt;Mayfield&lt;/pub-location&gt;&lt;publisher&gt;Advitech Pty Ltd&lt;/publisher&gt;&lt;urls&gt;&lt;/urls&gt;&lt;/record&gt;&lt;/Cite&gt;&lt;/EndNote&gt;</w:instrText>
      </w:r>
      <w:r>
        <w:fldChar w:fldCharType="separate"/>
      </w:r>
      <w:hyperlink w:anchor="_ENREF_3" w:tooltip="Advitech, 2013 #651" w:history="1">
        <w:r w:rsidR="00F40CE2">
          <w:rPr>
            <w:noProof/>
          </w:rPr>
          <w:t>Advitech (2013</w:t>
        </w:r>
      </w:hyperlink>
      <w:r w:rsidR="00487C1B">
        <w:rPr>
          <w:noProof/>
        </w:rPr>
        <w:t>)</w:t>
      </w:r>
      <w:r>
        <w:fldChar w:fldCharType="end"/>
      </w:r>
      <w:r>
        <w:t>, and FEFCO data for kraftliner production is used to complete the inventory.</w:t>
      </w:r>
    </w:p>
    <w:p w14:paraId="29BE02F4" w14:textId="7DE1ADDD" w:rsidR="008B345F" w:rsidRDefault="008B345F" w:rsidP="008B345F">
      <w:r>
        <w:t>For packaging paper production in China, the paper is assumed to be produced from Chinese forest fibre using an identical process to that used in Australia, with th</w:t>
      </w:r>
      <w:r w:rsidR="00B27210">
        <w:t>e exception that coal is used as</w:t>
      </w:r>
      <w:r>
        <w:t xml:space="preserve"> the heat source in place of natural gas.</w:t>
      </w:r>
    </w:p>
    <w:p w14:paraId="72BD5B5E" w14:textId="2234444B" w:rsidR="007B3C4C" w:rsidRDefault="007B3C4C" w:rsidP="007B3C4C">
      <w:r>
        <w:t xml:space="preserve">A comparison of the treatment of one tonne of waste paper under the Recycling System and the Alternative System utilising he inventory described above is shown in </w:t>
      </w:r>
      <w:r>
        <w:fldChar w:fldCharType="begin"/>
      </w:r>
      <w:r>
        <w:instrText xml:space="preserve"> REF _Ref360195875 \h </w:instrText>
      </w:r>
      <w:r>
        <w:fldChar w:fldCharType="separate"/>
      </w:r>
      <w:r w:rsidR="00564E5C">
        <w:t xml:space="preserve">Table </w:t>
      </w:r>
      <w:r w:rsidR="00564E5C">
        <w:rPr>
          <w:noProof/>
        </w:rPr>
        <w:t>33</w:t>
      </w:r>
      <w:r>
        <w:fldChar w:fldCharType="end"/>
      </w:r>
      <w:r>
        <w:t>.</w:t>
      </w:r>
    </w:p>
    <w:p w14:paraId="50C6AB46" w14:textId="13399099" w:rsidR="00B27210" w:rsidRDefault="00B27210" w:rsidP="00523D20">
      <w:pPr>
        <w:pStyle w:val="Heading3"/>
        <w:rPr>
          <w:lang w:val="en-AU"/>
        </w:rPr>
      </w:pPr>
      <w:bookmarkStart w:id="142" w:name="_Toc433964556"/>
      <w:r>
        <w:rPr>
          <w:lang w:val="en-AU"/>
        </w:rPr>
        <w:t>Treatment of waste glass</w:t>
      </w:r>
      <w:bookmarkEnd w:id="142"/>
    </w:p>
    <w:p w14:paraId="3435F93B" w14:textId="622C7F87" w:rsidR="0053401F" w:rsidRDefault="0053401F" w:rsidP="0053401F">
      <w:r>
        <w:t xml:space="preserve">In Victoria, glass is reprocessed using two principle approaches depending upon the quality of the glass recovered. If the glass is sorted by colour and contaminants such as ceramics removed, it can be used in packaging glass production at a number of facilities nationally, one of which is located in Melbourne (Owens Illinois, Spotswood). If the glass is too small to be sorted (sorting capability in Victoria is approximately 6mm </w:t>
      </w:r>
      <w:r>
        <w:fldChar w:fldCharType="begin"/>
      </w:r>
      <w:r w:rsidR="00F40CE2">
        <w:instrText xml:space="preserve"> ADDIN EN.CITE &lt;EndNote&gt;&lt;Cite&gt;&lt;Author&gt;Visy Recycling&lt;/Author&gt;&lt;Year&gt;2013&lt;/Year&gt;&lt;RecNum&gt;656&lt;/RecNum&gt;&lt;DisplayText&gt;(Visy Recycling, 2013)&lt;/DisplayText&gt;&lt;record&gt;&lt;rec-number&gt;656&lt;/rec-number&gt;&lt;foreign-keys&gt;&lt;key app="EN" db-id="tfpv5staxsvs2nexzpp5taewzsvpx0er5fap"&gt;656&lt;/key&gt;&lt;/foreign-keys&gt;&lt;ref-type name="Web Page"&gt;12&lt;/ref-type&gt;&lt;contributors&gt;&lt;authors&gt;&lt;author&gt;Visy Recycling,&lt;/author&gt;&lt;/authors&gt;&lt;/contributors&gt;&lt;titles&gt;&lt;title&gt;Australia&amp;apos;s most sophisticated glass recycling plant&lt;/title&gt;&lt;/titles&gt;&lt;volume&gt;2013&lt;/volume&gt;&lt;number&gt;3 June&lt;/number&gt;&lt;dates&gt;&lt;year&gt;2013&lt;/year&gt;&lt;/dates&gt;&lt;publisher&gt;Visy Recycling&lt;/publisher&gt;&lt;urls&gt;&lt;related-urls&gt;&lt;url&gt;http://test.visy.com.au/recycling/?id=182&lt;/url&gt;&lt;/related-urls&gt;&lt;/urls&gt;&lt;/record&gt;&lt;/Cite&gt;&lt;/EndNote&gt;</w:instrText>
      </w:r>
      <w:r>
        <w:fldChar w:fldCharType="separate"/>
      </w:r>
      <w:r w:rsidR="00F40CE2">
        <w:rPr>
          <w:noProof/>
        </w:rPr>
        <w:t>(</w:t>
      </w:r>
      <w:hyperlink w:anchor="_ENREF_82" w:tooltip="Visy Recycling, 2013 #656" w:history="1">
        <w:r w:rsidR="00F40CE2">
          <w:rPr>
            <w:noProof/>
          </w:rPr>
          <w:t>Visy Recycling, 2013</w:t>
        </w:r>
      </w:hyperlink>
      <w:r w:rsidR="00F40CE2">
        <w:rPr>
          <w:noProof/>
        </w:rPr>
        <w:t>)</w:t>
      </w:r>
      <w:r>
        <w:fldChar w:fldCharType="end"/>
      </w:r>
      <w:r>
        <w:t xml:space="preserve">), the glass cannot be used for packaging glass </w:t>
      </w:r>
      <w:r>
        <w:lastRenderedPageBreak/>
        <w:t xml:space="preserve">production so must be used in other applications. Applications for glass fines (smaller than 6 mm) include use in asphalt, as abrasives, as backfill when laying pipes, road base and in concrete </w:t>
      </w:r>
      <w:r>
        <w:fldChar w:fldCharType="begin"/>
      </w:r>
      <w:r w:rsidR="00F40CE2">
        <w:instrText xml:space="preserve"> ADDIN EN.CITE &lt;EndNote&gt;&lt;Cite&gt;&lt;Author&gt;APC Environmental Management&lt;/Author&gt;&lt;Year&gt;2006&lt;/Year&gt;&lt;RecNum&gt;624&lt;/RecNum&gt;&lt;DisplayText&gt;(APC Environmental Management, 2006)&lt;/DisplayText&gt;&lt;record&gt;&lt;rec-number&gt;624&lt;/rec-number&gt;&lt;foreign-keys&gt;&lt;key app="EN" db-id="tfpv5staxsvs2nexzpp5taewzsvpx0er5fap"&gt;624&lt;/key&gt;&lt;/foreign-keys&gt;&lt;ref-type name="Report"&gt;27&lt;/ref-type&gt;&lt;contributors&gt;&lt;authors&gt;&lt;author&gt;APC Environmental Management,&lt;/author&gt;&lt;/authors&gt;&lt;/contributors&gt;&lt;titles&gt;&lt;title&gt;Queensland Used Glass Sourcing Study&lt;/title&gt;&lt;/titles&gt;&lt;dates&gt;&lt;year&gt;2006&lt;/year&gt;&lt;/dates&gt;&lt;publisher&gt;Queensland EPA&lt;/publisher&gt;&lt;urls&gt;&lt;/urls&gt;&lt;/record&gt;&lt;/Cite&gt;&lt;/EndNote&gt;</w:instrText>
      </w:r>
      <w:r>
        <w:fldChar w:fldCharType="separate"/>
      </w:r>
      <w:r w:rsidR="00F40CE2">
        <w:rPr>
          <w:noProof/>
        </w:rPr>
        <w:t>(</w:t>
      </w:r>
      <w:hyperlink w:anchor="_ENREF_10" w:tooltip="APC Environmental Management, 2006 #624" w:history="1">
        <w:r w:rsidR="00F40CE2">
          <w:rPr>
            <w:noProof/>
          </w:rPr>
          <w:t>APC Environmental Management, 2006</w:t>
        </w:r>
      </w:hyperlink>
      <w:r w:rsidR="00F40CE2">
        <w:rPr>
          <w:noProof/>
        </w:rPr>
        <w:t>)</w:t>
      </w:r>
      <w:r>
        <w:fldChar w:fldCharType="end"/>
      </w:r>
      <w:r>
        <w:t>. Broadly, these applications could be described as ‘sand-substitute’.</w:t>
      </w:r>
    </w:p>
    <w:p w14:paraId="15A72753" w14:textId="533C7373" w:rsidR="0053401F" w:rsidRDefault="0053401F" w:rsidP="0053401F">
      <w:r>
        <w:t xml:space="preserve">Nationally, </w:t>
      </w:r>
      <w:r>
        <w:fldChar w:fldCharType="begin"/>
      </w:r>
      <w:r w:rsidR="00F40CE2">
        <w:instrText xml:space="preserve"> ADDIN EN.CITE &lt;EndNote&gt;&lt;Cite&gt;&lt;Author&gt;Allen Consulting Group.&lt;/Author&gt;&lt;Year&gt;2007&lt;/Year&gt;&lt;RecNum&gt;208&lt;/RecNum&gt;&lt;DisplayText&gt;(Allen Consulting Group., 2007)&lt;/DisplayText&gt;&lt;record&gt;&lt;rec-number&gt;208&lt;/rec-number&gt;&lt;foreign-keys&gt;&lt;key app="EN" db-id="tfpv5staxsvs2nexzpp5taewzsvpx0er5fap"&gt;208&lt;/key&gt;&lt;/foreign-keys&gt;&lt;ref-type name="Report"&gt;27&lt;/ref-type&gt;&lt;contributors&gt;&lt;authors&gt;&lt;author&gt;Allen Consulting Group.,&lt;/author&gt;&lt;/authors&gt;&lt;/contributors&gt;&lt;titles&gt;&lt;title&gt;Environmental Resource Efficiency Plans - Regulations 2007 - Regulatory Impact Statement&lt;/title&gt;&lt;/titles&gt;&lt;dates&gt;&lt;year&gt;2007&lt;/year&gt;&lt;/dates&gt;&lt;pub-location&gt;Melbourne&lt;/pub-location&gt;&lt;urls&gt;&lt;/urls&gt;&lt;/record&gt;&lt;/Cite&gt;&lt;/EndNote&gt;</w:instrText>
      </w:r>
      <w:r>
        <w:fldChar w:fldCharType="separate"/>
      </w:r>
      <w:r w:rsidR="00F40CE2">
        <w:rPr>
          <w:noProof/>
        </w:rPr>
        <w:t>(</w:t>
      </w:r>
      <w:hyperlink w:anchor="_ENREF_6" w:tooltip="Allen Consulting Group., 2007 #208" w:history="1">
        <w:r w:rsidR="00F40CE2">
          <w:rPr>
            <w:noProof/>
          </w:rPr>
          <w:t>Allen Consulting Group., 2007</w:t>
        </w:r>
      </w:hyperlink>
      <w:r w:rsidR="00F40CE2">
        <w:rPr>
          <w:noProof/>
        </w:rPr>
        <w:t>)</w:t>
      </w:r>
      <w:r>
        <w:fldChar w:fldCharType="end"/>
      </w:r>
      <w:r>
        <w:t xml:space="preserve"> states that cullet (recycled glass fragments) currently makes up 30% of packaging glass furnace feed, however this could be expanded to 60% if cullet quality is high. Markets for sand-substitute applications are noted to have expanded in recent years as applications have evolved </w:t>
      </w:r>
      <w:r>
        <w:fldChar w:fldCharType="begin"/>
      </w:r>
      <w:r w:rsidR="00F40CE2">
        <w:instrText xml:space="preserve"> ADDIN EN.CITE &lt;EndNote&gt;&lt;Cite&gt;&lt;Author&gt;Allen Consulting Group.&lt;/Author&gt;&lt;Year&gt;2007&lt;/Year&gt;&lt;RecNum&gt;208&lt;/RecNum&gt;&lt;DisplayText&gt;(Allen Consulting Group., 2007)&lt;/DisplayText&gt;&lt;record&gt;&lt;rec-number&gt;208&lt;/rec-number&gt;&lt;foreign-keys&gt;&lt;key app="EN" db-id="tfpv5staxsvs2nexzpp5taewzsvpx0er5fap"&gt;208&lt;/key&gt;&lt;/foreign-keys&gt;&lt;ref-type name="Report"&gt;27&lt;/ref-type&gt;&lt;contributors&gt;&lt;authors&gt;&lt;author&gt;Allen Consulting Group.,&lt;/author&gt;&lt;/authors&gt;&lt;/contributors&gt;&lt;titles&gt;&lt;title&gt;Environmental Resource Efficiency Plans - Regulations 2007 - Regulatory Impact Statement&lt;/title&gt;&lt;/titles&gt;&lt;dates&gt;&lt;year&gt;2007&lt;/year&gt;&lt;/dates&gt;&lt;pub-location&gt;Melbourne&lt;/pub-location&gt;&lt;urls&gt;&lt;/urls&gt;&lt;/record&gt;&lt;/Cite&gt;&lt;/EndNote&gt;</w:instrText>
      </w:r>
      <w:r>
        <w:fldChar w:fldCharType="separate"/>
      </w:r>
      <w:r w:rsidR="00F40CE2">
        <w:rPr>
          <w:noProof/>
        </w:rPr>
        <w:t>(</w:t>
      </w:r>
      <w:hyperlink w:anchor="_ENREF_6" w:tooltip="Allen Consulting Group., 2007 #208" w:history="1">
        <w:r w:rsidR="00F40CE2">
          <w:rPr>
            <w:noProof/>
          </w:rPr>
          <w:t>Allen Consulting Group., 2007</w:t>
        </w:r>
      </w:hyperlink>
      <w:r w:rsidR="00F40CE2">
        <w:rPr>
          <w:noProof/>
        </w:rPr>
        <w:t>)</w:t>
      </w:r>
      <w:r>
        <w:fldChar w:fldCharType="end"/>
      </w:r>
      <w:r>
        <w:t>.</w:t>
      </w:r>
    </w:p>
    <w:p w14:paraId="35B89628" w14:textId="6DFA93C7" w:rsidR="00B27210" w:rsidRDefault="00B27210" w:rsidP="00B27210">
      <w:r>
        <w:t>The inventory for glass reprocessing into packaging consists of a theoretical inventory for glass manufacture using 100% cullet feedstock and a theoretical inventory using 100% mineral feedstocks (0% cullet). Both have been created from an Ecoinvent inventory for glass bottle manufacture in Germany, utilising 69% cullet</w:t>
      </w:r>
      <w:r w:rsidR="00092CE5">
        <w:t xml:space="preserve"> (</w:t>
      </w:r>
      <w:r w:rsidR="00092CE5">
        <w:fldChar w:fldCharType="begin"/>
      </w:r>
      <w:r w:rsidR="00092CE5">
        <w:instrText xml:space="preserve"> REF _Ref362969015 \h </w:instrText>
      </w:r>
      <w:r w:rsidR="00092CE5">
        <w:fldChar w:fldCharType="separate"/>
      </w:r>
      <w:r w:rsidR="00564E5C">
        <w:t xml:space="preserve">Table </w:t>
      </w:r>
      <w:r w:rsidR="00564E5C">
        <w:rPr>
          <w:noProof/>
        </w:rPr>
        <w:t>23</w:t>
      </w:r>
      <w:r w:rsidR="00092CE5">
        <w:fldChar w:fldCharType="end"/>
      </w:r>
      <w:r w:rsidR="00092CE5">
        <w:t>)</w:t>
      </w:r>
      <w:r>
        <w:t xml:space="preserve">. </w:t>
      </w:r>
      <w:r w:rsidR="002B5D93">
        <w:t xml:space="preserve">Although an important study benchmark, the Australian inventory presented in the AUPLCI was found to be inconsistent with local industry data and international LCA’s, so was not used as the basis of this report. </w:t>
      </w:r>
      <w:r>
        <w:t xml:space="preserve">The energy and mineral feedstocks </w:t>
      </w:r>
      <w:r w:rsidR="00487C1B">
        <w:t xml:space="preserve">of the Ecoinvent inventory </w:t>
      </w:r>
      <w:r>
        <w:t xml:space="preserve">were </w:t>
      </w:r>
      <w:r w:rsidR="0053401F">
        <w:t xml:space="preserve">subsequently </w:t>
      </w:r>
      <w:r>
        <w:t xml:space="preserve">scaled to achieve the theoretical </w:t>
      </w:r>
      <w:r w:rsidR="0053401F">
        <w:t xml:space="preserve">0%/100% cullet </w:t>
      </w:r>
      <w:r>
        <w:t xml:space="preserve">inventories. Although perhaps unlikely to be produced, when used comparatively they allow the benefits of cullet utilisation in the glass batch to be quantified. </w:t>
      </w:r>
    </w:p>
    <w:p w14:paraId="05655733" w14:textId="77777777" w:rsidR="00B27210" w:rsidRDefault="00B27210" w:rsidP="00B27210">
      <w:r>
        <w:t>Scaling of raw materials was undertaken using the ratio of 1.2 kg feed material (soda ash, sand, dolomite and feldspar) added for every 1 kg of cullet removed from the production mix. In addition, for every 10% of cullet removed (from the baseline of 69%), heat from natural gas was increased by 2.5% (from a baseline of 3.89 MJ/kg glass). The reverse scaling exercise was undertaken for the 100% cullet inventory.</w:t>
      </w:r>
    </w:p>
    <w:p w14:paraId="1BCEEAC3" w14:textId="501C1AD4" w:rsidR="00B27210" w:rsidRDefault="00B27210" w:rsidP="00B27210">
      <w:r>
        <w:t xml:space="preserve">The result is two glass production inventories that may not be viable as extreme cases, but that when netted off against each other in the recycling benefit equation </w:t>
      </w:r>
      <w:r w:rsidR="00092CE5">
        <w:t>(</w:t>
      </w:r>
      <w:r w:rsidR="00092CE5">
        <w:fldChar w:fldCharType="begin"/>
      </w:r>
      <w:r w:rsidR="00092CE5">
        <w:instrText xml:space="preserve"> REF _Ref362720906 \h </w:instrText>
      </w:r>
      <w:r w:rsidR="00092CE5">
        <w:fldChar w:fldCharType="separate"/>
      </w:r>
      <w:r w:rsidR="00564E5C">
        <w:t xml:space="preserve">Figure </w:t>
      </w:r>
      <w:r w:rsidR="00564E5C">
        <w:rPr>
          <w:noProof/>
        </w:rPr>
        <w:t>9</w:t>
      </w:r>
      <w:r w:rsidR="00092CE5">
        <w:fldChar w:fldCharType="end"/>
      </w:r>
      <w:r w:rsidR="00092CE5">
        <w:t xml:space="preserve">) </w:t>
      </w:r>
      <w:r>
        <w:t>reflect the likely benefits from recycling for the range of cullet reprocessing rates considered in the study.</w:t>
      </w:r>
    </w:p>
    <w:p w14:paraId="606D823C" w14:textId="642A15AE" w:rsidR="00092CE5" w:rsidRDefault="00B27210" w:rsidP="00B27210">
      <w:r>
        <w:t>In addition to glass packaging reprocessing, glass fines reprocessing was also considered. A very simple inventory was developed for fines which were seen as a substitute for sand extracted from the environment.</w:t>
      </w:r>
    </w:p>
    <w:p w14:paraId="2DB542A0" w14:textId="59AD325B" w:rsidR="00092CE5" w:rsidRDefault="00092CE5" w:rsidP="00092CE5">
      <w:pPr>
        <w:pStyle w:val="Caption"/>
        <w:keepNext/>
      </w:pPr>
      <w:bookmarkStart w:id="143" w:name="_Ref362969015"/>
      <w:r>
        <w:lastRenderedPageBreak/>
        <w:t xml:space="preserve">Table </w:t>
      </w:r>
      <w:r w:rsidR="00FC7DE2">
        <w:fldChar w:fldCharType="begin"/>
      </w:r>
      <w:r w:rsidR="00FC7DE2">
        <w:instrText xml:space="preserve"> SEQ Table \* ARABIC </w:instrText>
      </w:r>
      <w:r w:rsidR="00FC7DE2">
        <w:fldChar w:fldCharType="separate"/>
      </w:r>
      <w:r w:rsidR="00564E5C">
        <w:rPr>
          <w:noProof/>
        </w:rPr>
        <w:t>23</w:t>
      </w:r>
      <w:r w:rsidR="00FC7DE2">
        <w:rPr>
          <w:noProof/>
        </w:rPr>
        <w:fldChar w:fldCharType="end"/>
      </w:r>
      <w:bookmarkEnd w:id="143"/>
      <w:r>
        <w:t xml:space="preserve"> Ecoinvent and AUPLCI container glass inventories (selected elements shown) for the production of 1 </w:t>
      </w:r>
      <w:r w:rsidR="00E82F90">
        <w:t>t</w:t>
      </w:r>
      <w:r>
        <w:t xml:space="preserve"> container glass.</w:t>
      </w:r>
    </w:p>
    <w:p w14:paraId="1DC9ADBF" w14:textId="3C785CE8" w:rsidR="00092CE5" w:rsidRDefault="00EA17E2" w:rsidP="00092CE5">
      <w:r w:rsidRPr="00EA17E2">
        <w:rPr>
          <w:noProof/>
        </w:rPr>
        <w:drawing>
          <wp:inline distT="0" distB="0" distL="0" distR="0" wp14:anchorId="05BD791E" wp14:editId="2453C34E">
            <wp:extent cx="4346575" cy="4217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6575" cy="4217035"/>
                    </a:xfrm>
                    <a:prstGeom prst="rect">
                      <a:avLst/>
                    </a:prstGeom>
                    <a:noFill/>
                    <a:ln>
                      <a:noFill/>
                    </a:ln>
                  </pic:spPr>
                </pic:pic>
              </a:graphicData>
            </a:graphic>
          </wp:inline>
        </w:drawing>
      </w:r>
    </w:p>
    <w:p w14:paraId="4FC3E683" w14:textId="26C35D3B" w:rsidR="007B3C4C" w:rsidRDefault="007B3C4C" w:rsidP="007B3C4C">
      <w:r>
        <w:t xml:space="preserve">A comparison of the treatment of one tonne of waste glass under the Recycling System and the Alternative System utilising he inventory described above is shown in </w:t>
      </w:r>
      <w:r>
        <w:fldChar w:fldCharType="begin"/>
      </w:r>
      <w:r>
        <w:instrText xml:space="preserve"> REF _Ref360195871 \h </w:instrText>
      </w:r>
      <w:r>
        <w:fldChar w:fldCharType="separate"/>
      </w:r>
      <w:r w:rsidR="00564E5C">
        <w:t xml:space="preserve">Table </w:t>
      </w:r>
      <w:r w:rsidR="00564E5C">
        <w:rPr>
          <w:noProof/>
        </w:rPr>
        <w:t>32</w:t>
      </w:r>
      <w:r>
        <w:fldChar w:fldCharType="end"/>
      </w:r>
      <w:r>
        <w:t>.</w:t>
      </w:r>
    </w:p>
    <w:p w14:paraId="569D1C89" w14:textId="5D80900F" w:rsidR="00523D20" w:rsidRDefault="005A045C" w:rsidP="00523D20">
      <w:pPr>
        <w:pStyle w:val="Heading3"/>
        <w:rPr>
          <w:lang w:val="en-AU"/>
        </w:rPr>
      </w:pPr>
      <w:bookmarkStart w:id="144" w:name="_Toc433964557"/>
      <w:r>
        <w:rPr>
          <w:lang w:val="en-AU"/>
        </w:rPr>
        <w:t>Treatment of waste</w:t>
      </w:r>
      <w:r w:rsidR="00523D20">
        <w:t xml:space="preserve"> aluminium cans</w:t>
      </w:r>
      <w:bookmarkEnd w:id="144"/>
    </w:p>
    <w:p w14:paraId="11662EE0" w14:textId="2459FBD8" w:rsidR="00DC1CAE" w:rsidRDefault="00DC1CAE" w:rsidP="00DC1CAE">
      <w:r>
        <w:t xml:space="preserve">In a national study of post-consumer packaging recycling infrastructure, </w:t>
      </w:r>
      <w:r>
        <w:fldChar w:fldCharType="begin"/>
      </w:r>
      <w:r w:rsidR="00F40CE2">
        <w:instrText xml:space="preserve"> ADDIN EN.CITE &lt;EndNote&gt;&lt;Cite&gt;&lt;Author&gt;Allan&lt;/Author&gt;&lt;Year&gt;2013&lt;/Year&gt;&lt;RecNum&gt;611&lt;/RecNum&gt;&lt;DisplayText&gt;(Allan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r w:rsidR="00F40CE2">
        <w:rPr>
          <w:noProof/>
        </w:rPr>
        <w:t>(</w:t>
      </w:r>
      <w:hyperlink w:anchor="_ENREF_5" w:tooltip="Allan, 2013 #611" w:history="1">
        <w:r w:rsidR="00F40CE2">
          <w:rPr>
            <w:noProof/>
          </w:rPr>
          <w:t>Allan and A’Vard, 2013</w:t>
        </w:r>
      </w:hyperlink>
      <w:r w:rsidR="00F40CE2">
        <w:rPr>
          <w:noProof/>
        </w:rPr>
        <w:t>)</w:t>
      </w:r>
      <w:r>
        <w:fldChar w:fldCharType="end"/>
      </w:r>
      <w:r>
        <w:t xml:space="preserve"> states that 48% of aluminium collected from residential sources would be recycled by Alcoa in Yennora, NSW and that 52% would most likely be reprocessed in Korea. The inventory developed therefore addresses both a local and international reprocessing pathway.</w:t>
      </w:r>
    </w:p>
    <w:p w14:paraId="2C67D090" w14:textId="7EAD7814" w:rsidR="00EB122D" w:rsidRDefault="00EB122D" w:rsidP="00EB122D">
      <w:r>
        <w:t xml:space="preserve">The inventory developed for aluminium reprocessing is based on an Ecoinvent inventory, however is adjusted to draw upon background process inventories appropriate to Australian conditions. The inventory was selected over the KAAL inventory </w:t>
      </w:r>
      <w:r w:rsidR="00DC1CAE">
        <w:t xml:space="preserve">used in the previous study </w:t>
      </w:r>
      <w:r>
        <w:t xml:space="preserve">as it is more transparent and accords better with recent reporting of energy and water use for the Yennora facility </w:t>
      </w:r>
      <w:r>
        <w:fldChar w:fldCharType="begin"/>
      </w:r>
      <w:r w:rsidR="00F40CE2">
        <w:instrText xml:space="preserve"> ADDIN EN.CITE &lt;EndNote&gt;&lt;Cite&gt;&lt;Author&gt;Alcoa&lt;/Author&gt;&lt;Year&gt;2013&lt;/Year&gt;&lt;RecNum&gt;690&lt;/RecNum&gt;&lt;DisplayText&gt;(Alcoa, 2013)&lt;/DisplayText&gt;&lt;record&gt;&lt;rec-number&gt;690&lt;/rec-number&gt;&lt;foreign-keys&gt;&lt;key app="EN" db-id="tfpv5staxsvs2nexzpp5taewzsvpx0er5fap"&gt;690&lt;/key&gt;&lt;/foreign-keys&gt;&lt;ref-type name="Generic"&gt;13&lt;/ref-type&gt;&lt;contributors&gt;&lt;authors&gt;&lt;author&gt;Alcoa,&lt;/author&gt;&lt;/authors&gt;&lt;secondary-authors&gt;&lt;author&gt;Nacil Dahanayaka&lt;/author&gt;&lt;/secondary-authors&gt;&lt;/contributors&gt;&lt;titles&gt;&lt;title&gt;Meeting Minutes: Community Consultation Commitee Meeting: 9th April 2013&lt;/title&gt;&lt;/titles&gt;&lt;dates&gt;&lt;year&gt;2013&lt;/year&gt;&lt;/dates&gt;&lt;publisher&gt;Alcoa Rolled Products&lt;/publisher&gt;&lt;urls&gt;&lt;/urls&gt;&lt;/record&gt;&lt;/Cite&gt;&lt;/EndNote&gt;</w:instrText>
      </w:r>
      <w:r>
        <w:fldChar w:fldCharType="separate"/>
      </w:r>
      <w:r w:rsidR="00F40CE2">
        <w:rPr>
          <w:noProof/>
        </w:rPr>
        <w:t>(</w:t>
      </w:r>
      <w:hyperlink w:anchor="_ENREF_4" w:tooltip="Alcoa, 2013 #690" w:history="1">
        <w:r w:rsidR="00F40CE2">
          <w:rPr>
            <w:noProof/>
          </w:rPr>
          <w:t>Alcoa, 2013</w:t>
        </w:r>
      </w:hyperlink>
      <w:r w:rsidR="00F40CE2">
        <w:rPr>
          <w:noProof/>
        </w:rPr>
        <w:t>)</w:t>
      </w:r>
      <w:r>
        <w:fldChar w:fldCharType="end"/>
      </w:r>
      <w:r w:rsidR="00DC1CAE">
        <w:t xml:space="preserve">. A comparison of the aluminium reprocessing inventories is shown in </w:t>
      </w:r>
      <w:r w:rsidR="00DC1CAE">
        <w:fldChar w:fldCharType="begin"/>
      </w:r>
      <w:r w:rsidR="00DC1CAE">
        <w:instrText xml:space="preserve"> REF _Ref356992278 \h </w:instrText>
      </w:r>
      <w:r w:rsidR="00DC1CAE">
        <w:fldChar w:fldCharType="separate"/>
      </w:r>
      <w:r w:rsidR="00564E5C">
        <w:t xml:space="preserve">Table </w:t>
      </w:r>
      <w:r w:rsidR="00564E5C">
        <w:rPr>
          <w:noProof/>
        </w:rPr>
        <w:t>24</w:t>
      </w:r>
      <w:r w:rsidR="00DC1CAE">
        <w:fldChar w:fldCharType="end"/>
      </w:r>
      <w:r w:rsidR="00DC1CAE">
        <w:t>.</w:t>
      </w:r>
    </w:p>
    <w:p w14:paraId="72D1AAAC" w14:textId="764500EC" w:rsidR="00DC1CAE" w:rsidRDefault="00DC1CAE" w:rsidP="00DC1CAE">
      <w:pPr>
        <w:pStyle w:val="Caption"/>
        <w:keepNext/>
      </w:pPr>
      <w:bookmarkStart w:id="145" w:name="_Ref356992278"/>
      <w:r>
        <w:lastRenderedPageBreak/>
        <w:t xml:space="preserve">Table </w:t>
      </w:r>
      <w:r w:rsidR="00FC7DE2">
        <w:fldChar w:fldCharType="begin"/>
      </w:r>
      <w:r w:rsidR="00FC7DE2">
        <w:instrText xml:space="preserve"> SEQ Table \* ARABIC </w:instrText>
      </w:r>
      <w:r w:rsidR="00FC7DE2">
        <w:fldChar w:fldCharType="separate"/>
      </w:r>
      <w:r w:rsidR="00564E5C">
        <w:rPr>
          <w:noProof/>
        </w:rPr>
        <w:t>24</w:t>
      </w:r>
      <w:r w:rsidR="00FC7DE2">
        <w:rPr>
          <w:noProof/>
        </w:rPr>
        <w:fldChar w:fldCharType="end"/>
      </w:r>
      <w:bookmarkEnd w:id="145"/>
      <w:r>
        <w:t xml:space="preserve"> Comparison of Classen (Ecoinvent) and KAAL aggregated inventories (1 </w:t>
      </w:r>
      <w:r w:rsidR="00E82F90">
        <w:t>t</w:t>
      </w:r>
      <w:r>
        <w:t xml:space="preserve"> secondary aluminium).</w:t>
      </w:r>
    </w:p>
    <w:p w14:paraId="708D73EE" w14:textId="77777777" w:rsidR="00DC1CAE" w:rsidRDefault="00DC1CAE" w:rsidP="00DC1CAE">
      <w:r w:rsidRPr="004638F3">
        <w:rPr>
          <w:noProof/>
        </w:rPr>
        <w:drawing>
          <wp:inline distT="0" distB="0" distL="0" distR="0" wp14:anchorId="7DA55D6E" wp14:editId="4BFE3B6C">
            <wp:extent cx="5731510" cy="384823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848236"/>
                    </a:xfrm>
                    <a:prstGeom prst="rect">
                      <a:avLst/>
                    </a:prstGeom>
                    <a:noFill/>
                    <a:ln>
                      <a:noFill/>
                    </a:ln>
                  </pic:spPr>
                </pic:pic>
              </a:graphicData>
            </a:graphic>
          </wp:inline>
        </w:drawing>
      </w:r>
    </w:p>
    <w:p w14:paraId="25B8F0D1" w14:textId="753A9609" w:rsidR="00EB122D" w:rsidRDefault="00EB122D" w:rsidP="00EB122D">
      <w:r>
        <w:t xml:space="preserve">For reprocessing in Korea the Australian inventory was used as a basis and updated to include shipping of aluminium cans to Korea and the specifics of the local electricity and natural gas supply systems. Natural gas is used in Korea however is imported by ship and the electricity supply system has a significant nuclear component of approximately 33% </w:t>
      </w:r>
      <w:r>
        <w:fldChar w:fldCharType="begin"/>
      </w:r>
      <w:r w:rsidR="00F40CE2">
        <w:instrText xml:space="preserve"> ADDIN EN.CITE &lt;EndNote&gt;&lt;Cite&gt;&lt;Author&gt;IEA&lt;/Author&gt;&lt;Year&gt;2009&lt;/Year&gt;&lt;RecNum&gt;692&lt;/RecNum&gt;&lt;DisplayText&gt;(IEA, 2009)&lt;/DisplayText&gt;&lt;record&gt;&lt;rec-number&gt;692&lt;/rec-number&gt;&lt;foreign-keys&gt;&lt;key app="EN" db-id="tfpv5staxsvs2nexzpp5taewzsvpx0er5fap"&gt;692&lt;/key&gt;&lt;/foreign-keys&gt;&lt;ref-type name="Web Page"&gt;12&lt;/ref-type&gt;&lt;contributors&gt;&lt;authors&gt;&lt;author&gt;IEA&lt;/author&gt;&lt;/authors&gt;&lt;/contributors&gt;&lt;titles&gt;&lt;title&gt;Statistics by Country/Region&lt;/title&gt;&lt;/titles&gt;&lt;pages&gt;International Energy Agency country reporting for OECD.&lt;/pages&gt;&lt;volume&gt;2013&lt;/volume&gt;&lt;number&gt;Feb 10&lt;/number&gt;&lt;dates&gt;&lt;year&gt;2009&lt;/year&gt;&lt;/dates&gt;&lt;publisher&gt;International Energy Agency&lt;/publisher&gt;&lt;urls&gt;&lt;related-urls&gt;&lt;url&gt;http://www.iea.org/stats/index.asp&lt;/url&gt;&lt;/related-urls&gt;&lt;/urls&gt;&lt;/record&gt;&lt;/Cite&gt;&lt;/EndNote&gt;</w:instrText>
      </w:r>
      <w:r>
        <w:fldChar w:fldCharType="separate"/>
      </w:r>
      <w:r w:rsidR="00F40CE2">
        <w:rPr>
          <w:noProof/>
        </w:rPr>
        <w:t>(</w:t>
      </w:r>
      <w:hyperlink w:anchor="_ENREF_49" w:tooltip="IEA, 2009 #692" w:history="1">
        <w:r w:rsidR="00F40CE2">
          <w:rPr>
            <w:noProof/>
          </w:rPr>
          <w:t>IEA, 2009</w:t>
        </w:r>
      </w:hyperlink>
      <w:r w:rsidR="00F40CE2">
        <w:rPr>
          <w:noProof/>
        </w:rPr>
        <w:t>)</w:t>
      </w:r>
      <w:r>
        <w:fldChar w:fldCharType="end"/>
      </w:r>
      <w:r>
        <w:t xml:space="preserve">. Natural gas is imported from Qatar, Indonesia, Malaysia and Oman </w:t>
      </w:r>
      <w:r>
        <w:fldChar w:fldCharType="begin"/>
      </w:r>
      <w:r w:rsidR="00F40CE2">
        <w:instrText xml:space="preserve"> ADDIN EN.CITE &lt;EndNote&gt;&lt;Cite&gt;&lt;Author&gt;U.S. EIA&lt;/Author&gt;&lt;Year&gt;2013&lt;/Year&gt;&lt;RecNum&gt;691&lt;/RecNum&gt;&lt;DisplayText&gt;(U.S. EIA, 2013)&lt;/DisplayText&gt;&lt;record&gt;&lt;rec-number&gt;691&lt;/rec-number&gt;&lt;foreign-keys&gt;&lt;key app="EN" db-id="tfpv5staxsvs2nexzpp5taewzsvpx0er5fap"&gt;691&lt;/key&gt;&lt;/foreign-keys&gt;&lt;ref-type name="Report"&gt;27&lt;/ref-type&gt;&lt;contributors&gt;&lt;authors&gt;&lt;author&gt;U.S. EIA,&lt;/author&gt;&lt;/authors&gt;&lt;/contributors&gt;&lt;titles&gt;&lt;title&gt;Country Report - South Korea&lt;/title&gt;&lt;/titles&gt;&lt;dates&gt;&lt;year&gt;2013&lt;/year&gt;&lt;/dates&gt;&lt;publisher&gt;U.S. Energy Information Administration&lt;/publisher&gt;&lt;urls&gt;&lt;/urls&gt;&lt;/record&gt;&lt;/Cite&gt;&lt;/EndNote&gt;</w:instrText>
      </w:r>
      <w:r>
        <w:fldChar w:fldCharType="separate"/>
      </w:r>
      <w:r w:rsidR="00F40CE2">
        <w:rPr>
          <w:noProof/>
        </w:rPr>
        <w:t>(</w:t>
      </w:r>
      <w:hyperlink w:anchor="_ENREF_79" w:tooltip="U.S. EIA, 2013 #691" w:history="1">
        <w:r w:rsidR="00F40CE2">
          <w:rPr>
            <w:noProof/>
          </w:rPr>
          <w:t>U.S. EIA, 2013</w:t>
        </w:r>
      </w:hyperlink>
      <w:r w:rsidR="00F40CE2">
        <w:rPr>
          <w:noProof/>
        </w:rPr>
        <w:t>)</w:t>
      </w:r>
      <w:r>
        <w:fldChar w:fldCharType="end"/>
      </w:r>
      <w:r>
        <w:t>.</w:t>
      </w:r>
    </w:p>
    <w:p w14:paraId="42FB46DC" w14:textId="1C2E55E1" w:rsidR="00EB122D" w:rsidRDefault="00EB122D" w:rsidP="00EB122D">
      <w:r>
        <w:t>The production inventory for the Alternative System is based on the AUPLCI inventory, corrected for water use and updated to reflect recent improvements in perflourocarbon emissions</w:t>
      </w:r>
      <w:r w:rsidR="00DC1CAE">
        <w:t xml:space="preserve"> (a 96% reduction from 1990 levels)</w:t>
      </w:r>
      <w:r>
        <w:t xml:space="preserve">. For Korea, aluminium is assumed to be produced in Australia and shipped to Korea. The Alternative System inventory </w:t>
      </w:r>
      <w:r w:rsidR="00DC1CAE">
        <w:t xml:space="preserve">(AUPLCI – corrected) </w:t>
      </w:r>
      <w:r>
        <w:t xml:space="preserve">is shown in </w:t>
      </w:r>
      <w:r w:rsidR="00DC1CAE">
        <w:fldChar w:fldCharType="begin"/>
      </w:r>
      <w:r w:rsidR="00DC1CAE">
        <w:instrText xml:space="preserve"> REF _Ref356999402 \h </w:instrText>
      </w:r>
      <w:r w:rsidR="00DC1CAE">
        <w:fldChar w:fldCharType="separate"/>
      </w:r>
      <w:r w:rsidR="00564E5C">
        <w:t xml:space="preserve">Table </w:t>
      </w:r>
      <w:r w:rsidR="00564E5C">
        <w:rPr>
          <w:noProof/>
        </w:rPr>
        <w:t>25</w:t>
      </w:r>
      <w:r w:rsidR="00DC1CAE">
        <w:fldChar w:fldCharType="end"/>
      </w:r>
      <w:r w:rsidR="00DC1CAE">
        <w:t xml:space="preserve"> compared to the International Aluminium Institute inventory </w:t>
      </w:r>
      <w:r w:rsidR="00DC1CAE">
        <w:fldChar w:fldCharType="begin"/>
      </w:r>
      <w:r w:rsidR="00F40CE2">
        <w:instrText xml:space="preserve"> ADDIN EN.CITE &lt;EndNote&gt;&lt;Cite&gt;&lt;Author&gt;IAI&lt;/Author&gt;&lt;Year&gt;2007&lt;/Year&gt;&lt;RecNum&gt;292&lt;/RecNum&gt;&lt;DisplayText&gt;(IAI, 2007)&lt;/DisplayText&gt;&lt;record&gt;&lt;rec-number&gt;292&lt;/rec-number&gt;&lt;foreign-keys&gt;&lt;key app="EN" db-id="tfpv5staxsvs2nexzpp5taewzsvpx0er5fap"&gt;292&lt;/key&gt;&lt;/foreign-keys&gt;&lt;ref-type name="Report"&gt;27&lt;/ref-type&gt;&lt;contributors&gt;&lt;authors&gt;&lt;author&gt;IAI&lt;/author&gt;&lt;/authors&gt;&lt;tertiary-authors&gt;&lt;author&gt;IAI&lt;/author&gt;&lt;/tertiary-authors&gt;&lt;/contributors&gt;&lt;titles&gt;&lt;title&gt;Life Cycle Assessment of Aluminium: Inventory Data for the Primary Aluminium Industry - 2005 Update&lt;/title&gt;&lt;/titles&gt;&lt;dates&gt;&lt;year&gt;2007&lt;/year&gt;&lt;/dates&gt;&lt;publisher&gt;International Aluminium Institute&lt;/publisher&gt;&lt;urls&gt;&lt;/urls&gt;&lt;/record&gt;&lt;/Cite&gt;&lt;/EndNote&gt;</w:instrText>
      </w:r>
      <w:r w:rsidR="00DC1CAE">
        <w:fldChar w:fldCharType="separate"/>
      </w:r>
      <w:r w:rsidR="00F40CE2">
        <w:rPr>
          <w:noProof/>
        </w:rPr>
        <w:t>(</w:t>
      </w:r>
      <w:hyperlink w:anchor="_ENREF_48" w:tooltip="IAI, 2007 #292" w:history="1">
        <w:r w:rsidR="00F40CE2">
          <w:rPr>
            <w:noProof/>
          </w:rPr>
          <w:t>IAI, 2007</w:t>
        </w:r>
      </w:hyperlink>
      <w:r w:rsidR="00F40CE2">
        <w:rPr>
          <w:noProof/>
        </w:rPr>
        <w:t>)</w:t>
      </w:r>
      <w:r w:rsidR="00DC1CAE">
        <w:fldChar w:fldCharType="end"/>
      </w:r>
      <w:r w:rsidR="00DC1CAE">
        <w:t xml:space="preserve"> and AUPLCI (prior to water use correction).</w:t>
      </w:r>
    </w:p>
    <w:p w14:paraId="3B32568C" w14:textId="76FFAEE2" w:rsidR="00DC1CAE" w:rsidRDefault="00DC1CAE" w:rsidP="00DC1CAE">
      <w:pPr>
        <w:pStyle w:val="Caption"/>
        <w:keepNext/>
      </w:pPr>
      <w:bookmarkStart w:id="146" w:name="_Ref356999402"/>
      <w:r>
        <w:t xml:space="preserve">Table </w:t>
      </w:r>
      <w:r w:rsidR="00FC7DE2">
        <w:fldChar w:fldCharType="begin"/>
      </w:r>
      <w:r w:rsidR="00FC7DE2">
        <w:instrText xml:space="preserve"> SEQ Table \* ARABIC </w:instrText>
      </w:r>
      <w:r w:rsidR="00FC7DE2">
        <w:fldChar w:fldCharType="separate"/>
      </w:r>
      <w:r w:rsidR="00564E5C">
        <w:rPr>
          <w:noProof/>
        </w:rPr>
        <w:t>25</w:t>
      </w:r>
      <w:r w:rsidR="00FC7DE2">
        <w:rPr>
          <w:noProof/>
        </w:rPr>
        <w:fldChar w:fldCharType="end"/>
      </w:r>
      <w:bookmarkEnd w:id="146"/>
      <w:r>
        <w:t xml:space="preserve"> Comparison of international and local primary aluminium production inventories (only selected flows shown). Flows for 1 </w:t>
      </w:r>
      <w:r w:rsidR="00E82F90">
        <w:t>t</w:t>
      </w:r>
      <w:r>
        <w:t xml:space="preserve"> of primary aluminium production shown.</w:t>
      </w:r>
    </w:p>
    <w:p w14:paraId="152F0224" w14:textId="77777777" w:rsidR="00DC1CAE" w:rsidRDefault="00DC1CAE" w:rsidP="00DC1CAE">
      <w:r w:rsidRPr="00EB34B7">
        <w:rPr>
          <w:noProof/>
        </w:rPr>
        <w:drawing>
          <wp:inline distT="0" distB="0" distL="0" distR="0" wp14:anchorId="4771EB48" wp14:editId="785BF894">
            <wp:extent cx="4314825" cy="2143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2143125"/>
                    </a:xfrm>
                    <a:prstGeom prst="rect">
                      <a:avLst/>
                    </a:prstGeom>
                    <a:noFill/>
                    <a:ln>
                      <a:noFill/>
                    </a:ln>
                  </pic:spPr>
                </pic:pic>
              </a:graphicData>
            </a:graphic>
          </wp:inline>
        </w:drawing>
      </w:r>
    </w:p>
    <w:p w14:paraId="07F14A53" w14:textId="10E825BE" w:rsidR="007B3C4C" w:rsidRDefault="007B3C4C" w:rsidP="007B3C4C">
      <w:r>
        <w:lastRenderedPageBreak/>
        <w:t xml:space="preserve">A comparison of the treatment of one tonne of waste aluminium cans under the Recycling System and the Alternative System utilising he inventory described above is shown in </w:t>
      </w:r>
      <w:r>
        <w:fldChar w:fldCharType="begin"/>
      </w:r>
      <w:r>
        <w:instrText xml:space="preserve"> REF _Ref360195871 \h </w:instrText>
      </w:r>
      <w:r>
        <w:fldChar w:fldCharType="separate"/>
      </w:r>
      <w:r w:rsidR="00564E5C">
        <w:t xml:space="preserve">Table </w:t>
      </w:r>
      <w:r w:rsidR="00564E5C">
        <w:rPr>
          <w:noProof/>
        </w:rPr>
        <w:t>32</w:t>
      </w:r>
      <w:r>
        <w:fldChar w:fldCharType="end"/>
      </w:r>
      <w:r>
        <w:t>.</w:t>
      </w:r>
    </w:p>
    <w:p w14:paraId="645C9B18" w14:textId="18C53BBE" w:rsidR="00523D20" w:rsidRDefault="005A045C" w:rsidP="00523D20">
      <w:pPr>
        <w:pStyle w:val="Heading3"/>
        <w:rPr>
          <w:lang w:val="en-AU"/>
        </w:rPr>
      </w:pPr>
      <w:bookmarkStart w:id="147" w:name="_Toc433964558"/>
      <w:r>
        <w:rPr>
          <w:lang w:val="en-AU"/>
        </w:rPr>
        <w:t>Treatment of waste</w:t>
      </w:r>
      <w:r w:rsidR="00523D20">
        <w:t xml:space="preserve"> steel cans</w:t>
      </w:r>
      <w:bookmarkEnd w:id="147"/>
    </w:p>
    <w:p w14:paraId="598A1854" w14:textId="20D2EE28" w:rsidR="005A045C" w:rsidRDefault="005A045C" w:rsidP="005A045C">
      <w:r>
        <w:t xml:space="preserve">In a national study of post-consumer packaging recycling infrastructure, </w:t>
      </w:r>
      <w:r>
        <w:fldChar w:fldCharType="begin"/>
      </w:r>
      <w:r>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Pr>
          <w:noProof/>
        </w:rPr>
        <w:t>)</w:t>
      </w:r>
      <w:r>
        <w:fldChar w:fldCharType="end"/>
      </w:r>
      <w:r>
        <w:t xml:space="preserve"> states that 41% of steel collected from residential sources would be recycled within Australia and that 59% would most likely be reprocessed internationally in Malaysia.</w:t>
      </w:r>
    </w:p>
    <w:p w14:paraId="0C1C05FC" w14:textId="5E166258" w:rsidR="005A045C" w:rsidRDefault="005A045C" w:rsidP="005A045C">
      <w:r>
        <w:t xml:space="preserve">This inventory addresses processing scrap steel cans into steel slab under the Recycling System and the manufacturing of an equivalent quantity of steel slab from mineral resources extracted from the environment under the Alternative System. </w:t>
      </w:r>
    </w:p>
    <w:p w14:paraId="2A1E5B0E" w14:textId="655ECAC4" w:rsidR="005A045C" w:rsidRDefault="005A045C" w:rsidP="005A045C">
      <w:r>
        <w:t>In the Recycling System, sorted and bailed steel cans at the Material Recovery Facility (MRF) are likely to be transported to a processor in Melbourne or shipped internationally for processing. The inventory considers transport and processing operations for both processing pathways, through to the production of unalloyed steel slab.</w:t>
      </w:r>
    </w:p>
    <w:p w14:paraId="6997FF00" w14:textId="6297CB9B" w:rsidR="005A045C" w:rsidRDefault="005A045C" w:rsidP="005A045C">
      <w:r>
        <w:t>In the Alternative System steel is produced from resources extracted from the environment. This inventory considers the production of steel from iron ore mined in Australia. Production in Malaysia is not considered as steel is not commonly produced from natural resources in that country. When comparing primary and secondary production burdens, steel consumed in Malaysia is assumed to come from Australia.</w:t>
      </w:r>
    </w:p>
    <w:p w14:paraId="1933825E" w14:textId="0516B148" w:rsidR="005A045C" w:rsidRDefault="005A045C" w:rsidP="005A045C">
      <w:r>
        <w:t>Both Recycling System and Alternative System inventories are largely based upon the Australian s</w:t>
      </w:r>
      <w:r w:rsidR="0003556F">
        <w:t>teelmaking inventory reported by</w:t>
      </w:r>
      <w:r>
        <w:t xml:space="preserve"> </w:t>
      </w:r>
      <w:r>
        <w:fldChar w:fldCharType="begin"/>
      </w:r>
      <w:r>
        <w:instrText xml:space="preserve"> ADDIN EN.CITE &lt;EndNote&gt;&lt;Cite AuthorYear="1"&gt;&lt;Author&gt;Energetics&lt;/Author&gt;&lt;Year&gt;2012&lt;/Year&gt;&lt;RecNum&gt;655&lt;/RecNum&gt;&lt;DisplayText&gt;Energetics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fldChar w:fldCharType="separate"/>
      </w:r>
      <w:hyperlink w:anchor="_ENREF_20" w:tooltip="Energetics, 2012 #655" w:history="1">
        <w:r w:rsidR="00F40CE2">
          <w:rPr>
            <w:noProof/>
          </w:rPr>
          <w:t>Energetics (2012</w:t>
        </w:r>
      </w:hyperlink>
      <w:r>
        <w:rPr>
          <w:noProof/>
        </w:rPr>
        <w:t>)</w:t>
      </w:r>
      <w:r>
        <w:fldChar w:fldCharType="end"/>
      </w:r>
      <w:r>
        <w:t xml:space="preserve">. The inventory was selected because of its relevance and timeliness. Areas where the </w:t>
      </w:r>
      <w:r>
        <w:fldChar w:fldCharType="begin"/>
      </w:r>
      <w:r>
        <w:instrText xml:space="preserve"> ADDIN EN.CITE &lt;EndNote&gt;&lt;Cite AuthorYear="1"&gt;&lt;Author&gt;Energetics&lt;/Author&gt;&lt;Year&gt;2012&lt;/Year&gt;&lt;RecNum&gt;655&lt;/RecNum&gt;&lt;DisplayText&gt;Energetics (2012)&lt;/DisplayText&gt;&lt;record&gt;&lt;rec-number&gt;655&lt;/rec-number&gt;&lt;foreign-keys&gt;&lt;key app="EN" db-id="tfpv5staxsvs2nexzpp5taewzsvpx0er5fap"&gt;655&lt;/key&gt;&lt;/foreign-keys&gt;&lt;ref-type name="Report"&gt;27&lt;/ref-type&gt;&lt;contributors&gt;&lt;authors&gt;&lt;author&gt;Energetics,&lt;/author&gt;&lt;/authors&gt;&lt;/contributors&gt;&lt;titles&gt;&lt;title&gt;Steel Stewardship Forum - Australian Steel Chain Footprint Project, May 2012&lt;/title&gt;&lt;/titles&gt;&lt;dates&gt;&lt;year&gt;2012&lt;/year&gt;&lt;/dates&gt;&lt;pub-location&gt;Sydney&lt;/pub-location&gt;&lt;publisher&gt;Energetics&lt;/publisher&gt;&lt;urls&gt;&lt;/urls&gt;&lt;/record&gt;&lt;/Cite&gt;&lt;/EndNote&gt;</w:instrText>
      </w:r>
      <w:r>
        <w:fldChar w:fldCharType="separate"/>
      </w:r>
      <w:hyperlink w:anchor="_ENREF_20" w:tooltip="Energetics, 2012 #655" w:history="1">
        <w:r w:rsidR="00F40CE2">
          <w:rPr>
            <w:noProof/>
          </w:rPr>
          <w:t>Energetics (2012</w:t>
        </w:r>
      </w:hyperlink>
      <w:r>
        <w:rPr>
          <w:noProof/>
        </w:rPr>
        <w:t>)</w:t>
      </w:r>
      <w:r>
        <w:fldChar w:fldCharType="end"/>
      </w:r>
      <w:r>
        <w:t xml:space="preserve"> inventory does not provide data have been provided by Ecoinvent for the most part, the consistency of which appears reasonable when the inventories are compared (</w:t>
      </w:r>
      <w:r>
        <w:fldChar w:fldCharType="begin"/>
      </w:r>
      <w:r>
        <w:instrText xml:space="preserve"> REF _Ref360008819 \h </w:instrText>
      </w:r>
      <w:r>
        <w:fldChar w:fldCharType="separate"/>
      </w:r>
      <w:r w:rsidR="00564E5C">
        <w:t xml:space="preserve">Table </w:t>
      </w:r>
      <w:r w:rsidR="00564E5C">
        <w:rPr>
          <w:noProof/>
        </w:rPr>
        <w:t>26</w:t>
      </w:r>
      <w:r>
        <w:fldChar w:fldCharType="end"/>
      </w:r>
      <w:r>
        <w:t>).</w:t>
      </w:r>
    </w:p>
    <w:p w14:paraId="5C679F35" w14:textId="77777777" w:rsidR="005A045C" w:rsidRDefault="005A045C" w:rsidP="005A045C">
      <w:pPr>
        <w:pStyle w:val="Caption"/>
        <w:keepNext/>
      </w:pPr>
      <w:bookmarkStart w:id="148" w:name="_Ref360008819"/>
      <w:r>
        <w:lastRenderedPageBreak/>
        <w:t xml:space="preserve">Table </w:t>
      </w:r>
      <w:r w:rsidR="00FC7DE2">
        <w:fldChar w:fldCharType="begin"/>
      </w:r>
      <w:r w:rsidR="00FC7DE2">
        <w:instrText xml:space="preserve"> SEQ Table \* ARABIC </w:instrText>
      </w:r>
      <w:r w:rsidR="00FC7DE2">
        <w:fldChar w:fldCharType="separate"/>
      </w:r>
      <w:r w:rsidR="00564E5C">
        <w:rPr>
          <w:noProof/>
        </w:rPr>
        <w:t>26</w:t>
      </w:r>
      <w:r w:rsidR="00FC7DE2">
        <w:rPr>
          <w:noProof/>
        </w:rPr>
        <w:fldChar w:fldCharType="end"/>
      </w:r>
      <w:bookmarkEnd w:id="148"/>
      <w:r>
        <w:t xml:space="preserve"> Comparison of EAF steel production data from different sources. Table excludes transport fuels.</w:t>
      </w:r>
    </w:p>
    <w:p w14:paraId="0E5392F7" w14:textId="3655AC85" w:rsidR="005A045C" w:rsidRDefault="005A045C" w:rsidP="005A045C">
      <w:r w:rsidRPr="005A045C">
        <w:rPr>
          <w:noProof/>
        </w:rPr>
        <w:drawing>
          <wp:inline distT="0" distB="0" distL="0" distR="0" wp14:anchorId="0DD90B54" wp14:editId="43A89B2B">
            <wp:extent cx="5429885" cy="4784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885" cy="4784725"/>
                    </a:xfrm>
                    <a:prstGeom prst="rect">
                      <a:avLst/>
                    </a:prstGeom>
                    <a:noFill/>
                    <a:ln>
                      <a:noFill/>
                    </a:ln>
                  </pic:spPr>
                </pic:pic>
              </a:graphicData>
            </a:graphic>
          </wp:inline>
        </w:drawing>
      </w:r>
    </w:p>
    <w:p w14:paraId="681D20D8" w14:textId="5DAF95FA" w:rsidR="005A045C" w:rsidRDefault="005A045C" w:rsidP="005A045C">
      <w:r>
        <w:t xml:space="preserve">An important adjustment to Energetics inventory has been made for primary steel production. Typically, steel would be produced from a mix of scrap steel and natural resources, such as iron ore. In the inventory used here, scrap steel feed (180 kg) is removed from the Energetics inventory, and the output of steel slab is reduced by an identical offsetting amount, in order to present a steel product produced completely from resources extracted from the environment. This approximation may lead to a slight understatement of steel production impacts, as it does not remove likely systemic efficiencies that are caused by the use of scrap. A summary of the Energetics BF-BOS inventory is shown in </w:t>
      </w:r>
      <w:r>
        <w:fldChar w:fldCharType="begin"/>
      </w:r>
      <w:r>
        <w:instrText xml:space="preserve"> REF _Ref357519808 \h </w:instrText>
      </w:r>
      <w:r>
        <w:fldChar w:fldCharType="separate"/>
      </w:r>
      <w:r w:rsidR="00564E5C">
        <w:t xml:space="preserve">Table </w:t>
      </w:r>
      <w:r w:rsidR="00564E5C">
        <w:rPr>
          <w:noProof/>
        </w:rPr>
        <w:t>27</w:t>
      </w:r>
      <w:r>
        <w:fldChar w:fldCharType="end"/>
      </w:r>
      <w:r>
        <w:t xml:space="preserve"> compared to the Ecoinvent inventory of the European steel industry.</w:t>
      </w:r>
    </w:p>
    <w:p w14:paraId="6E69BA60" w14:textId="423E7ACE" w:rsidR="005A045C" w:rsidRDefault="005A045C" w:rsidP="005A045C">
      <w:pPr>
        <w:pStyle w:val="Caption"/>
        <w:keepNext/>
      </w:pPr>
      <w:bookmarkStart w:id="149" w:name="_Ref357519808"/>
      <w:r>
        <w:lastRenderedPageBreak/>
        <w:t xml:space="preserve">Table </w:t>
      </w:r>
      <w:r w:rsidR="00FC7DE2">
        <w:fldChar w:fldCharType="begin"/>
      </w:r>
      <w:r w:rsidR="00FC7DE2">
        <w:instrText xml:space="preserve"> SEQ Table \* ARABIC </w:instrText>
      </w:r>
      <w:r w:rsidR="00FC7DE2">
        <w:fldChar w:fldCharType="separate"/>
      </w:r>
      <w:r w:rsidR="00564E5C">
        <w:rPr>
          <w:noProof/>
        </w:rPr>
        <w:t>27</w:t>
      </w:r>
      <w:r w:rsidR="00FC7DE2">
        <w:rPr>
          <w:noProof/>
        </w:rPr>
        <w:fldChar w:fldCharType="end"/>
      </w:r>
      <w:bookmarkEnd w:id="149"/>
      <w:r>
        <w:t xml:space="preserve"> Comparison of Ecoinvent and Energetics </w:t>
      </w:r>
      <w:r w:rsidR="009B703B">
        <w:t>BF-BOS</w:t>
      </w:r>
      <w:r>
        <w:t xml:space="preserve"> steel inventories.</w:t>
      </w:r>
    </w:p>
    <w:p w14:paraId="691FE14B" w14:textId="0BBD722A" w:rsidR="005A045C" w:rsidRDefault="005A045C" w:rsidP="005A045C">
      <w:r w:rsidRPr="005A045C">
        <w:rPr>
          <w:noProof/>
        </w:rPr>
        <w:drawing>
          <wp:inline distT="0" distB="0" distL="0" distR="0" wp14:anchorId="759A41D6" wp14:editId="1E0D9FF0">
            <wp:extent cx="4217670" cy="4387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7670" cy="4387850"/>
                    </a:xfrm>
                    <a:prstGeom prst="rect">
                      <a:avLst/>
                    </a:prstGeom>
                    <a:noFill/>
                    <a:ln>
                      <a:noFill/>
                    </a:ln>
                  </pic:spPr>
                </pic:pic>
              </a:graphicData>
            </a:graphic>
          </wp:inline>
        </w:drawing>
      </w:r>
    </w:p>
    <w:p w14:paraId="6E93D3B0" w14:textId="70C38288" w:rsidR="009422F8" w:rsidRDefault="009422F8" w:rsidP="009422F8">
      <w:r>
        <w:t>As mentioned</w:t>
      </w:r>
      <w:r w:rsidR="0003556F">
        <w:t xml:space="preserve"> by</w:t>
      </w:r>
      <w:r>
        <w:t xml:space="preserve"> </w:t>
      </w:r>
      <w:r>
        <w:fldChar w:fldCharType="begin"/>
      </w:r>
      <w:r>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Pr>
          <w:noProof/>
        </w:rPr>
        <w:t>)</w:t>
      </w:r>
      <w:r>
        <w:fldChar w:fldCharType="end"/>
      </w:r>
      <w:r>
        <w:t>, 59% of steel recovered from the kerbside is likely to be reprocessed internationally, probably in Malaysia. Reprocessing in Malaysia will be undertaken using the EAF process, similar to that undertaken in Australia, however it is likely to incorporate a de-tinning stage. De-tinning involves the removal of tin from scrap cans prior to processing them in the EAF furnace. This allows valuable tin to be recovered, while at the same time removing tin from the EAF feedstock, which is considered a contaminant.</w:t>
      </w:r>
    </w:p>
    <w:p w14:paraId="382CED84" w14:textId="10D6DA8E" w:rsidR="009422F8" w:rsidRDefault="009422F8" w:rsidP="009422F8">
      <w:r>
        <w:t xml:space="preserve">De-tinning used to be undertaken in Australia, as it is a complimentary process when producing steel tin-plate. When steel tin-plate </w:t>
      </w:r>
      <w:r w:rsidR="0003556F">
        <w:t>production ceased</w:t>
      </w:r>
      <w:r>
        <w:t xml:space="preserve"> in Australia, so too the de-tinning ceased. In Malaysia, steel tinplate is still produced, so de-tinning is a likely reprocessing pathway for scrap cans. The Malaysian de-tinning process has been modelled based on the now closed de-tinning process at Port Kembla.</w:t>
      </w:r>
    </w:p>
    <w:p w14:paraId="7CBF47EF" w14:textId="571FCF17" w:rsidR="007B3C4C" w:rsidRDefault="007B3C4C" w:rsidP="007B3C4C">
      <w:r>
        <w:t xml:space="preserve">A comparison of the treatment of one tonne of waste steel cans under the Recycling System and the Alternative System utilising he inventory described above is shown in </w:t>
      </w:r>
      <w:r>
        <w:fldChar w:fldCharType="begin"/>
      </w:r>
      <w:r>
        <w:instrText xml:space="preserve"> REF _Ref360195871 \h </w:instrText>
      </w:r>
      <w:r>
        <w:fldChar w:fldCharType="separate"/>
      </w:r>
      <w:r w:rsidR="00564E5C">
        <w:t xml:space="preserve">Table </w:t>
      </w:r>
      <w:r w:rsidR="00564E5C">
        <w:rPr>
          <w:noProof/>
        </w:rPr>
        <w:t>32</w:t>
      </w:r>
      <w:r>
        <w:fldChar w:fldCharType="end"/>
      </w:r>
      <w:r>
        <w:t>.</w:t>
      </w:r>
    </w:p>
    <w:p w14:paraId="4FB6D410" w14:textId="251C28BB" w:rsidR="00523D20" w:rsidRDefault="00FA1E93" w:rsidP="00523D20">
      <w:pPr>
        <w:pStyle w:val="Heading3"/>
      </w:pPr>
      <w:bookmarkStart w:id="150" w:name="_Toc433964559"/>
      <w:r>
        <w:rPr>
          <w:lang w:val="en-AU"/>
        </w:rPr>
        <w:t>Treatment of waste</w:t>
      </w:r>
      <w:r w:rsidR="00523D20">
        <w:t xml:space="preserve"> PET, HDPE and mixed plastics</w:t>
      </w:r>
      <w:bookmarkEnd w:id="150"/>
    </w:p>
    <w:p w14:paraId="289C5D98" w14:textId="5E4C924D" w:rsidR="00D5610F" w:rsidRDefault="00D5610F" w:rsidP="00D5610F">
      <w:r>
        <w:fldChar w:fldCharType="begin"/>
      </w:r>
      <w:r>
        <w:instrText xml:space="preserve"> ADDIN EN.CITE &lt;EndNote&gt;&lt;Cite AuthorYear="1"&gt;&lt;Author&gt;Sustainability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fldChar w:fldCharType="separate"/>
      </w:r>
      <w:hyperlink w:anchor="_ENREF_73" w:tooltip="Sustainability Victoria, 2011 #39" w:history="1">
        <w:r w:rsidR="00F40CE2">
          <w:rPr>
            <w:noProof/>
          </w:rPr>
          <w:t>Sustainability Victoria (2011a</w:t>
        </w:r>
      </w:hyperlink>
      <w:r>
        <w:rPr>
          <w:noProof/>
        </w:rPr>
        <w:t>)</w:t>
      </w:r>
      <w:r>
        <w:fldChar w:fldCharType="end"/>
      </w:r>
      <w:r>
        <w:t xml:space="preserve"> report that of the 283 kg of kerbside recycling (excluding garden and green waste) collected per household in Victoria in 2009/10, 23 kg were plastics (8%). These plastics were known to contain plastic types as shown in </w:t>
      </w:r>
      <w:r>
        <w:fldChar w:fldCharType="begin"/>
      </w:r>
      <w:r>
        <w:instrText xml:space="preserve"> REF _Ref358128492 \h </w:instrText>
      </w:r>
      <w:r>
        <w:fldChar w:fldCharType="separate"/>
      </w:r>
      <w:r w:rsidR="00564E5C">
        <w:t xml:space="preserve">Table </w:t>
      </w:r>
      <w:r w:rsidR="00564E5C">
        <w:rPr>
          <w:noProof/>
        </w:rPr>
        <w:t>28</w:t>
      </w:r>
      <w:r>
        <w:fldChar w:fldCharType="end"/>
      </w:r>
      <w:r>
        <w:t>.</w:t>
      </w:r>
    </w:p>
    <w:p w14:paraId="11BF61D2" w14:textId="0B022F7D" w:rsidR="00D5610F" w:rsidRDefault="00D5610F" w:rsidP="00D5610F">
      <w:pPr>
        <w:pStyle w:val="Caption"/>
        <w:keepNext/>
      </w:pPr>
      <w:bookmarkStart w:id="151" w:name="_Ref358128492"/>
      <w:r>
        <w:lastRenderedPageBreak/>
        <w:t xml:space="preserve">Table </w:t>
      </w:r>
      <w:r w:rsidR="00FC7DE2">
        <w:fldChar w:fldCharType="begin"/>
      </w:r>
      <w:r w:rsidR="00FC7DE2">
        <w:instrText xml:space="preserve"> SEQ Table \* ARABIC </w:instrText>
      </w:r>
      <w:r w:rsidR="00FC7DE2">
        <w:fldChar w:fldCharType="separate"/>
      </w:r>
      <w:r w:rsidR="00564E5C">
        <w:rPr>
          <w:noProof/>
        </w:rPr>
        <w:t>28</w:t>
      </w:r>
      <w:r w:rsidR="00FC7DE2">
        <w:rPr>
          <w:noProof/>
        </w:rPr>
        <w:fldChar w:fldCharType="end"/>
      </w:r>
      <w:bookmarkEnd w:id="151"/>
      <w:r>
        <w:t xml:space="preserve"> Plastics recycled in Victoria in 2009/10 period. Calculated from Figure 23 in </w:t>
      </w:r>
      <w:r>
        <w:fldChar w:fldCharType="begin"/>
      </w:r>
      <w:r w:rsidR="00F40CE2">
        <w:instrText xml:space="preserve"> ADDIN EN.CITE &lt;EndNote&gt;&lt;Cite&gt;&lt;Author&gt;Sustainability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fldChar w:fldCharType="separate"/>
      </w:r>
      <w:r w:rsidR="00F40CE2">
        <w:rPr>
          <w:noProof/>
        </w:rPr>
        <w:t>(</w:t>
      </w:r>
      <w:hyperlink w:anchor="_ENREF_73" w:tooltip="Sustainability Victoria, 2011 #39" w:history="1">
        <w:r w:rsidR="00F40CE2">
          <w:rPr>
            <w:noProof/>
          </w:rPr>
          <w:t>Sustainability Victoria, 2011a</w:t>
        </w:r>
      </w:hyperlink>
      <w:r w:rsidR="00F40CE2">
        <w:rPr>
          <w:noProof/>
        </w:rPr>
        <w:t>)</w:t>
      </w:r>
      <w:r>
        <w:fldChar w:fldCharType="end"/>
      </w:r>
      <w:r>
        <w:t>. Excludes contamination separated by MRF.</w:t>
      </w:r>
    </w:p>
    <w:p w14:paraId="76186158" w14:textId="77777777" w:rsidR="00D5610F" w:rsidRDefault="00D5610F" w:rsidP="00D5610F">
      <w:r w:rsidRPr="00B24E50">
        <w:rPr>
          <w:noProof/>
        </w:rPr>
        <w:drawing>
          <wp:inline distT="0" distB="0" distL="0" distR="0" wp14:anchorId="711DFA75" wp14:editId="261E4DE5">
            <wp:extent cx="2628900" cy="2028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2028825"/>
                    </a:xfrm>
                    <a:prstGeom prst="rect">
                      <a:avLst/>
                    </a:prstGeom>
                    <a:noFill/>
                    <a:ln>
                      <a:noFill/>
                    </a:ln>
                  </pic:spPr>
                </pic:pic>
              </a:graphicData>
            </a:graphic>
          </wp:inline>
        </w:drawing>
      </w:r>
    </w:p>
    <w:p w14:paraId="205B65AE" w14:textId="010393CF" w:rsidR="00D5610F" w:rsidRDefault="00D5610F" w:rsidP="00D5610F">
      <w:r>
        <w:t xml:space="preserve">Notably, the ‘Other Plastics’ category is not broken down further by </w:t>
      </w:r>
      <w:r>
        <w:fldChar w:fldCharType="begin"/>
      </w:r>
      <w:r>
        <w:instrText xml:space="preserve"> ADDIN EN.CITE &lt;EndNote&gt;&lt;Cite AuthorYear="1"&gt;&lt;Author&gt;Sustainability Victoria&lt;/Author&gt;&lt;Year&gt;2011&lt;/Year&gt;&lt;RecNum&gt;39&lt;/RecNum&gt;&lt;DisplayText&gt;Sustainability Victoria (2011a)&lt;/DisplayText&gt;&lt;record&gt;&lt;rec-number&gt;39&lt;/rec-number&gt;&lt;foreign-keys&gt;&lt;key app="EN" db-id="tfpv5staxsvs2nexzpp5taewzsvpx0er5fap"&gt;39&lt;/key&gt;&lt;/foreign-keys&gt;&lt;ref-type name="Report"&gt;27&lt;/ref-type&gt;&lt;contributors&gt;&lt;authors&gt;&lt;author&gt;Sustainability Victoria,&lt;/author&gt;&lt;/authors&gt;&lt;/contributors&gt;&lt;titles&gt;&lt;title&gt;Victorian Local Government Annual Survey 2009-2010&lt;/title&gt;&lt;/titles&gt;&lt;dates&gt;&lt;year&gt;2011&lt;/year&gt;&lt;/dates&gt;&lt;pub-location&gt;Melbourne&lt;/pub-location&gt;&lt;urls&gt;&lt;/urls&gt;&lt;/record&gt;&lt;/Cite&gt;&lt;/EndNote&gt;</w:instrText>
      </w:r>
      <w:r>
        <w:fldChar w:fldCharType="separate"/>
      </w:r>
      <w:hyperlink w:anchor="_ENREF_73" w:tooltip="Sustainability Victoria, 2011 #39" w:history="1">
        <w:r w:rsidR="00F40CE2">
          <w:rPr>
            <w:noProof/>
          </w:rPr>
          <w:t>Sustainability Victoria (2011a</w:t>
        </w:r>
      </w:hyperlink>
      <w:r>
        <w:rPr>
          <w:noProof/>
        </w:rPr>
        <w:t>)</w:t>
      </w:r>
      <w:r>
        <w:fldChar w:fldCharType="end"/>
      </w:r>
      <w:r>
        <w:t xml:space="preserve">. Other data sources, however, provide information at a national level that could be used to estimate the contents of the ‘other plastics’ component. </w:t>
      </w:r>
      <w:r>
        <w:fldChar w:fldCharType="begin"/>
      </w:r>
      <w:r>
        <w:instrText xml:space="preserve"> ADDIN EN.CITE &lt;EndNote&gt;&lt;Cite AuthorYear="1"&gt;&lt;Author&gt;Hyder Consulting&lt;/Author&gt;&lt;Year&gt;2011&lt;/Year&gt;&lt;RecNum&gt;619&lt;/RecNum&gt;&lt;DisplayText&gt;Hyder Consulting (2011)&lt;/DisplayText&gt;&lt;record&gt;&lt;rec-number&gt;619&lt;/rec-number&gt;&lt;foreign-keys&gt;&lt;key app="EN" db-id="tfpv5staxsvs2nexzpp5taewzsvpx0er5fap"&gt;619&lt;/key&gt;&lt;/foreign-keys&gt;&lt;ref-type name="Report"&gt;27&lt;/ref-type&gt;&lt;contributors&gt;&lt;authors&gt;&lt;author&gt;Hyder Consulting,&lt;/author&gt;&lt;/authors&gt;&lt;/contributors&gt;&lt;titles&gt;&lt;title&gt;2010 National Plastics Recycling Survey - July 2009 to June 2010 survey period&lt;/title&gt;&lt;/titles&gt;&lt;dates&gt;&lt;year&gt;2011&lt;/year&gt;&lt;/dates&gt;&lt;pub-location&gt;Melbourne&lt;/pub-location&gt;&lt;publisher&gt;Plastics and Chemicals Industries Association&lt;/publisher&gt;&lt;urls&gt;&lt;/urls&gt;&lt;/record&gt;&lt;/Cite&gt;&lt;/EndNote&gt;</w:instrText>
      </w:r>
      <w:r>
        <w:fldChar w:fldCharType="separate"/>
      </w:r>
      <w:hyperlink w:anchor="_ENREF_47" w:tooltip="Hyder Consulting, 2011 #619" w:history="1">
        <w:r w:rsidR="00F40CE2">
          <w:rPr>
            <w:noProof/>
          </w:rPr>
          <w:t>Hyder Consulting (2011</w:t>
        </w:r>
      </w:hyperlink>
      <w:r>
        <w:rPr>
          <w:noProof/>
        </w:rPr>
        <w:t>)</w:t>
      </w:r>
      <w:r>
        <w:fldChar w:fldCharType="end"/>
      </w:r>
      <w:r>
        <w:t xml:space="preserve"> estimate Australia-wide plastics recycling rates as shown in </w:t>
      </w:r>
      <w:r>
        <w:fldChar w:fldCharType="begin"/>
      </w:r>
      <w:r>
        <w:instrText xml:space="preserve"> REF _Ref358128956 \h </w:instrText>
      </w:r>
      <w:r>
        <w:fldChar w:fldCharType="separate"/>
      </w:r>
      <w:r w:rsidR="00564E5C">
        <w:t xml:space="preserve">Table </w:t>
      </w:r>
      <w:r w:rsidR="00564E5C">
        <w:rPr>
          <w:noProof/>
        </w:rPr>
        <w:t>29</w:t>
      </w:r>
      <w:r>
        <w:fldChar w:fldCharType="end"/>
      </w:r>
      <w:r>
        <w:t>.</w:t>
      </w:r>
    </w:p>
    <w:p w14:paraId="6D588FA9" w14:textId="484F4478" w:rsidR="00D5610F" w:rsidRDefault="00D5610F" w:rsidP="00D5610F">
      <w:pPr>
        <w:pStyle w:val="Caption"/>
        <w:keepNext/>
      </w:pPr>
      <w:bookmarkStart w:id="152" w:name="_Ref358128956"/>
      <w:r>
        <w:t xml:space="preserve">Table </w:t>
      </w:r>
      <w:r w:rsidR="00FC7DE2">
        <w:fldChar w:fldCharType="begin"/>
      </w:r>
      <w:r w:rsidR="00FC7DE2">
        <w:instrText xml:space="preserve"> SEQ Table \* ARABIC </w:instrText>
      </w:r>
      <w:r w:rsidR="00FC7DE2">
        <w:fldChar w:fldCharType="separate"/>
      </w:r>
      <w:r w:rsidR="00564E5C">
        <w:rPr>
          <w:noProof/>
        </w:rPr>
        <w:t>29</w:t>
      </w:r>
      <w:r w:rsidR="00FC7DE2">
        <w:rPr>
          <w:noProof/>
        </w:rPr>
        <w:fldChar w:fldCharType="end"/>
      </w:r>
      <w:bookmarkEnd w:id="152"/>
      <w:r>
        <w:t xml:space="preserve"> Polymers recycled from post-consumer sources in Australia, 2009/10 period. Values interpolated from figure 20 in </w:t>
      </w:r>
      <w:r>
        <w:fldChar w:fldCharType="begin"/>
      </w:r>
      <w:r w:rsidR="00F40CE2">
        <w:instrText xml:space="preserve"> ADDIN EN.CITE &lt;EndNote&gt;&lt;Cite&gt;&lt;Author&gt;Hyder Consulting&lt;/Author&gt;&lt;Year&gt;2011&lt;/Year&gt;&lt;RecNum&gt;619&lt;/RecNum&gt;&lt;DisplayText&gt;(Hyder Consulting, 2011)&lt;/DisplayText&gt;&lt;record&gt;&lt;rec-number&gt;619&lt;/rec-number&gt;&lt;foreign-keys&gt;&lt;key app="EN" db-id="tfpv5staxsvs2nexzpp5taewzsvpx0er5fap"&gt;619&lt;/key&gt;&lt;/foreign-keys&gt;&lt;ref-type name="Report"&gt;27&lt;/ref-type&gt;&lt;contributors&gt;&lt;authors&gt;&lt;author&gt;Hyder Consulting,&lt;/author&gt;&lt;/authors&gt;&lt;/contributors&gt;&lt;titles&gt;&lt;title&gt;2010 National Plastics Recycling Survey - July 2009 to June 2010 survey period&lt;/title&gt;&lt;/titles&gt;&lt;dates&gt;&lt;year&gt;2011&lt;/year&gt;&lt;/dates&gt;&lt;pub-location&gt;Melbourne&lt;/pub-location&gt;&lt;publisher&gt;Plastics and Chemicals Industries Association&lt;/publisher&gt;&lt;urls&gt;&lt;/urls&gt;&lt;/record&gt;&lt;/Cite&gt;&lt;/EndNote&gt;</w:instrText>
      </w:r>
      <w:r>
        <w:fldChar w:fldCharType="separate"/>
      </w:r>
      <w:r w:rsidR="00F40CE2">
        <w:rPr>
          <w:noProof/>
        </w:rPr>
        <w:t>(</w:t>
      </w:r>
      <w:hyperlink w:anchor="_ENREF_47" w:tooltip="Hyder Consulting, 2011 #619" w:history="1">
        <w:r w:rsidR="00F40CE2">
          <w:rPr>
            <w:noProof/>
          </w:rPr>
          <w:t>Hyder Consulting, 2011</w:t>
        </w:r>
      </w:hyperlink>
      <w:r w:rsidR="00F40CE2">
        <w:rPr>
          <w:noProof/>
        </w:rPr>
        <w:t>)</w:t>
      </w:r>
      <w:r>
        <w:fldChar w:fldCharType="end"/>
      </w:r>
      <w:r>
        <w:t>.</w:t>
      </w:r>
    </w:p>
    <w:p w14:paraId="798C4339" w14:textId="77777777" w:rsidR="00D5610F" w:rsidRDefault="00D5610F" w:rsidP="00D5610F">
      <w:r w:rsidRPr="0048690D">
        <w:rPr>
          <w:noProof/>
        </w:rPr>
        <w:drawing>
          <wp:inline distT="0" distB="0" distL="0" distR="0" wp14:anchorId="739F198A" wp14:editId="39A3AAAF">
            <wp:extent cx="2867025" cy="2600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025" cy="2600325"/>
                    </a:xfrm>
                    <a:prstGeom prst="rect">
                      <a:avLst/>
                    </a:prstGeom>
                    <a:noFill/>
                    <a:ln>
                      <a:noFill/>
                    </a:ln>
                  </pic:spPr>
                </pic:pic>
              </a:graphicData>
            </a:graphic>
          </wp:inline>
        </w:drawing>
      </w:r>
    </w:p>
    <w:p w14:paraId="14FBD314" w14:textId="77777777" w:rsidR="00D5610F" w:rsidRDefault="00D5610F" w:rsidP="00D5610F">
      <w:r>
        <w:t xml:space="preserve">Assuming Victorian MRF’s have targeted PET and HDPE, it is likely that the ‘other plastics’ component reported by Sustainability Victoria is largely made up of PP (estimate 5 kg) and 1 kg each of PVC, L/LLDPE and PS, based on the fractions described in </w:t>
      </w:r>
      <w:r>
        <w:fldChar w:fldCharType="begin"/>
      </w:r>
      <w:r>
        <w:instrText xml:space="preserve"> REF _Ref358128956 \h </w:instrText>
      </w:r>
      <w:r>
        <w:fldChar w:fldCharType="separate"/>
      </w:r>
      <w:r w:rsidR="00564E5C">
        <w:t xml:space="preserve">Table </w:t>
      </w:r>
      <w:r w:rsidR="00564E5C">
        <w:rPr>
          <w:noProof/>
        </w:rPr>
        <w:t>29</w:t>
      </w:r>
      <w:r>
        <w:fldChar w:fldCharType="end"/>
      </w:r>
      <w:r>
        <w:t>.</w:t>
      </w:r>
    </w:p>
    <w:p w14:paraId="1BDD5300" w14:textId="406C24C5" w:rsidR="00D5610F" w:rsidRDefault="00D5610F" w:rsidP="00D5610F">
      <w:r>
        <w:fldChar w:fldCharType="begin"/>
      </w:r>
      <w:r>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Pr>
          <w:noProof/>
        </w:rPr>
        <w:t>)</w:t>
      </w:r>
      <w:r>
        <w:fldChar w:fldCharType="end"/>
      </w:r>
      <w:r w:rsidR="00E82F90">
        <w:t xml:space="preserve"> estimates that 55,000 t</w:t>
      </w:r>
      <w:r>
        <w:t xml:space="preserve"> of plastics from residential sources were recycle</w:t>
      </w:r>
      <w:r w:rsidR="00E82F90">
        <w:t>d locally and that 65,000 t</w:t>
      </w:r>
      <w:r>
        <w:t xml:space="preserve"> of plastics were recycled internationally in 2010-11, Australia-wide. This equates to a local reprocessing fraction of 46% and an international reprocessing faction of 54%. Of the international fraction, it is believed that 88% was recycled in China (including Hong Kong) </w:t>
      </w:r>
      <w:r>
        <w:fldChar w:fldCharType="begin"/>
      </w:r>
      <w:r w:rsidR="00F40CE2">
        <w:instrText xml:space="preserve"> ADDIN EN.CITE &lt;EndNote&gt;&lt;Cite&gt;&lt;Author&gt;Allan&lt;/Author&gt;&lt;Year&gt;2013&lt;/Year&gt;&lt;RecNum&gt;611&lt;/RecNum&gt;&lt;DisplayText&gt;(Allan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r w:rsidR="00F40CE2">
        <w:rPr>
          <w:noProof/>
        </w:rPr>
        <w:t>(</w:t>
      </w:r>
      <w:hyperlink w:anchor="_ENREF_5" w:tooltip="Allan, 2013 #611" w:history="1">
        <w:r w:rsidR="00F40CE2">
          <w:rPr>
            <w:noProof/>
          </w:rPr>
          <w:t>Allan and A’Vard, 2013</w:t>
        </w:r>
      </w:hyperlink>
      <w:r w:rsidR="00F40CE2">
        <w:rPr>
          <w:noProof/>
        </w:rPr>
        <w:t>)</w:t>
      </w:r>
      <w:r>
        <w:fldChar w:fldCharType="end"/>
      </w:r>
      <w:r>
        <w:t>.</w:t>
      </w:r>
    </w:p>
    <w:p w14:paraId="14C5EB56" w14:textId="52789D1D" w:rsidR="00D5610F" w:rsidRDefault="00D5610F" w:rsidP="00D5610F">
      <w:r>
        <w:t xml:space="preserve">Within Australia, reprocessing pathways were identified for clear PET and natural HDPE from kerbside collected waste, however no pathways could be identified for coloured HDPE and the ‘other plastics’ category. It is therefore likely that PET and HDPE are reprocessed both locally and internationally, as described by </w:t>
      </w:r>
      <w:r>
        <w:fldChar w:fldCharType="begin"/>
      </w:r>
      <w:r>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Pr>
          <w:noProof/>
        </w:rPr>
        <w:t>)</w:t>
      </w:r>
      <w:r>
        <w:fldChar w:fldCharType="end"/>
      </w:r>
      <w:r>
        <w:t>, and that the remaining plastics (coloured HDPE, PP, PVC, L/LLDPE) are exported as mixed bailed plastic.</w:t>
      </w:r>
    </w:p>
    <w:p w14:paraId="07E20EE6" w14:textId="7A2DF447" w:rsidR="00D5610F" w:rsidRDefault="00D5610F" w:rsidP="00D5610F">
      <w:r>
        <w:lastRenderedPageBreak/>
        <w:t xml:space="preserve">Within Australia, clear PET and natural HDPE are known to be reprocessed by a number of companies. </w:t>
      </w:r>
      <w:r>
        <w:fldChar w:fldCharType="begin"/>
      </w:r>
      <w:r>
        <w:instrText xml:space="preserve"> ADDIN EN.CITE &lt;EndNote&gt;&lt;Cite AuthorYear="1"&gt;&lt;Author&gt;Allan&lt;/Author&gt;&lt;Year&gt;2013&lt;/Year&gt;&lt;RecNum&gt;611&lt;/RecNum&gt;&lt;DisplayText&gt;Allan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fldChar w:fldCharType="separate"/>
      </w:r>
      <w:hyperlink w:anchor="_ENREF_5" w:tooltip="Allan, 2013 #611" w:history="1">
        <w:r w:rsidR="00F40CE2">
          <w:rPr>
            <w:noProof/>
          </w:rPr>
          <w:t>Allan and A’Vard (2013</w:t>
        </w:r>
      </w:hyperlink>
      <w:r>
        <w:rPr>
          <w:noProof/>
        </w:rPr>
        <w:t>)</w:t>
      </w:r>
      <w:r>
        <w:fldChar w:fldCharType="end"/>
      </w:r>
      <w:r>
        <w:t xml:space="preserve"> list a number of reprocessors for both HDPE and PET in Victoria (Melbourne region) and interstate. Reprocessing pathways vary from company to company, with some reprocessing plastic packaging into pellet and flake forms, suitable for non-food applications, whereas others are able to reprocess to a food grade level.</w:t>
      </w:r>
    </w:p>
    <w:p w14:paraId="06623A11" w14:textId="45B2AAFE" w:rsidR="00D5610F" w:rsidRDefault="00D5610F" w:rsidP="00D5610F">
      <w:r>
        <w:t xml:space="preserve">The reprocessing of PET and HDPE has been studied in detail in the U.S. and a life cycle inventory developed </w:t>
      </w:r>
      <w:r>
        <w:fldChar w:fldCharType="begin"/>
      </w:r>
      <w:r w:rsidR="00F40CE2">
        <w:instrText xml:space="preserve"> ADDIN EN.CITE &lt;EndNote&gt;&lt;Cite&gt;&lt;Author&gt;Franklin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r w:rsidR="00F40CE2">
        <w:rPr>
          <w:noProof/>
        </w:rPr>
        <w:t>(</w:t>
      </w:r>
      <w:hyperlink w:anchor="_ENREF_29" w:tooltip="Franklin Associates., 2010 #284" w:history="1">
        <w:r w:rsidR="00F40CE2">
          <w:rPr>
            <w:noProof/>
          </w:rPr>
          <w:t>Franklin Associates., 2010</w:t>
        </w:r>
      </w:hyperlink>
      <w:r w:rsidR="00F40CE2">
        <w:rPr>
          <w:noProof/>
        </w:rPr>
        <w:t>)</w:t>
      </w:r>
      <w:r>
        <w:fldChar w:fldCharType="end"/>
      </w:r>
      <w:r>
        <w:t xml:space="preserve">. The inventory addresses the entire process of collecting sorting and reprocessing PET and HDPE, however only reprocessing is addressed here. The inventory of reprocessing of sorted PET and HDPE into pelletised form is shown in </w:t>
      </w:r>
      <w:r>
        <w:fldChar w:fldCharType="begin"/>
      </w:r>
      <w:r>
        <w:instrText xml:space="preserve"> REF _Ref358133756 \h </w:instrText>
      </w:r>
      <w:r>
        <w:fldChar w:fldCharType="separate"/>
      </w:r>
      <w:r w:rsidR="00564E5C">
        <w:t xml:space="preserve">Table </w:t>
      </w:r>
      <w:r w:rsidR="00564E5C">
        <w:rPr>
          <w:noProof/>
        </w:rPr>
        <w:t>30</w:t>
      </w:r>
      <w:r>
        <w:fldChar w:fldCharType="end"/>
      </w:r>
      <w:r>
        <w:t xml:space="preserve"> and </w:t>
      </w:r>
      <w:r>
        <w:fldChar w:fldCharType="begin"/>
      </w:r>
      <w:r>
        <w:instrText xml:space="preserve"> REF _Ref358133760 \h </w:instrText>
      </w:r>
      <w:r>
        <w:fldChar w:fldCharType="separate"/>
      </w:r>
      <w:r w:rsidR="00564E5C">
        <w:t xml:space="preserve">Table </w:t>
      </w:r>
      <w:r w:rsidR="00564E5C">
        <w:rPr>
          <w:noProof/>
        </w:rPr>
        <w:t>31</w:t>
      </w:r>
      <w:r>
        <w:fldChar w:fldCharType="end"/>
      </w:r>
      <w:r>
        <w:t>.</w:t>
      </w:r>
    </w:p>
    <w:p w14:paraId="015A4D9C" w14:textId="08D6CD0F" w:rsidR="00D5610F" w:rsidRDefault="00D5610F" w:rsidP="00D5610F">
      <w:pPr>
        <w:pStyle w:val="Caption"/>
        <w:keepNext/>
      </w:pPr>
      <w:bookmarkStart w:id="153" w:name="_Ref358133756"/>
      <w:r>
        <w:t xml:space="preserve">Table </w:t>
      </w:r>
      <w:r w:rsidR="00FC7DE2">
        <w:fldChar w:fldCharType="begin"/>
      </w:r>
      <w:r w:rsidR="00FC7DE2">
        <w:instrText xml:space="preserve"> SEQ Table \* ARABIC </w:instrText>
      </w:r>
      <w:r w:rsidR="00FC7DE2">
        <w:fldChar w:fldCharType="separate"/>
      </w:r>
      <w:r w:rsidR="00564E5C">
        <w:rPr>
          <w:noProof/>
        </w:rPr>
        <w:t>30</w:t>
      </w:r>
      <w:r w:rsidR="00FC7DE2">
        <w:rPr>
          <w:noProof/>
        </w:rPr>
        <w:fldChar w:fldCharType="end"/>
      </w:r>
      <w:bookmarkEnd w:id="153"/>
      <w:r>
        <w:t xml:space="preserve"> Inventory flows to produce 1 </w:t>
      </w:r>
      <w:r w:rsidR="00E82F90">
        <w:t>t</w:t>
      </w:r>
      <w:r>
        <w:t xml:space="preserve"> of reprocessed PET from sorted postconsumer PET </w:t>
      </w:r>
      <w:r>
        <w:fldChar w:fldCharType="begin"/>
      </w:r>
      <w:r w:rsidR="00F40CE2">
        <w:instrText xml:space="preserve"> ADDIN EN.CITE &lt;EndNote&gt;&lt;Cite&gt;&lt;Author&gt;Franklin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r w:rsidR="00F40CE2">
        <w:rPr>
          <w:noProof/>
        </w:rPr>
        <w:t>(</w:t>
      </w:r>
      <w:hyperlink w:anchor="_ENREF_29" w:tooltip="Franklin Associates., 2010 #284" w:history="1">
        <w:r w:rsidR="00F40CE2">
          <w:rPr>
            <w:noProof/>
          </w:rPr>
          <w:t>Franklin Associates., 2010</w:t>
        </w:r>
      </w:hyperlink>
      <w:r w:rsidR="00F40CE2">
        <w:rPr>
          <w:noProof/>
        </w:rPr>
        <w:t>)</w:t>
      </w:r>
      <w:r>
        <w:fldChar w:fldCharType="end"/>
      </w:r>
      <w:r>
        <w:t>. Quantities adjusted to metric units from original publication.</w:t>
      </w:r>
    </w:p>
    <w:p w14:paraId="00600C54" w14:textId="77777777" w:rsidR="00D5610F" w:rsidRDefault="00D5610F" w:rsidP="00D5610F">
      <w:r w:rsidRPr="002821B2">
        <w:rPr>
          <w:noProof/>
        </w:rPr>
        <w:drawing>
          <wp:inline distT="0" distB="0" distL="0" distR="0" wp14:anchorId="56D7D676" wp14:editId="314B535F">
            <wp:extent cx="2533650" cy="3248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3650" cy="3248025"/>
                    </a:xfrm>
                    <a:prstGeom prst="rect">
                      <a:avLst/>
                    </a:prstGeom>
                    <a:noFill/>
                    <a:ln>
                      <a:noFill/>
                    </a:ln>
                  </pic:spPr>
                </pic:pic>
              </a:graphicData>
            </a:graphic>
          </wp:inline>
        </w:drawing>
      </w:r>
    </w:p>
    <w:p w14:paraId="7FC59DE6" w14:textId="77777777" w:rsidR="00D5610F" w:rsidRDefault="00D5610F" w:rsidP="00D5610F"/>
    <w:p w14:paraId="5B476C69" w14:textId="7A80C09C" w:rsidR="00D5610F" w:rsidRDefault="00D5610F" w:rsidP="00D5610F">
      <w:pPr>
        <w:pStyle w:val="Caption"/>
        <w:keepNext/>
      </w:pPr>
      <w:bookmarkStart w:id="154" w:name="_Ref358133760"/>
      <w:r>
        <w:lastRenderedPageBreak/>
        <w:t xml:space="preserve">Table </w:t>
      </w:r>
      <w:r w:rsidR="00FC7DE2">
        <w:fldChar w:fldCharType="begin"/>
      </w:r>
      <w:r w:rsidR="00FC7DE2">
        <w:instrText xml:space="preserve"> SEQ Table \* ARABIC </w:instrText>
      </w:r>
      <w:r w:rsidR="00FC7DE2">
        <w:fldChar w:fldCharType="separate"/>
      </w:r>
      <w:r w:rsidR="00564E5C">
        <w:rPr>
          <w:noProof/>
        </w:rPr>
        <w:t>31</w:t>
      </w:r>
      <w:r w:rsidR="00FC7DE2">
        <w:rPr>
          <w:noProof/>
        </w:rPr>
        <w:fldChar w:fldCharType="end"/>
      </w:r>
      <w:bookmarkEnd w:id="154"/>
      <w:r>
        <w:t xml:space="preserve"> </w:t>
      </w:r>
      <w:r w:rsidRPr="00F96BE3">
        <w:t xml:space="preserve">Inventory flows to produce 1 </w:t>
      </w:r>
      <w:r w:rsidR="00E82F90">
        <w:t>t</w:t>
      </w:r>
      <w:r w:rsidRPr="00F96BE3">
        <w:t xml:space="preserve"> of reprocessed </w:t>
      </w:r>
      <w:r>
        <w:t>HDPE</w:t>
      </w:r>
      <w:r w:rsidRPr="00F96BE3">
        <w:t xml:space="preserve"> from sorted postconsumer PET </w:t>
      </w:r>
      <w:r>
        <w:fldChar w:fldCharType="begin"/>
      </w:r>
      <w:r w:rsidR="00F40CE2">
        <w:instrText xml:space="preserve"> ADDIN EN.CITE &lt;EndNote&gt;&lt;Cite&gt;&lt;Author&gt;Franklin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r w:rsidR="00F40CE2">
        <w:rPr>
          <w:noProof/>
        </w:rPr>
        <w:t>(</w:t>
      </w:r>
      <w:hyperlink w:anchor="_ENREF_29" w:tooltip="Franklin Associates., 2010 #284" w:history="1">
        <w:r w:rsidR="00F40CE2">
          <w:rPr>
            <w:noProof/>
          </w:rPr>
          <w:t>Franklin Associates., 2010</w:t>
        </w:r>
      </w:hyperlink>
      <w:r w:rsidR="00F40CE2">
        <w:rPr>
          <w:noProof/>
        </w:rPr>
        <w:t>)</w:t>
      </w:r>
      <w:r>
        <w:fldChar w:fldCharType="end"/>
      </w:r>
      <w:r w:rsidRPr="00F96BE3">
        <w:t>. Quantities adjusted to metric units from original publication.</w:t>
      </w:r>
    </w:p>
    <w:p w14:paraId="5E16E311" w14:textId="77777777" w:rsidR="00D5610F" w:rsidRDefault="00D5610F" w:rsidP="00D5610F">
      <w:r w:rsidRPr="002821B2">
        <w:rPr>
          <w:noProof/>
        </w:rPr>
        <w:drawing>
          <wp:inline distT="0" distB="0" distL="0" distR="0" wp14:anchorId="31CA2992" wp14:editId="33A99983">
            <wp:extent cx="2533650" cy="35718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3650" cy="3571875"/>
                    </a:xfrm>
                    <a:prstGeom prst="rect">
                      <a:avLst/>
                    </a:prstGeom>
                    <a:noFill/>
                    <a:ln>
                      <a:noFill/>
                    </a:ln>
                  </pic:spPr>
                </pic:pic>
              </a:graphicData>
            </a:graphic>
          </wp:inline>
        </w:drawing>
      </w:r>
    </w:p>
    <w:p w14:paraId="2F11E4BC" w14:textId="18B94344" w:rsidR="00D5610F" w:rsidRDefault="00D5610F" w:rsidP="00D5610F">
      <w:r>
        <w:t xml:space="preserve">When considering the inventories developed by </w:t>
      </w:r>
      <w:r>
        <w:fldChar w:fldCharType="begin"/>
      </w:r>
      <w:r>
        <w:instrText xml:space="preserve"> ADDIN EN.CITE &lt;EndNote&gt;&lt;Cite AuthorYear="1"&gt;&lt;Author&gt;Franklin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hyperlink w:anchor="_ENREF_29" w:tooltip="Franklin Associates., 2010 #284" w:history="1">
        <w:r w:rsidR="00F40CE2">
          <w:rPr>
            <w:noProof/>
          </w:rPr>
          <w:t>Franklin Associates. (2010</w:t>
        </w:r>
      </w:hyperlink>
      <w:r>
        <w:rPr>
          <w:noProof/>
        </w:rPr>
        <w:t>)</w:t>
      </w:r>
      <w:r>
        <w:fldChar w:fldCharType="end"/>
      </w:r>
      <w:r>
        <w:t>, it is important to note the differences in contamination rates seen between the two plastics considered. PET has a significantly higher contamination rate of 18.3% versus HDPE which has a contamination rate of 7%. This difference may have little to do with the inherent qualities of the two plastics and may reflect variation in MRF sorting efficiency or other factors.</w:t>
      </w:r>
    </w:p>
    <w:p w14:paraId="5C80C6CE" w14:textId="77777777" w:rsidR="00D5610F" w:rsidRDefault="00D5610F" w:rsidP="00D5610F">
      <w:pPr>
        <w:pStyle w:val="Heading4"/>
      </w:pPr>
      <w:bookmarkStart w:id="155" w:name="_Ref360028645"/>
      <w:bookmarkStart w:id="156" w:name="_Toc361755315"/>
      <w:r>
        <w:t>Plastics reprocessing in China</w:t>
      </w:r>
      <w:bookmarkEnd w:id="155"/>
      <w:bookmarkEnd w:id="156"/>
    </w:p>
    <w:p w14:paraId="6431F190" w14:textId="33A07F95" w:rsidR="00D5610F" w:rsidRDefault="00D5610F" w:rsidP="00D5610F">
      <w:r>
        <w:t xml:space="preserve">China absorbs 70% of globally traded recovered plastics </w:t>
      </w:r>
      <w:r>
        <w:fldChar w:fldCharType="begin"/>
      </w:r>
      <w:r w:rsidR="00F40CE2">
        <w:instrText xml:space="preserve"> ADDIN EN.CITE &lt;EndNote&gt;&lt;Cite&gt;&lt;Author&gt;WRAP&lt;/Author&gt;&lt;Year&gt;2006&lt;/Year&gt;&lt;RecNum&gt;666&lt;/RecNum&gt;&lt;DisplayText&gt;(WRAP, 2006)&lt;/DisplayText&gt;&lt;record&gt;&lt;rec-number&gt;666&lt;/rec-number&gt;&lt;foreign-keys&gt;&lt;key app="EN" db-id="tfpv5staxsvs2nexzpp5taewzsvpx0er5fap"&gt;666&lt;/key&gt;&lt;/foreign-keys&gt;&lt;ref-type name="Report"&gt;27&lt;/ref-type&gt;&lt;contributors&gt;&lt;authors&gt;&lt;author&gt;WRAP,&lt;/author&gt;&lt;/authors&gt;&lt;/contributors&gt;&lt;titles&gt;&lt;title&gt;UK Plastics Waste – A review of supplies for recycling, global market demand, future trends and associated risks&lt;/title&gt;&lt;/titles&gt;&lt;dates&gt;&lt;year&gt;2006&lt;/year&gt;&lt;/dates&gt;&lt;pub-location&gt;Banbury&lt;/pub-location&gt;&lt;urls&gt;&lt;/urls&gt;&lt;/record&gt;&lt;/Cite&gt;&lt;/EndNote&gt;</w:instrText>
      </w:r>
      <w:r>
        <w:fldChar w:fldCharType="separate"/>
      </w:r>
      <w:r w:rsidR="00F40CE2">
        <w:rPr>
          <w:noProof/>
        </w:rPr>
        <w:t>(</w:t>
      </w:r>
      <w:hyperlink w:anchor="_ENREF_88" w:tooltip="WRAP, 2006 #666" w:history="1">
        <w:r w:rsidR="00F40CE2">
          <w:rPr>
            <w:noProof/>
          </w:rPr>
          <w:t>WRAP, 2006</w:t>
        </w:r>
      </w:hyperlink>
      <w:r w:rsidR="00F40CE2">
        <w:rPr>
          <w:noProof/>
        </w:rPr>
        <w:t>)</w:t>
      </w:r>
      <w:r>
        <w:fldChar w:fldCharType="end"/>
      </w:r>
      <w:r>
        <w:t>. Shipping of plastics to China is facilitated by low cost container freight due to trade imbalances between China and many of its trading partners.</w:t>
      </w:r>
      <w:r w:rsidR="008C57CD">
        <w:t xml:space="preserve"> </w:t>
      </w:r>
      <w:r>
        <w:t>Determining the exact nature of waste plastic reprocessing in China is difficult, although known uses for recovered plastics include:</w:t>
      </w:r>
    </w:p>
    <w:p w14:paraId="6B0D01F8" w14:textId="4DDED33C" w:rsidR="00D5610F" w:rsidRDefault="00D5610F" w:rsidP="009E73CF">
      <w:pPr>
        <w:pStyle w:val="ListParagraph"/>
        <w:numPr>
          <w:ilvl w:val="0"/>
          <w:numId w:val="35"/>
        </w:numPr>
      </w:pPr>
      <w:r>
        <w:t xml:space="preserve">PET - polyester fibre used </w:t>
      </w:r>
      <w:r w:rsidR="008C57CD">
        <w:t xml:space="preserve">for </w:t>
      </w:r>
      <w:r>
        <w:t>stuffing for toys and furniture, textiles.</w:t>
      </w:r>
    </w:p>
    <w:p w14:paraId="6D116D12" w14:textId="77777777" w:rsidR="00D5610F" w:rsidRDefault="00D5610F" w:rsidP="009E73CF">
      <w:pPr>
        <w:pStyle w:val="ListParagraph"/>
        <w:numPr>
          <w:ilvl w:val="0"/>
          <w:numId w:val="35"/>
        </w:numPr>
      </w:pPr>
      <w:r>
        <w:t>PVC - construction applications.</w:t>
      </w:r>
    </w:p>
    <w:p w14:paraId="50922D9F" w14:textId="77777777" w:rsidR="00D5610F" w:rsidRDefault="00D5610F" w:rsidP="009E73CF">
      <w:pPr>
        <w:pStyle w:val="ListParagraph"/>
        <w:numPr>
          <w:ilvl w:val="0"/>
          <w:numId w:val="35"/>
        </w:numPr>
      </w:pPr>
      <w:r>
        <w:t>ABS - electronics and electrical equipment and household appliances.</w:t>
      </w:r>
    </w:p>
    <w:p w14:paraId="12ECFDC3" w14:textId="77777777" w:rsidR="00D5610F" w:rsidRDefault="00D5610F" w:rsidP="009E73CF">
      <w:pPr>
        <w:pStyle w:val="ListParagraph"/>
        <w:numPr>
          <w:ilvl w:val="0"/>
          <w:numId w:val="35"/>
        </w:numPr>
      </w:pPr>
      <w:r>
        <w:t>PE - packaging and agricultural plastics.</w:t>
      </w:r>
    </w:p>
    <w:p w14:paraId="28CFE2E1" w14:textId="77777777" w:rsidR="00D5610F" w:rsidRDefault="00D5610F" w:rsidP="009E73CF">
      <w:pPr>
        <w:pStyle w:val="ListParagraph"/>
        <w:numPr>
          <w:ilvl w:val="0"/>
          <w:numId w:val="35"/>
        </w:numPr>
      </w:pPr>
      <w:r>
        <w:t>PC – DVDs</w:t>
      </w:r>
    </w:p>
    <w:p w14:paraId="4A3F9EB0" w14:textId="4B3DACD7" w:rsidR="00D5610F" w:rsidRDefault="00D5610F" w:rsidP="00D5610F">
      <w:pPr>
        <w:pStyle w:val="ListParagraph"/>
        <w:numPr>
          <w:ilvl w:val="0"/>
          <w:numId w:val="0"/>
        </w:numPr>
        <w:ind w:left="720"/>
      </w:pPr>
      <w:r>
        <w:t xml:space="preserve">Source: </w:t>
      </w:r>
      <w:r>
        <w:fldChar w:fldCharType="begin"/>
      </w:r>
      <w:r w:rsidR="00F40CE2">
        <w:instrText xml:space="preserve"> ADDIN EN.CITE &lt;EndNote&gt;&lt;Cite&gt;&lt;Author&gt;WRAP&lt;/Author&gt;&lt;Year&gt;2006&lt;/Year&gt;&lt;RecNum&gt;666&lt;/RecNum&gt;&lt;DisplayText&gt;(WRAP, 2006)&lt;/DisplayText&gt;&lt;record&gt;&lt;rec-number&gt;666&lt;/rec-number&gt;&lt;foreign-keys&gt;&lt;key app="EN" db-id="tfpv5staxsvs2nexzpp5taewzsvpx0er5fap"&gt;666&lt;/key&gt;&lt;/foreign-keys&gt;&lt;ref-type name="Report"&gt;27&lt;/ref-type&gt;&lt;contributors&gt;&lt;authors&gt;&lt;author&gt;WRAP,&lt;/author&gt;&lt;/authors&gt;&lt;/contributors&gt;&lt;titles&gt;&lt;title&gt;UK Plastics Waste – A review of supplies for recycling, global market demand, future trends and associated risks&lt;/title&gt;&lt;/titles&gt;&lt;dates&gt;&lt;year&gt;2006&lt;/year&gt;&lt;/dates&gt;&lt;pub-location&gt;Banbury&lt;/pub-location&gt;&lt;urls&gt;&lt;/urls&gt;&lt;/record&gt;&lt;/Cite&gt;&lt;/EndNote&gt;</w:instrText>
      </w:r>
      <w:r>
        <w:fldChar w:fldCharType="separate"/>
      </w:r>
      <w:r w:rsidR="00F40CE2">
        <w:rPr>
          <w:noProof/>
        </w:rPr>
        <w:t>(</w:t>
      </w:r>
      <w:hyperlink w:anchor="_ENREF_88" w:tooltip="WRAP, 2006 #666" w:history="1">
        <w:r w:rsidR="00F40CE2">
          <w:rPr>
            <w:noProof/>
          </w:rPr>
          <w:t>WRAP, 2006</w:t>
        </w:r>
      </w:hyperlink>
      <w:r w:rsidR="00F40CE2">
        <w:rPr>
          <w:noProof/>
        </w:rPr>
        <w:t>)</w:t>
      </w:r>
      <w:r>
        <w:fldChar w:fldCharType="end"/>
      </w:r>
    </w:p>
    <w:p w14:paraId="05B7B4AF" w14:textId="63E39A5D" w:rsidR="00D5610F" w:rsidRDefault="00D5610F" w:rsidP="00D5610F">
      <w:r>
        <w:t xml:space="preserve">The province of Guangdong, accounts for 60% or waste plastic imports </w:t>
      </w:r>
      <w:r>
        <w:fldChar w:fldCharType="begin"/>
      </w:r>
      <w:r w:rsidR="00F40CE2">
        <w:instrText xml:space="preserve"> ADDIN EN.CITE &lt;EndNote&gt;&lt;Cite&gt;&lt;Author&gt;WRAP&lt;/Author&gt;&lt;Year&gt;2006&lt;/Year&gt;&lt;RecNum&gt;666&lt;/RecNum&gt;&lt;DisplayText&gt;(WRAP, 2006)&lt;/DisplayText&gt;&lt;record&gt;&lt;rec-number&gt;666&lt;/rec-number&gt;&lt;foreign-keys&gt;&lt;key app="EN" db-id="tfpv5staxsvs2nexzpp5taewzsvpx0er5fap"&gt;666&lt;/key&gt;&lt;/foreign-keys&gt;&lt;ref-type name="Report"&gt;27&lt;/ref-type&gt;&lt;contributors&gt;&lt;authors&gt;&lt;author&gt;WRAP,&lt;/author&gt;&lt;/authors&gt;&lt;/contributors&gt;&lt;titles&gt;&lt;title&gt;UK Plastics Waste – A review of supplies for recycling, global market demand, future trends and associated risks&lt;/title&gt;&lt;/titles&gt;&lt;dates&gt;&lt;year&gt;2006&lt;/year&gt;&lt;/dates&gt;&lt;pub-location&gt;Banbury&lt;/pub-location&gt;&lt;urls&gt;&lt;/urls&gt;&lt;/record&gt;&lt;/Cite&gt;&lt;/EndNote&gt;</w:instrText>
      </w:r>
      <w:r>
        <w:fldChar w:fldCharType="separate"/>
      </w:r>
      <w:r w:rsidR="00F40CE2">
        <w:rPr>
          <w:noProof/>
        </w:rPr>
        <w:t>(</w:t>
      </w:r>
      <w:hyperlink w:anchor="_ENREF_88" w:tooltip="WRAP, 2006 #666" w:history="1">
        <w:r w:rsidR="00F40CE2">
          <w:rPr>
            <w:noProof/>
          </w:rPr>
          <w:t>WRAP, 2006</w:t>
        </w:r>
      </w:hyperlink>
      <w:r w:rsidR="00F40CE2">
        <w:rPr>
          <w:noProof/>
        </w:rPr>
        <w:t>)</w:t>
      </w:r>
      <w:r>
        <w:fldChar w:fldCharType="end"/>
      </w:r>
      <w:r>
        <w:t xml:space="preserve">. </w:t>
      </w:r>
      <w:r>
        <w:fldChar w:fldCharType="begin"/>
      </w:r>
      <w:r>
        <w:instrText xml:space="preserve"> ADDIN EN.CITE &lt;EndNote&gt;&lt;Cite AuthorYear="1"&gt;&lt;Author&gt;Moore&lt;/Author&gt;&lt;Year&gt;2011&lt;/Year&gt;&lt;RecNum&gt;665&lt;/RecNum&gt;&lt;DisplayText&gt;Moore (2011)&lt;/DisplayText&gt;&lt;record&gt;&lt;rec-number&gt;665&lt;/rec-number&gt;&lt;foreign-keys&gt;&lt;key app="EN" db-id="tfpv5staxsvs2nexzpp5taewzsvpx0er5fap"&gt;665&lt;/key&gt;&lt;/foreign-keys&gt;&lt;ref-type name="Report"&gt;27&lt;/ref-type&gt;&lt;contributors&gt;&lt;authors&gt;&lt;author&gt;Patty Moore&lt;/author&gt;&lt;/authors&gt;&lt;/contributors&gt;&lt;titles&gt;&lt;title&gt;Film, PET and Mixed Plastic Recycling in China - An Account of Patty Moore’s Visits to Several Plastic Recycling Facilities in China&lt;/title&gt;&lt;/titles&gt;&lt;dates&gt;&lt;year&gt;2011&lt;/year&gt;&lt;/dates&gt;&lt;pub-location&gt;California&lt;/pub-location&gt;&lt;publisher&gt;Moore Recycling Associates Inc&lt;/publisher&gt;&lt;urls&gt;&lt;/urls&gt;&lt;/record&gt;&lt;/Cite&gt;&lt;/EndNote&gt;</w:instrText>
      </w:r>
      <w:r>
        <w:fldChar w:fldCharType="separate"/>
      </w:r>
      <w:hyperlink w:anchor="_ENREF_59" w:tooltip="Moore, 2011 #665" w:history="1">
        <w:r w:rsidR="00F40CE2">
          <w:rPr>
            <w:noProof/>
          </w:rPr>
          <w:t>Moore (2011</w:t>
        </w:r>
      </w:hyperlink>
      <w:r>
        <w:rPr>
          <w:noProof/>
        </w:rPr>
        <w:t>)</w:t>
      </w:r>
      <w:r>
        <w:fldChar w:fldCharType="end"/>
      </w:r>
      <w:r>
        <w:t xml:space="preserve"> describes an example of the process of recycling PET in China as follows:</w:t>
      </w:r>
    </w:p>
    <w:p w14:paraId="739B62E1" w14:textId="77777777" w:rsidR="00D5610F" w:rsidRDefault="00D5610F" w:rsidP="009E73CF">
      <w:pPr>
        <w:pStyle w:val="ListParagraph"/>
        <w:numPr>
          <w:ilvl w:val="0"/>
          <w:numId w:val="36"/>
        </w:numPr>
      </w:pPr>
      <w:r>
        <w:t>Bales opened and placed in bath of hot water</w:t>
      </w:r>
    </w:p>
    <w:p w14:paraId="2B2D529E" w14:textId="77777777" w:rsidR="00D5610F" w:rsidRDefault="00D5610F" w:rsidP="009E73CF">
      <w:pPr>
        <w:pStyle w:val="ListParagraph"/>
        <w:numPr>
          <w:ilvl w:val="0"/>
          <w:numId w:val="36"/>
        </w:numPr>
      </w:pPr>
      <w:r>
        <w:t>Washed materials a subjective to a positive sort, whereby PET bottles (green and clear) are removed from the mix leaving contaminants behind</w:t>
      </w:r>
    </w:p>
    <w:p w14:paraId="04C73B10" w14:textId="77777777" w:rsidR="00D5610F" w:rsidRDefault="00D5610F" w:rsidP="009E73CF">
      <w:pPr>
        <w:pStyle w:val="ListParagraph"/>
        <w:numPr>
          <w:ilvl w:val="0"/>
          <w:numId w:val="36"/>
        </w:numPr>
      </w:pPr>
      <w:r>
        <w:t>Colour separated PET bottles are ground into flake and passed through a float/sink tank</w:t>
      </w:r>
    </w:p>
    <w:p w14:paraId="6A31891C" w14:textId="77777777" w:rsidR="00D5610F" w:rsidRDefault="00D5610F" w:rsidP="009E73CF">
      <w:pPr>
        <w:pStyle w:val="ListParagraph"/>
        <w:numPr>
          <w:ilvl w:val="0"/>
          <w:numId w:val="36"/>
        </w:numPr>
      </w:pPr>
      <w:r>
        <w:t>PET sinks and PP floats (bottle caps)</w:t>
      </w:r>
    </w:p>
    <w:p w14:paraId="0965EF23" w14:textId="77777777" w:rsidR="00D5610F" w:rsidRDefault="00D5610F" w:rsidP="009E73CF">
      <w:pPr>
        <w:pStyle w:val="ListParagraph"/>
        <w:numPr>
          <w:ilvl w:val="0"/>
          <w:numId w:val="36"/>
        </w:numPr>
      </w:pPr>
      <w:r>
        <w:t>Both recovered material streams are washed in hot water, surfactants and caustics</w:t>
      </w:r>
    </w:p>
    <w:p w14:paraId="2693BDC6" w14:textId="77777777" w:rsidR="00D5610F" w:rsidRDefault="00D5610F" w:rsidP="009E73CF">
      <w:pPr>
        <w:pStyle w:val="ListParagraph"/>
        <w:numPr>
          <w:ilvl w:val="0"/>
          <w:numId w:val="36"/>
        </w:numPr>
      </w:pPr>
      <w:r>
        <w:t>Materials are dried and bagged</w:t>
      </w:r>
    </w:p>
    <w:p w14:paraId="0CE42748" w14:textId="158B2789" w:rsidR="00D5610F" w:rsidRDefault="00D5610F" w:rsidP="00D5610F">
      <w:pPr>
        <w:pStyle w:val="ListParagraph"/>
        <w:numPr>
          <w:ilvl w:val="0"/>
          <w:numId w:val="0"/>
        </w:numPr>
        <w:ind w:left="720"/>
      </w:pPr>
      <w:r>
        <w:t xml:space="preserve">Source: </w:t>
      </w:r>
      <w:r>
        <w:fldChar w:fldCharType="begin"/>
      </w:r>
      <w:r w:rsidR="00F40CE2">
        <w:instrText xml:space="preserve"> ADDIN EN.CITE &lt;EndNote&gt;&lt;Cite&gt;&lt;Author&gt;Moore&lt;/Author&gt;&lt;Year&gt;2011&lt;/Year&gt;&lt;RecNum&gt;665&lt;/RecNum&gt;&lt;DisplayText&gt;(Moore, 2011)&lt;/DisplayText&gt;&lt;record&gt;&lt;rec-number&gt;665&lt;/rec-number&gt;&lt;foreign-keys&gt;&lt;key app="EN" db-id="tfpv5staxsvs2nexzpp5taewzsvpx0er5fap"&gt;665&lt;/key&gt;&lt;/foreign-keys&gt;&lt;ref-type name="Report"&gt;27&lt;/ref-type&gt;&lt;contributors&gt;&lt;authors&gt;&lt;author&gt;Patty Moore&lt;/author&gt;&lt;/authors&gt;&lt;/contributors&gt;&lt;titles&gt;&lt;title&gt;Film, PET and Mixed Plastic Recycling in China - An Account of Patty Moore’s Visits to Several Plastic Recycling Facilities in China&lt;/title&gt;&lt;/titles&gt;&lt;dates&gt;&lt;year&gt;2011&lt;/year&gt;&lt;/dates&gt;&lt;pub-location&gt;California&lt;/pub-location&gt;&lt;publisher&gt;Moore Recycling Associates Inc&lt;/publisher&gt;&lt;urls&gt;&lt;/urls&gt;&lt;/record&gt;&lt;/Cite&gt;&lt;/EndNote&gt;</w:instrText>
      </w:r>
      <w:r>
        <w:fldChar w:fldCharType="separate"/>
      </w:r>
      <w:r w:rsidR="00F40CE2">
        <w:rPr>
          <w:noProof/>
        </w:rPr>
        <w:t>(</w:t>
      </w:r>
      <w:hyperlink w:anchor="_ENREF_59" w:tooltip="Moore, 2011 #665" w:history="1">
        <w:r w:rsidR="00F40CE2">
          <w:rPr>
            <w:noProof/>
          </w:rPr>
          <w:t>Moore, 2011</w:t>
        </w:r>
      </w:hyperlink>
      <w:r w:rsidR="00F40CE2">
        <w:rPr>
          <w:noProof/>
        </w:rPr>
        <w:t>)</w:t>
      </w:r>
      <w:r>
        <w:fldChar w:fldCharType="end"/>
      </w:r>
    </w:p>
    <w:p w14:paraId="27C39A2C" w14:textId="3C0758A9" w:rsidR="00D5610F" w:rsidRDefault="00D5610F" w:rsidP="00D5610F">
      <w:r>
        <w:lastRenderedPageBreak/>
        <w:t xml:space="preserve">Reprocessing pathways for mixed plastic bails are particularly difficult to determine, however some research has been completed. </w:t>
      </w:r>
      <w:r>
        <w:fldChar w:fldCharType="begin"/>
      </w:r>
      <w:r>
        <w:instrText xml:space="preserve"> ADDIN EN.CITE &lt;EndNote&gt;&lt;Cite AuthorYear="1"&gt;&lt;Author&gt;Moore&lt;/Author&gt;&lt;Year&gt;2011&lt;/Year&gt;&lt;RecNum&gt;665&lt;/RecNum&gt;&lt;DisplayText&gt;Moore (2011)&lt;/DisplayText&gt;&lt;record&gt;&lt;rec-number&gt;665&lt;/rec-number&gt;&lt;foreign-keys&gt;&lt;key app="EN" db-id="tfpv5staxsvs2nexzpp5taewzsvpx0er5fap"&gt;665&lt;/key&gt;&lt;/foreign-keys&gt;&lt;ref-type name="Report"&gt;27&lt;/ref-type&gt;&lt;contributors&gt;&lt;authors&gt;&lt;author&gt;Patty Moore&lt;/author&gt;&lt;/authors&gt;&lt;/contributors&gt;&lt;titles&gt;&lt;title&gt;Film, PET and Mixed Plastic Recycling in China - An Account of Patty Moore’s Visits to Several Plastic Recycling Facilities in China&lt;/title&gt;&lt;/titles&gt;&lt;dates&gt;&lt;year&gt;2011&lt;/year&gt;&lt;/dates&gt;&lt;pub-location&gt;California&lt;/pub-location&gt;&lt;publisher&gt;Moore Recycling Associates Inc&lt;/publisher&gt;&lt;urls&gt;&lt;/urls&gt;&lt;/record&gt;&lt;/Cite&gt;&lt;/EndNote&gt;</w:instrText>
      </w:r>
      <w:r>
        <w:fldChar w:fldCharType="separate"/>
      </w:r>
      <w:hyperlink w:anchor="_ENREF_59" w:tooltip="Moore, 2011 #665" w:history="1">
        <w:r w:rsidR="00F40CE2">
          <w:rPr>
            <w:noProof/>
          </w:rPr>
          <w:t>Moore (2011</w:t>
        </w:r>
      </w:hyperlink>
      <w:r>
        <w:rPr>
          <w:noProof/>
        </w:rPr>
        <w:t>)</w:t>
      </w:r>
      <w:r>
        <w:fldChar w:fldCharType="end"/>
      </w:r>
      <w:r>
        <w:t xml:space="preserve"> describes the process of recycling mixed bails as follows:</w:t>
      </w:r>
    </w:p>
    <w:p w14:paraId="15FE597C" w14:textId="77777777" w:rsidR="00D5610F" w:rsidRDefault="00D5610F" w:rsidP="009E73CF">
      <w:pPr>
        <w:pStyle w:val="ListParagraph"/>
        <w:numPr>
          <w:ilvl w:val="0"/>
          <w:numId w:val="37"/>
        </w:numPr>
      </w:pPr>
      <w:r>
        <w:t>Postconsumer bails arrive in Hong Kong where they are inspected, placed in containers and shipped into the interior of Mainland China (to warehouse or recycling facility)</w:t>
      </w:r>
    </w:p>
    <w:p w14:paraId="59BBB92B" w14:textId="77777777" w:rsidR="00D5610F" w:rsidRDefault="00D5610F" w:rsidP="00D5610F">
      <w:pPr>
        <w:ind w:left="360"/>
      </w:pPr>
      <w:r>
        <w:t>Initial sort:</w:t>
      </w:r>
    </w:p>
    <w:p w14:paraId="11BB9FA2" w14:textId="77777777" w:rsidR="00D5610F" w:rsidRDefault="00D5610F" w:rsidP="009E73CF">
      <w:pPr>
        <w:pStyle w:val="ListParagraph"/>
        <w:numPr>
          <w:ilvl w:val="0"/>
          <w:numId w:val="37"/>
        </w:numPr>
      </w:pPr>
      <w:r>
        <w:t>The first recycling facility pulls PE and PP from the bails and sorts by resin and colour</w:t>
      </w:r>
    </w:p>
    <w:p w14:paraId="65E7CABD" w14:textId="77777777" w:rsidR="00D5610F" w:rsidRDefault="00D5610F" w:rsidP="009E73CF">
      <w:pPr>
        <w:pStyle w:val="ListParagraph"/>
        <w:numPr>
          <w:ilvl w:val="0"/>
          <w:numId w:val="37"/>
        </w:numPr>
      </w:pPr>
      <w:r>
        <w:t>Nine categories of colour are sorted</w:t>
      </w:r>
    </w:p>
    <w:p w14:paraId="08599A0B" w14:textId="77777777" w:rsidR="00D5610F" w:rsidRDefault="00D5610F" w:rsidP="009E73CF">
      <w:pPr>
        <w:pStyle w:val="ListParagraph"/>
        <w:numPr>
          <w:ilvl w:val="0"/>
          <w:numId w:val="37"/>
        </w:numPr>
      </w:pPr>
      <w:r>
        <w:t>After colour sort, the PP or PE is ground and put into a float/sink tank</w:t>
      </w:r>
    </w:p>
    <w:p w14:paraId="70774241" w14:textId="77777777" w:rsidR="00D5610F" w:rsidRDefault="00D5610F" w:rsidP="009E73CF">
      <w:pPr>
        <w:pStyle w:val="ListParagraph"/>
        <w:numPr>
          <w:ilvl w:val="0"/>
          <w:numId w:val="37"/>
        </w:numPr>
      </w:pPr>
      <w:r>
        <w:t>Olefin plastics (PE and PP) float, whereas the contaminants sink</w:t>
      </w:r>
    </w:p>
    <w:p w14:paraId="2A35A28A" w14:textId="77777777" w:rsidR="00D5610F" w:rsidRDefault="00D5610F" w:rsidP="009E73CF">
      <w:pPr>
        <w:pStyle w:val="ListParagraph"/>
        <w:numPr>
          <w:ilvl w:val="0"/>
          <w:numId w:val="37"/>
        </w:numPr>
      </w:pPr>
      <w:r>
        <w:t>Flake is moved to a wash tank, rinsed and spun dry</w:t>
      </w:r>
    </w:p>
    <w:p w14:paraId="66A94366" w14:textId="77777777" w:rsidR="00D5610F" w:rsidRDefault="00D5610F" w:rsidP="009E73CF">
      <w:pPr>
        <w:pStyle w:val="ListParagraph"/>
        <w:numPr>
          <w:ilvl w:val="0"/>
          <w:numId w:val="37"/>
        </w:numPr>
      </w:pPr>
      <w:r>
        <w:t>Some facilities pelletise the material, whereas others sell the bagged flake</w:t>
      </w:r>
    </w:p>
    <w:p w14:paraId="068B93E6" w14:textId="77777777" w:rsidR="00D5610F" w:rsidRDefault="00D5610F" w:rsidP="00D5610F">
      <w:pPr>
        <w:ind w:left="360"/>
      </w:pPr>
      <w:r>
        <w:t>Secondary sort:</w:t>
      </w:r>
    </w:p>
    <w:p w14:paraId="33B58AFD" w14:textId="77777777" w:rsidR="00D5610F" w:rsidRDefault="00D5610F" w:rsidP="009E73CF">
      <w:pPr>
        <w:pStyle w:val="ListParagraph"/>
        <w:numPr>
          <w:ilvl w:val="0"/>
          <w:numId w:val="37"/>
        </w:numPr>
      </w:pPr>
      <w:r>
        <w:t>Small pieces, not separated in the first sort are gathered and passed through the float/sink tank</w:t>
      </w:r>
    </w:p>
    <w:p w14:paraId="56A1DABC" w14:textId="77777777" w:rsidR="00D5610F" w:rsidRDefault="00D5610F" w:rsidP="009E73CF">
      <w:pPr>
        <w:pStyle w:val="ListParagraph"/>
        <w:numPr>
          <w:ilvl w:val="0"/>
          <w:numId w:val="37"/>
        </w:numPr>
      </w:pPr>
      <w:r>
        <w:t>The recovered material is washed and dried and used for colour neutral applications</w:t>
      </w:r>
    </w:p>
    <w:p w14:paraId="1A513B6F" w14:textId="77777777" w:rsidR="00D5610F" w:rsidRDefault="00D5610F" w:rsidP="009E73CF">
      <w:pPr>
        <w:pStyle w:val="ListParagraph"/>
        <w:numPr>
          <w:ilvl w:val="0"/>
          <w:numId w:val="37"/>
        </w:numPr>
      </w:pPr>
      <w:r>
        <w:t xml:space="preserve">Remaining plastics, non-olefins, are gathered and sent to a second facility for further sorting by colour and a similar grinding and washing process is employed. </w:t>
      </w:r>
    </w:p>
    <w:p w14:paraId="3961E2B2" w14:textId="77777777" w:rsidR="00D5610F" w:rsidRDefault="00D5610F" w:rsidP="00D5610F">
      <w:pPr>
        <w:pStyle w:val="Heading4"/>
      </w:pPr>
      <w:bookmarkStart w:id="157" w:name="_Toc361755316"/>
      <w:r>
        <w:t>Plastic production from resources extracted from the environment</w:t>
      </w:r>
      <w:bookmarkEnd w:id="157"/>
    </w:p>
    <w:p w14:paraId="7B42AA8A" w14:textId="5B23BD92" w:rsidR="00D5610F" w:rsidRDefault="00D5610F" w:rsidP="00D5610F">
      <w:r>
        <w:t xml:space="preserve">Plastics used in Australia come from a range of sources, some local and some international </w:t>
      </w:r>
      <w:r>
        <w:fldChar w:fldCharType="begin"/>
      </w:r>
      <w:r w:rsidR="00F40CE2">
        <w:instrText xml:space="preserve"> ADDIN EN.CITE &lt;EndNote&gt;&lt;Cite&gt;&lt;Author&gt;Hyder Consulting&lt;/Author&gt;&lt;Year&gt;2011&lt;/Year&gt;&lt;RecNum&gt;619&lt;/RecNum&gt;&lt;DisplayText&gt;(Hyder Consulting, 2011)&lt;/DisplayText&gt;&lt;record&gt;&lt;rec-number&gt;619&lt;/rec-number&gt;&lt;foreign-keys&gt;&lt;key app="EN" db-id="tfpv5staxsvs2nexzpp5taewzsvpx0er5fap"&gt;619&lt;/key&gt;&lt;/foreign-keys&gt;&lt;ref-type name="Report"&gt;27&lt;/ref-type&gt;&lt;contributors&gt;&lt;authors&gt;&lt;author&gt;Hyder Consulting,&lt;/author&gt;&lt;/authors&gt;&lt;/contributors&gt;&lt;titles&gt;&lt;title&gt;2010 National Plastics Recycling Survey - July 2009 to June 2010 survey period&lt;/title&gt;&lt;/titles&gt;&lt;dates&gt;&lt;year&gt;2011&lt;/year&gt;&lt;/dates&gt;&lt;pub-location&gt;Melbourne&lt;/pub-location&gt;&lt;publisher&gt;Plastics and Chemicals Industries Association&lt;/publisher&gt;&lt;urls&gt;&lt;/urls&gt;&lt;/record&gt;&lt;/Cite&gt;&lt;/EndNote&gt;</w:instrText>
      </w:r>
      <w:r>
        <w:fldChar w:fldCharType="separate"/>
      </w:r>
      <w:r w:rsidR="00F40CE2">
        <w:rPr>
          <w:noProof/>
        </w:rPr>
        <w:t>(</w:t>
      </w:r>
      <w:hyperlink w:anchor="_ENREF_47" w:tooltip="Hyder Consulting, 2011 #619" w:history="1">
        <w:r w:rsidR="00F40CE2">
          <w:rPr>
            <w:noProof/>
          </w:rPr>
          <w:t>Hyder Consulting, 2011</w:t>
        </w:r>
      </w:hyperlink>
      <w:r w:rsidR="00F40CE2">
        <w:rPr>
          <w:noProof/>
        </w:rPr>
        <w:t>)</w:t>
      </w:r>
      <w:r>
        <w:fldChar w:fldCharType="end"/>
      </w:r>
      <w:r>
        <w:t>. The impacts of plastic production would be expected to vary between these sources. A range of life cycle inventories exist for the production of plastics, some of which are compared below when assessed for global warming impact and cumulative energy demand (</w:t>
      </w:r>
      <w:r>
        <w:fldChar w:fldCharType="begin"/>
      </w:r>
      <w:r>
        <w:instrText xml:space="preserve"> REF _Ref358143696 \h </w:instrText>
      </w:r>
      <w:r>
        <w:fldChar w:fldCharType="separate"/>
      </w:r>
      <w:r w:rsidR="00564E5C">
        <w:t xml:space="preserve">Figure </w:t>
      </w:r>
      <w:r w:rsidR="00564E5C">
        <w:rPr>
          <w:noProof/>
        </w:rPr>
        <w:t>14</w:t>
      </w:r>
      <w:r>
        <w:fldChar w:fldCharType="end"/>
      </w:r>
      <w:r>
        <w:t xml:space="preserve"> and </w:t>
      </w:r>
      <w:r>
        <w:fldChar w:fldCharType="begin"/>
      </w:r>
      <w:r>
        <w:instrText xml:space="preserve"> REF _Ref358143702 \h </w:instrText>
      </w:r>
      <w:r>
        <w:fldChar w:fldCharType="separate"/>
      </w:r>
      <w:r w:rsidR="00564E5C">
        <w:t xml:space="preserve">Figure </w:t>
      </w:r>
      <w:r w:rsidR="00564E5C">
        <w:rPr>
          <w:noProof/>
        </w:rPr>
        <w:t>15</w:t>
      </w:r>
      <w:r>
        <w:fldChar w:fldCharType="end"/>
      </w:r>
      <w:r>
        <w:t>).</w:t>
      </w:r>
    </w:p>
    <w:p w14:paraId="47957535" w14:textId="2CC4A8C2" w:rsidR="00D5610F" w:rsidRDefault="00D5610F" w:rsidP="00D5610F">
      <w:r>
        <w:t xml:space="preserve">The Ecoinvent dataset shown in </w:t>
      </w:r>
      <w:r>
        <w:fldChar w:fldCharType="begin"/>
      </w:r>
      <w:r>
        <w:instrText xml:space="preserve"> REF _Ref358143696 \h </w:instrText>
      </w:r>
      <w:r>
        <w:fldChar w:fldCharType="separate"/>
      </w:r>
      <w:r w:rsidR="00564E5C">
        <w:t xml:space="preserve">Figure </w:t>
      </w:r>
      <w:r w:rsidR="00564E5C">
        <w:rPr>
          <w:noProof/>
        </w:rPr>
        <w:t>14</w:t>
      </w:r>
      <w:r>
        <w:fldChar w:fldCharType="end"/>
      </w:r>
      <w:r>
        <w:t xml:space="preserve"> and </w:t>
      </w:r>
      <w:r>
        <w:fldChar w:fldCharType="begin"/>
      </w:r>
      <w:r>
        <w:instrText xml:space="preserve"> REF _Ref358143702 \h </w:instrText>
      </w:r>
      <w:r>
        <w:fldChar w:fldCharType="separate"/>
      </w:r>
      <w:r w:rsidR="00564E5C">
        <w:t xml:space="preserve">Figure </w:t>
      </w:r>
      <w:r w:rsidR="00564E5C">
        <w:rPr>
          <w:noProof/>
        </w:rPr>
        <w:t>15</w:t>
      </w:r>
      <w:r>
        <w:fldChar w:fldCharType="end"/>
      </w:r>
      <w:r>
        <w:t xml:space="preserve"> is based upon ‘Ecoprofiles’ published by Plastics Europe </w:t>
      </w:r>
      <w:r w:rsidR="008C57CD">
        <w:t>between</w:t>
      </w:r>
      <w:r>
        <w:t xml:space="preserve"> 2005 </w:t>
      </w:r>
      <w:r w:rsidR="008C57CD">
        <w:t>and</w:t>
      </w:r>
      <w:r>
        <w:t xml:space="preserve"> 2007 and refers to plastics production in Europe. The AUPLCI dataset is based upon a mix of sources, and is intended to reflect plastics production in Australia.</w:t>
      </w:r>
    </w:p>
    <w:p w14:paraId="4BBE3C82" w14:textId="391EDD06" w:rsidR="00D5610F" w:rsidRDefault="00D5610F" w:rsidP="00D5610F">
      <w:r>
        <w:t xml:space="preserve">The Ecoinvent inventory has been published and documented in detail </w:t>
      </w:r>
      <w:r>
        <w:fldChar w:fldCharType="begin"/>
      </w:r>
      <w:r w:rsidR="00F40CE2">
        <w:instrText xml:space="preserve"> ADDIN EN.CITE &lt;EndNote&gt;&lt;Cite&gt;&lt;Author&gt;Hischier&lt;/Author&gt;&lt;Year&gt;2007&lt;/Year&gt;&lt;RecNum&gt;693&lt;/RecNum&gt;&lt;DisplayText&gt;(Hischier, 2007)&lt;/DisplayText&gt;&lt;record&gt;&lt;rec-number&gt;693&lt;/rec-number&gt;&lt;foreign-keys&gt;&lt;key app="EN" db-id="tfpv5staxsvs2nexzpp5taewzsvpx0er5fap"&gt;693&lt;/key&gt;&lt;/foreign-keys&gt;&lt;ref-type name="Report"&gt;27&lt;/ref-type&gt;&lt;contributors&gt;&lt;authors&gt;&lt;author&gt;Roland Hischier&lt;/author&gt;&lt;/authors&gt;&lt;/contributors&gt;&lt;titles&gt;&lt;title&gt;Life Cycle Inventories of Packaging and Graphical Papers - Part II Plastics&lt;/title&gt;&lt;/titles&gt;&lt;dates&gt;&lt;year&gt;2007&lt;/year&gt;&lt;/dates&gt;&lt;pub-location&gt;Dübendorf&lt;/pub-location&gt;&lt;publisher&gt;Swiss Centre for Life Cycle Inventories&lt;/publisher&gt;&lt;urls&gt;&lt;/urls&gt;&lt;/record&gt;&lt;/Cite&gt;&lt;/EndNote&gt;</w:instrText>
      </w:r>
      <w:r>
        <w:fldChar w:fldCharType="separate"/>
      </w:r>
      <w:r w:rsidR="00F40CE2">
        <w:rPr>
          <w:noProof/>
        </w:rPr>
        <w:t>(</w:t>
      </w:r>
      <w:hyperlink w:anchor="_ENREF_44" w:tooltip="Hischier, 2007 #693" w:history="1">
        <w:r w:rsidR="00F40CE2">
          <w:rPr>
            <w:noProof/>
          </w:rPr>
          <w:t>Hischier, 2007</w:t>
        </w:r>
      </w:hyperlink>
      <w:r w:rsidR="00F40CE2">
        <w:rPr>
          <w:noProof/>
        </w:rPr>
        <w:t>)</w:t>
      </w:r>
      <w:r>
        <w:fldChar w:fldCharType="end"/>
      </w:r>
      <w:r>
        <w:t>, and most inventories have been compiled across groups of facilities in a consistent fashion. The AUPLCI datasets, while being more regionally relevant, reflect a mix of data qualities. Documentation regarding the inventories is minimal.</w:t>
      </w:r>
    </w:p>
    <w:p w14:paraId="5C24214A" w14:textId="43A877A7" w:rsidR="00D5610F" w:rsidRDefault="00D5610F" w:rsidP="00D5610F">
      <w:r>
        <w:t>Internationally, no inventories could be found that referred to plastics production in China.</w:t>
      </w:r>
    </w:p>
    <w:p w14:paraId="0E34D256" w14:textId="56A9004C" w:rsidR="00D5610F" w:rsidRDefault="00D5610F" w:rsidP="00D5610F">
      <w:pPr>
        <w:pStyle w:val="Heading4"/>
      </w:pPr>
      <w:r>
        <w:rPr>
          <w:lang w:val="en-AU"/>
        </w:rPr>
        <w:t>Recycling System inventory developed</w:t>
      </w:r>
    </w:p>
    <w:p w14:paraId="4EDF2AF7" w14:textId="385AE4DA" w:rsidR="00D5610F" w:rsidRDefault="00D5610F" w:rsidP="00D5610F">
      <w:r>
        <w:t>This inventory addresses the reprocessing of plastics into products and the production of plastics from natural resources (oil, principally).</w:t>
      </w:r>
    </w:p>
    <w:p w14:paraId="62801514" w14:textId="5A9EEF36" w:rsidR="00D5610F" w:rsidRDefault="00D5610F" w:rsidP="00D5610F">
      <w:r>
        <w:t xml:space="preserve">All plastics reprocessing is modelled using two reprocessing processes, PET and HDPE that are similar to those described by </w:t>
      </w:r>
      <w:r>
        <w:fldChar w:fldCharType="begin"/>
      </w:r>
      <w:r w:rsidR="008C57CD">
        <w:instrText xml:space="preserve"> ADDIN EN.CITE &lt;EndNote&gt;&lt;Cite AuthorYear="1"&gt;&lt;Author&gt;Franklin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hyperlink w:anchor="_ENREF_29" w:tooltip="Franklin Associates., 2010 #284" w:history="1">
        <w:r w:rsidR="00F40CE2">
          <w:rPr>
            <w:noProof/>
          </w:rPr>
          <w:t>Franklin Associates. (2010</w:t>
        </w:r>
      </w:hyperlink>
      <w:r w:rsidR="008C57CD">
        <w:rPr>
          <w:noProof/>
        </w:rPr>
        <w:t>)</w:t>
      </w:r>
      <w:r>
        <w:fldChar w:fldCharType="end"/>
      </w:r>
      <w:r>
        <w:t>. The processes consist of a washing and sorting process followed by a thermal extrusion into pellet form. For other plastics types, the HDPE process is used as a crude approximation.</w:t>
      </w:r>
    </w:p>
    <w:p w14:paraId="4E0E3C02" w14:textId="3B3573D6" w:rsidR="00D5610F" w:rsidRDefault="00D5610F" w:rsidP="00D5610F">
      <w:r>
        <w:t xml:space="preserve">The inventory adopts the </w:t>
      </w:r>
      <w:r>
        <w:fldChar w:fldCharType="begin"/>
      </w:r>
      <w:r w:rsidR="008C57CD">
        <w:instrText xml:space="preserve"> ADDIN EN.CITE &lt;EndNote&gt;&lt;Cite AuthorYear="1"&gt;&lt;Author&gt;Franklin Associates.&lt;/Author&gt;&lt;Year&gt;2010&lt;/Year&gt;&lt;RecNum&gt;284&lt;/RecNum&gt;&lt;DisplayText&gt;Franklin Associates. (2010)&lt;/DisplayText&gt;&lt;record&gt;&lt;rec-number&gt;284&lt;/rec-number&gt;&lt;foreign-keys&gt;&lt;key app="EN" db-id="tfpv5staxsvs2nexzpp5taewzsvpx0er5fap"&gt;284&lt;/key&gt;&lt;/foreign-keys&gt;&lt;ref-type name="Report"&gt;27&lt;/ref-type&gt;&lt;contributors&gt;&lt;authors&gt;&lt;author&gt;Franklin Associates.,&lt;/author&gt;&lt;/authors&gt;&lt;/contributors&gt;&lt;titles&gt;&lt;title&gt;Life Cycle Inventory of 100% Post-Consumer HDPE and PET Recycled Resin From Post-Consumer Containers and Packaging&lt;/title&gt;&lt;/titles&gt;&lt;dates&gt;&lt;year&gt;2010&lt;/year&gt;&lt;/dates&gt;&lt;pub-location&gt;Prairie Village, Kansas&lt;/pub-location&gt;&lt;publisher&gt;The Plastics Division of the American Chemistry Council and others&lt;/publisher&gt;&lt;urls&gt;&lt;/urls&gt;&lt;/record&gt;&lt;/Cite&gt;&lt;/EndNote&gt;</w:instrText>
      </w:r>
      <w:r>
        <w:fldChar w:fldCharType="separate"/>
      </w:r>
      <w:hyperlink w:anchor="_ENREF_29" w:tooltip="Franklin Associates., 2010 #284" w:history="1">
        <w:r w:rsidR="00F40CE2">
          <w:rPr>
            <w:noProof/>
          </w:rPr>
          <w:t>Franklin Associates. (2010</w:t>
        </w:r>
      </w:hyperlink>
      <w:r w:rsidR="008C57CD">
        <w:rPr>
          <w:noProof/>
        </w:rPr>
        <w:t>)</w:t>
      </w:r>
      <w:r>
        <w:fldChar w:fldCharType="end"/>
      </w:r>
      <w:r>
        <w:t xml:space="preserve"> inventory for reprocessing of PET and HDPE and applies this inventory for reprocessing all the plastic types. This approach was adopted as it is relevant for the major plastics flows of PET and HDPE (65% of plastics) and is considered a reasonable proxy for the float/wash processes described in China (</w:t>
      </w:r>
      <w:r>
        <w:fldChar w:fldCharType="begin"/>
      </w:r>
      <w:r w:rsidR="008C57CD">
        <w:instrText xml:space="preserve"> ADDIN EN.CITE &lt;EndNote&gt;&lt;Cite AuthorYear="1"&gt;&lt;Author&gt;WRAP&lt;/Author&gt;&lt;Year&gt;2006&lt;/Year&gt;&lt;RecNum&gt;666&lt;/RecNum&gt;&lt;DisplayText&gt;WRAP (2006)&lt;/DisplayText&gt;&lt;record&gt;&lt;rec-number&gt;666&lt;/rec-number&gt;&lt;foreign-keys&gt;&lt;key app="EN" db-id="tfpv5staxsvs2nexzpp5taewzsvpx0er5fap"&gt;666&lt;/key&gt;&lt;/foreign-keys&gt;&lt;ref-type name="Report"&gt;27&lt;/ref-type&gt;&lt;contributors&gt;&lt;authors&gt;&lt;author&gt;WRAP,&lt;/author&gt;&lt;/authors&gt;&lt;/contributors&gt;&lt;titles&gt;&lt;title&gt;UK Plastics Waste – A review of supplies for recycling, global market demand, future trends and associated risks&lt;/title&gt;&lt;/titles&gt;&lt;dates&gt;&lt;year&gt;2006&lt;/year&gt;&lt;/dates&gt;&lt;pub-location&gt;Banbury&lt;/pub-location&gt;&lt;urls&gt;&lt;/urls&gt;&lt;/record&gt;&lt;/Cite&gt;&lt;/EndNote&gt;</w:instrText>
      </w:r>
      <w:r>
        <w:fldChar w:fldCharType="separate"/>
      </w:r>
      <w:hyperlink w:anchor="_ENREF_88" w:tooltip="WRAP, 2006 #666" w:history="1">
        <w:r w:rsidR="00F40CE2">
          <w:rPr>
            <w:noProof/>
          </w:rPr>
          <w:t>WRAP (2006</w:t>
        </w:r>
      </w:hyperlink>
      <w:r w:rsidR="008C57CD">
        <w:rPr>
          <w:noProof/>
        </w:rPr>
        <w:t>)</w:t>
      </w:r>
      <w:r>
        <w:fldChar w:fldCharType="end"/>
      </w:r>
      <w:r>
        <w:t xml:space="preserve"> and </w:t>
      </w:r>
      <w:r>
        <w:fldChar w:fldCharType="begin"/>
      </w:r>
      <w:r w:rsidR="008C57CD">
        <w:instrText xml:space="preserve"> ADDIN EN.CITE &lt;EndNote&gt;&lt;Cite AuthorYear="1"&gt;&lt;Author&gt;Moore&lt;/Author&gt;&lt;Year&gt;2011&lt;/Year&gt;&lt;RecNum&gt;665&lt;/RecNum&gt;&lt;DisplayText&gt;Moore (2011)&lt;/DisplayText&gt;&lt;record&gt;&lt;rec-number&gt;665&lt;/rec-number&gt;&lt;foreign-keys&gt;&lt;key app="EN" db-id="tfpv5staxsvs2nexzpp5taewzsvpx0er5fap"&gt;665&lt;/key&gt;&lt;/foreign-keys&gt;&lt;ref-type name="Report"&gt;27&lt;/ref-type&gt;&lt;contributors&gt;&lt;authors&gt;&lt;author&gt;Patty Moore&lt;/author&gt;&lt;/authors&gt;&lt;/contributors&gt;&lt;titles&gt;&lt;title&gt;Film, PET and Mixed Plastic Recycling in China - An Account of Patty Moore’s Visits to Several Plastic Recycling Facilities in China&lt;/title&gt;&lt;/titles&gt;&lt;dates&gt;&lt;year&gt;2011&lt;/year&gt;&lt;/dates&gt;&lt;pub-location&gt;California&lt;/pub-location&gt;&lt;publisher&gt;Moore Recycling Associates Inc&lt;/publisher&gt;&lt;urls&gt;&lt;/urls&gt;&lt;/record&gt;&lt;/Cite&gt;&lt;/EndNote&gt;</w:instrText>
      </w:r>
      <w:r>
        <w:fldChar w:fldCharType="separate"/>
      </w:r>
      <w:hyperlink w:anchor="_ENREF_59" w:tooltip="Moore, 2011 #665" w:history="1">
        <w:r w:rsidR="00F40CE2">
          <w:rPr>
            <w:noProof/>
          </w:rPr>
          <w:t>Moore (2011</w:t>
        </w:r>
      </w:hyperlink>
      <w:r w:rsidR="008C57CD">
        <w:rPr>
          <w:noProof/>
        </w:rPr>
        <w:t>)</w:t>
      </w:r>
      <w:r>
        <w:fldChar w:fldCharType="end"/>
      </w:r>
      <w:r>
        <w:t>).</w:t>
      </w:r>
    </w:p>
    <w:p w14:paraId="1320F112" w14:textId="77777777" w:rsidR="00D5610F" w:rsidRDefault="00D5610F" w:rsidP="00D5610F">
      <w:r>
        <w:t>The Franklin inventory is adjusted to utilise electricity supply systems appropriate to Australia and China. It is also adjusted to reflect the contamination rates nominated in this study.</w:t>
      </w:r>
    </w:p>
    <w:p w14:paraId="1F4D0F1E" w14:textId="165A2A6C" w:rsidR="00D5610F" w:rsidRDefault="00D5610F" w:rsidP="00D5610F">
      <w:pPr>
        <w:pStyle w:val="Heading4"/>
      </w:pPr>
      <w:r>
        <w:rPr>
          <w:lang w:val="en-AU"/>
        </w:rPr>
        <w:lastRenderedPageBreak/>
        <w:t>Alternative System inventory developed</w:t>
      </w:r>
    </w:p>
    <w:p w14:paraId="66B587D1" w14:textId="7F9A59C4" w:rsidR="00D5610F" w:rsidRDefault="00D5610F" w:rsidP="00D5610F">
      <w:r>
        <w:t xml:space="preserve">The Alternative System inventory consists of a production inventory for each of PET, HDPE, LDPE, PP, PS and PVC. Electricity supply and other inputs to the production </w:t>
      </w:r>
      <w:r w:rsidR="008C57CD">
        <w:t xml:space="preserve">process </w:t>
      </w:r>
      <w:r>
        <w:t>are based on European data sets (Ecoinvent).</w:t>
      </w:r>
    </w:p>
    <w:p w14:paraId="562969C4" w14:textId="7254E4F1" w:rsidR="00D5610F" w:rsidRDefault="00D5610F" w:rsidP="00D5610F">
      <w:r>
        <w:t xml:space="preserve">The production of plastics from resources extracted from the environment adopts the Ecoinvent/Plastics Europe inventories. These inventories are utilised as they have been widely published and are thoroughly documented. Unlike other inventories in this study, energy supply systems are not tailored to suit a particular country of production, rather the inventory adopts the electricity supply assumptions in the original inventories (European mix). This may lead to a slightly lower production impact </w:t>
      </w:r>
      <w:r w:rsidR="008C57CD">
        <w:t>versus</w:t>
      </w:r>
      <w:r>
        <w:t xml:space="preserve"> regional plastics production, however the advantages of the consistent and well-reviewed data-set are believed to outweigh this shortcoming.</w:t>
      </w:r>
    </w:p>
    <w:p w14:paraId="24455B24" w14:textId="27C418C1" w:rsidR="007B3C4C" w:rsidRDefault="007B3C4C" w:rsidP="007B3C4C">
      <w:r>
        <w:t xml:space="preserve">A comparison of the treatment of one tonne of waste plastics under the Recycling System and the Alternative System utilising he inventory described above is shown in </w:t>
      </w:r>
      <w:r>
        <w:fldChar w:fldCharType="begin"/>
      </w:r>
      <w:r>
        <w:instrText xml:space="preserve"> REF _Ref360195879 \h </w:instrText>
      </w:r>
      <w:r>
        <w:fldChar w:fldCharType="separate"/>
      </w:r>
      <w:r w:rsidR="00564E5C">
        <w:t xml:space="preserve">Table </w:t>
      </w:r>
      <w:r w:rsidR="00564E5C">
        <w:rPr>
          <w:noProof/>
        </w:rPr>
        <w:t>34</w:t>
      </w:r>
      <w:r>
        <w:fldChar w:fldCharType="end"/>
      </w:r>
      <w:r>
        <w:t>.</w:t>
      </w:r>
    </w:p>
    <w:p w14:paraId="3D381107" w14:textId="77777777" w:rsidR="00D5610F" w:rsidRDefault="00D5610F" w:rsidP="00D5610F">
      <w:pPr>
        <w:keepNext/>
      </w:pPr>
      <w:r>
        <w:rPr>
          <w:noProof/>
        </w:rPr>
        <w:drawing>
          <wp:inline distT="0" distB="0" distL="0" distR="0" wp14:anchorId="7EF88734" wp14:editId="696BC84D">
            <wp:extent cx="3912781" cy="24384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AF20599" w14:textId="77777777" w:rsidR="00D5610F" w:rsidRDefault="00D5610F" w:rsidP="00D5610F">
      <w:pPr>
        <w:pStyle w:val="Caption"/>
      </w:pPr>
      <w:bookmarkStart w:id="158" w:name="_Ref358143696"/>
      <w:r>
        <w:t xml:space="preserve">Figure </w:t>
      </w:r>
      <w:r w:rsidR="00FC7DE2">
        <w:fldChar w:fldCharType="begin"/>
      </w:r>
      <w:r w:rsidR="00FC7DE2">
        <w:instrText xml:space="preserve"> SEQ Figure \* ARABIC </w:instrText>
      </w:r>
      <w:r w:rsidR="00FC7DE2">
        <w:fldChar w:fldCharType="separate"/>
      </w:r>
      <w:r w:rsidR="00564E5C">
        <w:rPr>
          <w:noProof/>
        </w:rPr>
        <w:t>14</w:t>
      </w:r>
      <w:r w:rsidR="00FC7DE2">
        <w:rPr>
          <w:noProof/>
        </w:rPr>
        <w:fldChar w:fldCharType="end"/>
      </w:r>
      <w:bookmarkEnd w:id="158"/>
      <w:r>
        <w:t xml:space="preserve"> Calculated global warming impact for selected resins.</w:t>
      </w:r>
    </w:p>
    <w:p w14:paraId="21CD8012" w14:textId="77777777" w:rsidR="00D5610F" w:rsidRDefault="00D5610F" w:rsidP="00D5610F">
      <w:pPr>
        <w:keepNext/>
      </w:pPr>
      <w:r>
        <w:rPr>
          <w:noProof/>
        </w:rPr>
        <w:drawing>
          <wp:inline distT="0" distB="0" distL="0" distR="0" wp14:anchorId="6ACFC805" wp14:editId="1FE03654">
            <wp:extent cx="3983665" cy="1956391"/>
            <wp:effectExtent l="0" t="0" r="0" b="63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B702EF" w14:textId="77777777" w:rsidR="00D5610F" w:rsidRDefault="00D5610F" w:rsidP="00D5610F">
      <w:pPr>
        <w:pStyle w:val="Caption"/>
      </w:pPr>
      <w:bookmarkStart w:id="159" w:name="_Ref358143702"/>
      <w:r>
        <w:t xml:space="preserve">Figure </w:t>
      </w:r>
      <w:r w:rsidR="00FC7DE2">
        <w:fldChar w:fldCharType="begin"/>
      </w:r>
      <w:r w:rsidR="00FC7DE2">
        <w:instrText xml:space="preserve"> SEQ Figure \* ARABIC </w:instrText>
      </w:r>
      <w:r w:rsidR="00FC7DE2">
        <w:fldChar w:fldCharType="separate"/>
      </w:r>
      <w:r w:rsidR="00564E5C">
        <w:rPr>
          <w:noProof/>
        </w:rPr>
        <w:t>15</w:t>
      </w:r>
      <w:r w:rsidR="00FC7DE2">
        <w:rPr>
          <w:noProof/>
        </w:rPr>
        <w:fldChar w:fldCharType="end"/>
      </w:r>
      <w:bookmarkEnd w:id="159"/>
      <w:r>
        <w:t xml:space="preserve"> Calculated cumulative energy demand for selected resins.</w:t>
      </w:r>
    </w:p>
    <w:p w14:paraId="569D5CB1" w14:textId="7B3BD969" w:rsidR="00D41F22" w:rsidRDefault="00D41F22" w:rsidP="00D41F22">
      <w:pPr>
        <w:tabs>
          <w:tab w:val="left" w:pos="3382"/>
        </w:tabs>
        <w:rPr>
          <w:lang w:eastAsia="x-none"/>
        </w:rPr>
      </w:pPr>
      <w:r>
        <w:rPr>
          <w:lang w:eastAsia="x-none"/>
        </w:rPr>
        <w:tab/>
      </w:r>
    </w:p>
    <w:p w14:paraId="4EB57FA0" w14:textId="77777777" w:rsidR="008C57CD" w:rsidRDefault="008C57CD">
      <w:pPr>
        <w:widowControl/>
        <w:spacing w:after="0"/>
        <w:jc w:val="left"/>
        <w:rPr>
          <w:rFonts w:eastAsia="Times New Roman" w:cs="Times New Roman"/>
          <w:b/>
          <w:iCs/>
          <w:kern w:val="32"/>
          <w:sz w:val="28"/>
          <w:szCs w:val="28"/>
          <w:lang w:eastAsia="x-none"/>
        </w:rPr>
      </w:pPr>
      <w:r>
        <w:br w:type="page"/>
      </w:r>
    </w:p>
    <w:p w14:paraId="70CD4F0B" w14:textId="3DDFD32F" w:rsidR="00E30FD6" w:rsidRDefault="004D1257" w:rsidP="00E30FD6">
      <w:pPr>
        <w:pStyle w:val="Heading2"/>
        <w:rPr>
          <w:lang w:val="en-AU"/>
        </w:rPr>
      </w:pPr>
      <w:bookmarkStart w:id="160" w:name="_Toc433964560"/>
      <w:r>
        <w:rPr>
          <w:lang w:val="en-AU"/>
        </w:rPr>
        <w:lastRenderedPageBreak/>
        <w:t>Key assumptions for each material</w:t>
      </w:r>
      <w:bookmarkEnd w:id="160"/>
    </w:p>
    <w:p w14:paraId="0C10CAAC" w14:textId="1A704F22" w:rsidR="00D90C0C" w:rsidRDefault="00E30FD6" w:rsidP="00D41F22">
      <w:pPr>
        <w:rPr>
          <w:lang w:eastAsia="x-none"/>
        </w:rPr>
      </w:pPr>
      <w:r>
        <w:rPr>
          <w:lang w:eastAsia="x-none"/>
        </w:rPr>
        <w:t>The following tables (</w:t>
      </w:r>
      <w:r>
        <w:rPr>
          <w:lang w:eastAsia="x-none"/>
        </w:rPr>
        <w:fldChar w:fldCharType="begin"/>
      </w:r>
      <w:r>
        <w:rPr>
          <w:lang w:eastAsia="x-none"/>
        </w:rPr>
        <w:instrText xml:space="preserve"> REF _Ref360195871 \h </w:instrText>
      </w:r>
      <w:r>
        <w:rPr>
          <w:lang w:eastAsia="x-none"/>
        </w:rPr>
      </w:r>
      <w:r>
        <w:rPr>
          <w:lang w:eastAsia="x-none"/>
        </w:rPr>
        <w:fldChar w:fldCharType="separate"/>
      </w:r>
      <w:r w:rsidR="00564E5C">
        <w:t xml:space="preserve">Table </w:t>
      </w:r>
      <w:r w:rsidR="00564E5C">
        <w:rPr>
          <w:noProof/>
        </w:rPr>
        <w:t>32</w:t>
      </w:r>
      <w:r>
        <w:rPr>
          <w:lang w:eastAsia="x-none"/>
        </w:rPr>
        <w:fldChar w:fldCharType="end"/>
      </w:r>
      <w:r>
        <w:rPr>
          <w:lang w:eastAsia="x-none"/>
        </w:rPr>
        <w:t xml:space="preserve">, </w:t>
      </w:r>
      <w:r>
        <w:rPr>
          <w:lang w:eastAsia="x-none"/>
        </w:rPr>
        <w:fldChar w:fldCharType="begin"/>
      </w:r>
      <w:r>
        <w:rPr>
          <w:lang w:eastAsia="x-none"/>
        </w:rPr>
        <w:instrText xml:space="preserve"> REF _Ref360195875 \h </w:instrText>
      </w:r>
      <w:r>
        <w:rPr>
          <w:lang w:eastAsia="x-none"/>
        </w:rPr>
      </w:r>
      <w:r>
        <w:rPr>
          <w:lang w:eastAsia="x-none"/>
        </w:rPr>
        <w:fldChar w:fldCharType="separate"/>
      </w:r>
      <w:r w:rsidR="00564E5C">
        <w:t xml:space="preserve">Table </w:t>
      </w:r>
      <w:r w:rsidR="00564E5C">
        <w:rPr>
          <w:noProof/>
        </w:rPr>
        <w:t>33</w:t>
      </w:r>
      <w:r>
        <w:rPr>
          <w:lang w:eastAsia="x-none"/>
        </w:rPr>
        <w:fldChar w:fldCharType="end"/>
      </w:r>
      <w:r>
        <w:rPr>
          <w:lang w:eastAsia="x-none"/>
        </w:rPr>
        <w:t xml:space="preserve"> and </w:t>
      </w:r>
      <w:r>
        <w:rPr>
          <w:lang w:eastAsia="x-none"/>
        </w:rPr>
        <w:fldChar w:fldCharType="begin"/>
      </w:r>
      <w:r>
        <w:rPr>
          <w:lang w:eastAsia="x-none"/>
        </w:rPr>
        <w:instrText xml:space="preserve"> REF _Ref360195879 \h </w:instrText>
      </w:r>
      <w:r>
        <w:rPr>
          <w:lang w:eastAsia="x-none"/>
        </w:rPr>
      </w:r>
      <w:r>
        <w:rPr>
          <w:lang w:eastAsia="x-none"/>
        </w:rPr>
        <w:fldChar w:fldCharType="separate"/>
      </w:r>
      <w:r w:rsidR="00564E5C">
        <w:t xml:space="preserve">Table </w:t>
      </w:r>
      <w:r w:rsidR="00564E5C">
        <w:rPr>
          <w:noProof/>
        </w:rPr>
        <w:t>34</w:t>
      </w:r>
      <w:r>
        <w:rPr>
          <w:lang w:eastAsia="x-none"/>
        </w:rPr>
        <w:fldChar w:fldCharType="end"/>
      </w:r>
      <w:r>
        <w:rPr>
          <w:lang w:eastAsia="x-none"/>
        </w:rPr>
        <w:t xml:space="preserve">) </w:t>
      </w:r>
      <w:r w:rsidR="004D1257">
        <w:rPr>
          <w:lang w:eastAsia="x-none"/>
        </w:rPr>
        <w:t>describe key material flows involved in treating one tonne of waste material under the Recycling System and the Alternative System. Each row in the tables shown is intended to represent functional equivalence, such that it is possible to compare the flows associated with each system. The tables are incomplete summaries as it is not possible to show all assumptions in the one diagram.</w:t>
      </w:r>
    </w:p>
    <w:p w14:paraId="1C597A21" w14:textId="17D142C2" w:rsidR="004D1257" w:rsidRDefault="004D1257" w:rsidP="00D41F22">
      <w:pPr>
        <w:rPr>
          <w:lang w:eastAsia="x-none"/>
        </w:rPr>
      </w:pPr>
      <w:r>
        <w:rPr>
          <w:lang w:eastAsia="x-none"/>
        </w:rPr>
        <w:t>W</w:t>
      </w:r>
      <w:r w:rsidR="008C57CD">
        <w:rPr>
          <w:lang w:eastAsia="x-none"/>
        </w:rPr>
        <w:t>h</w:t>
      </w:r>
      <w:r>
        <w:rPr>
          <w:lang w:eastAsia="x-none"/>
        </w:rPr>
        <w:t xml:space="preserve">ere assumptions have been shared between materials, </w:t>
      </w:r>
      <w:r w:rsidR="008C57CD">
        <w:rPr>
          <w:lang w:eastAsia="x-none"/>
        </w:rPr>
        <w:t>table cells are</w:t>
      </w:r>
      <w:r>
        <w:rPr>
          <w:lang w:eastAsia="x-none"/>
        </w:rPr>
        <w:t xml:space="preserve"> stretch</w:t>
      </w:r>
      <w:r w:rsidR="008C57CD">
        <w:rPr>
          <w:lang w:eastAsia="x-none"/>
        </w:rPr>
        <w:t>ed</w:t>
      </w:r>
      <w:r>
        <w:rPr>
          <w:lang w:eastAsia="x-none"/>
        </w:rPr>
        <w:t xml:space="preserve"> between material rows. This has been done to clearly indicate areas where material assumptions are common.</w:t>
      </w:r>
    </w:p>
    <w:p w14:paraId="7E53037C" w14:textId="0282F365" w:rsidR="004D1257" w:rsidRDefault="004D1257" w:rsidP="00D41F22">
      <w:pPr>
        <w:rPr>
          <w:lang w:eastAsia="x-none"/>
        </w:rPr>
      </w:pPr>
      <w:r>
        <w:rPr>
          <w:lang w:eastAsia="x-none"/>
        </w:rPr>
        <w:t xml:space="preserve">The origin of all flows shown in the tables are calculations described in detail in </w:t>
      </w:r>
      <w:r>
        <w:rPr>
          <w:lang w:eastAsia="x-none"/>
        </w:rPr>
        <w:fldChar w:fldCharType="begin"/>
      </w:r>
      <w:r>
        <w:rPr>
          <w:lang w:eastAsia="x-none"/>
        </w:rPr>
        <w:instrText xml:space="preserve"> REF _Ref360560152 \h </w:instrText>
      </w:r>
      <w:r>
        <w:rPr>
          <w:lang w:eastAsia="x-none"/>
        </w:rPr>
      </w:r>
      <w:r>
        <w:rPr>
          <w:lang w:eastAsia="x-none"/>
        </w:rPr>
        <w:fldChar w:fldCharType="separate"/>
      </w:r>
      <w:r w:rsidR="00564E5C">
        <w:t>Appendix B – Inventory Report</w:t>
      </w:r>
      <w:r>
        <w:rPr>
          <w:lang w:eastAsia="x-none"/>
        </w:rPr>
        <w:fldChar w:fldCharType="end"/>
      </w:r>
      <w:r>
        <w:rPr>
          <w:lang w:eastAsia="x-none"/>
        </w:rPr>
        <w:t>.</w:t>
      </w:r>
    </w:p>
    <w:p w14:paraId="5ECCC567" w14:textId="77777777" w:rsidR="004D1257" w:rsidRPr="00D41F22" w:rsidRDefault="004D1257" w:rsidP="00D41F22">
      <w:pPr>
        <w:rPr>
          <w:lang w:eastAsia="x-none"/>
        </w:rPr>
        <w:sectPr w:rsidR="004D1257" w:rsidRPr="00D41F22" w:rsidSect="006555B4">
          <w:footerReference w:type="default" r:id="rId52"/>
          <w:pgSz w:w="11906" w:h="16838"/>
          <w:pgMar w:top="1418" w:right="1440" w:bottom="1418" w:left="1440" w:header="709" w:footer="488" w:gutter="0"/>
          <w:cols w:space="708"/>
          <w:docGrid w:linePitch="360"/>
        </w:sectPr>
      </w:pPr>
    </w:p>
    <w:p w14:paraId="1D2ACF0C" w14:textId="7499C459" w:rsidR="006555B4" w:rsidRDefault="006555B4" w:rsidP="006555B4">
      <w:pPr>
        <w:pStyle w:val="Caption"/>
        <w:keepNext/>
        <w:rPr>
          <w:lang w:val="en-AU"/>
        </w:rPr>
      </w:pPr>
      <w:bookmarkStart w:id="161" w:name="_Ref360195871"/>
      <w:bookmarkStart w:id="162" w:name="_Ref362988195"/>
      <w:r>
        <w:lastRenderedPageBreak/>
        <w:t xml:space="preserve">Table </w:t>
      </w:r>
      <w:r w:rsidR="00FC7DE2">
        <w:fldChar w:fldCharType="begin"/>
      </w:r>
      <w:r w:rsidR="00FC7DE2">
        <w:instrText xml:space="preserve"> SEQ Table \* ARABIC </w:instrText>
      </w:r>
      <w:r w:rsidR="00FC7DE2">
        <w:fldChar w:fldCharType="separate"/>
      </w:r>
      <w:r w:rsidR="00564E5C">
        <w:rPr>
          <w:noProof/>
        </w:rPr>
        <w:t>32</w:t>
      </w:r>
      <w:r w:rsidR="00FC7DE2">
        <w:rPr>
          <w:noProof/>
        </w:rPr>
        <w:fldChar w:fldCharType="end"/>
      </w:r>
      <w:bookmarkEnd w:id="161"/>
      <w:r>
        <w:rPr>
          <w:lang w:val="en-AU"/>
        </w:rPr>
        <w:t xml:space="preserve"> Key inventory assumptions (Glass, Steel, Aluminium). Flows for 1 </w:t>
      </w:r>
      <w:r w:rsidR="00E82F90">
        <w:rPr>
          <w:lang w:val="en-AU"/>
        </w:rPr>
        <w:t>t</w:t>
      </w:r>
      <w:r>
        <w:rPr>
          <w:lang w:val="en-AU"/>
        </w:rPr>
        <w:t xml:space="preserve"> of materials shown</w:t>
      </w:r>
      <w:bookmarkEnd w:id="162"/>
    </w:p>
    <w:tbl>
      <w:tblPr>
        <w:tblW w:w="14352" w:type="dxa"/>
        <w:tblInd w:w="93" w:type="dxa"/>
        <w:tblLayout w:type="fixed"/>
        <w:tblLook w:val="04A0" w:firstRow="1" w:lastRow="0" w:firstColumn="1" w:lastColumn="0" w:noHBand="0" w:noVBand="1"/>
      </w:tblPr>
      <w:tblGrid>
        <w:gridCol w:w="298"/>
        <w:gridCol w:w="993"/>
        <w:gridCol w:w="1297"/>
        <w:gridCol w:w="971"/>
        <w:gridCol w:w="1024"/>
        <w:gridCol w:w="1502"/>
        <w:gridCol w:w="1560"/>
        <w:gridCol w:w="1058"/>
        <w:gridCol w:w="1173"/>
        <w:gridCol w:w="1317"/>
        <w:gridCol w:w="871"/>
        <w:gridCol w:w="1150"/>
        <w:gridCol w:w="1138"/>
      </w:tblGrid>
      <w:tr w:rsidR="00070EB9" w:rsidRPr="004A401C" w14:paraId="65B40747" w14:textId="77777777" w:rsidTr="00070EB9">
        <w:trPr>
          <w:trHeight w:val="255"/>
        </w:trPr>
        <w:tc>
          <w:tcPr>
            <w:tcW w:w="1291" w:type="dxa"/>
            <w:gridSpan w:val="2"/>
            <w:tcBorders>
              <w:top w:val="nil"/>
              <w:left w:val="nil"/>
              <w:bottom w:val="nil"/>
              <w:right w:val="nil"/>
            </w:tcBorders>
            <w:shd w:val="clear" w:color="auto" w:fill="auto"/>
            <w:noWrap/>
            <w:vAlign w:val="bottom"/>
            <w:hideMark/>
          </w:tcPr>
          <w:p w14:paraId="78E225A6" w14:textId="77777777" w:rsidR="00070EB9" w:rsidRPr="004A401C" w:rsidRDefault="00070EB9" w:rsidP="00070EB9">
            <w:pPr>
              <w:widowControl/>
              <w:spacing w:after="0"/>
              <w:jc w:val="left"/>
              <w:rPr>
                <w:rFonts w:eastAsia="Times New Roman"/>
                <w:b/>
                <w:color w:val="000000"/>
                <w:sz w:val="12"/>
                <w:szCs w:val="12"/>
              </w:rPr>
            </w:pPr>
          </w:p>
        </w:tc>
        <w:tc>
          <w:tcPr>
            <w:tcW w:w="1297" w:type="dxa"/>
            <w:tcBorders>
              <w:top w:val="nil"/>
              <w:left w:val="nil"/>
              <w:bottom w:val="nil"/>
              <w:right w:val="nil"/>
            </w:tcBorders>
            <w:shd w:val="clear" w:color="auto" w:fill="auto"/>
            <w:noWrap/>
            <w:vAlign w:val="bottom"/>
            <w:hideMark/>
          </w:tcPr>
          <w:p w14:paraId="16CB37BC" w14:textId="77777777" w:rsidR="00070EB9" w:rsidRPr="004A401C" w:rsidRDefault="00070EB9" w:rsidP="00070EB9">
            <w:pPr>
              <w:widowControl/>
              <w:spacing w:after="0"/>
              <w:jc w:val="left"/>
              <w:rPr>
                <w:rFonts w:eastAsia="Times New Roman"/>
                <w:b/>
                <w:color w:val="000000"/>
                <w:sz w:val="12"/>
                <w:szCs w:val="12"/>
              </w:rPr>
            </w:pPr>
          </w:p>
        </w:tc>
        <w:tc>
          <w:tcPr>
            <w:tcW w:w="611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25E677"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Recycling System</w:t>
            </w:r>
          </w:p>
        </w:tc>
        <w:tc>
          <w:tcPr>
            <w:tcW w:w="564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2071B6E"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Alternative System</w:t>
            </w:r>
          </w:p>
        </w:tc>
      </w:tr>
      <w:tr w:rsidR="00070EB9" w:rsidRPr="004A401C" w14:paraId="19FDFBE6" w14:textId="77777777" w:rsidTr="00070EB9">
        <w:trPr>
          <w:trHeight w:val="765"/>
        </w:trPr>
        <w:tc>
          <w:tcPr>
            <w:tcW w:w="298" w:type="dxa"/>
            <w:tcBorders>
              <w:top w:val="nil"/>
              <w:left w:val="nil"/>
              <w:bottom w:val="nil"/>
              <w:right w:val="nil"/>
            </w:tcBorders>
            <w:shd w:val="clear" w:color="auto" w:fill="auto"/>
            <w:noWrap/>
            <w:vAlign w:val="bottom"/>
            <w:hideMark/>
          </w:tcPr>
          <w:p w14:paraId="4688111A" w14:textId="77777777" w:rsidR="00070EB9" w:rsidRPr="004A401C" w:rsidRDefault="00070EB9" w:rsidP="00070EB9">
            <w:pPr>
              <w:widowControl/>
              <w:spacing w:after="0"/>
              <w:jc w:val="left"/>
              <w:rPr>
                <w:rFonts w:eastAsia="Times New Roman"/>
                <w:b/>
                <w:color w:val="000000"/>
                <w:sz w:val="12"/>
                <w:szCs w:val="12"/>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E8E9" w14:textId="77777777" w:rsidR="00070EB9" w:rsidRPr="004A401C" w:rsidRDefault="00070EB9" w:rsidP="00070EB9">
            <w:pPr>
              <w:widowControl/>
              <w:spacing w:after="0"/>
              <w:jc w:val="left"/>
              <w:rPr>
                <w:rFonts w:eastAsia="Times New Roman"/>
                <w:b/>
                <w:color w:val="000000"/>
                <w:sz w:val="12"/>
                <w:szCs w:val="12"/>
              </w:rPr>
            </w:pPr>
            <w:r w:rsidRPr="004A401C">
              <w:rPr>
                <w:rFonts w:eastAsia="Times New Roman"/>
                <w:b/>
                <w:color w:val="000000"/>
                <w:sz w:val="12"/>
                <w:szCs w:val="12"/>
              </w:rPr>
              <w:t>Material</w:t>
            </w:r>
          </w:p>
        </w:tc>
        <w:tc>
          <w:tcPr>
            <w:tcW w:w="971" w:type="dxa"/>
            <w:tcBorders>
              <w:top w:val="nil"/>
              <w:left w:val="nil"/>
              <w:bottom w:val="nil"/>
              <w:right w:val="single" w:sz="4" w:space="0" w:color="auto"/>
            </w:tcBorders>
            <w:shd w:val="clear" w:color="auto" w:fill="auto"/>
            <w:vAlign w:val="center"/>
            <w:hideMark/>
          </w:tcPr>
          <w:p w14:paraId="70682402"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024" w:type="dxa"/>
            <w:tcBorders>
              <w:top w:val="nil"/>
              <w:left w:val="nil"/>
              <w:bottom w:val="nil"/>
              <w:right w:val="single" w:sz="4" w:space="0" w:color="auto"/>
            </w:tcBorders>
            <w:shd w:val="clear" w:color="auto" w:fill="auto"/>
            <w:vAlign w:val="center"/>
            <w:hideMark/>
          </w:tcPr>
          <w:p w14:paraId="663A5A2F"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Sorting</w:t>
            </w:r>
          </w:p>
        </w:tc>
        <w:tc>
          <w:tcPr>
            <w:tcW w:w="1502" w:type="dxa"/>
            <w:tcBorders>
              <w:top w:val="nil"/>
              <w:left w:val="nil"/>
              <w:bottom w:val="nil"/>
              <w:right w:val="single" w:sz="4" w:space="0" w:color="auto"/>
            </w:tcBorders>
            <w:shd w:val="clear" w:color="auto" w:fill="auto"/>
            <w:vAlign w:val="center"/>
            <w:hideMark/>
          </w:tcPr>
          <w:p w14:paraId="67A2A7D8"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Local</w:t>
            </w:r>
          </w:p>
        </w:tc>
        <w:tc>
          <w:tcPr>
            <w:tcW w:w="1560" w:type="dxa"/>
            <w:tcBorders>
              <w:top w:val="nil"/>
              <w:left w:val="nil"/>
              <w:bottom w:val="nil"/>
              <w:right w:val="single" w:sz="4" w:space="0" w:color="auto"/>
            </w:tcBorders>
            <w:shd w:val="clear" w:color="auto" w:fill="auto"/>
            <w:vAlign w:val="center"/>
            <w:hideMark/>
          </w:tcPr>
          <w:p w14:paraId="660E0373"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International</w:t>
            </w:r>
          </w:p>
        </w:tc>
        <w:tc>
          <w:tcPr>
            <w:tcW w:w="1058" w:type="dxa"/>
            <w:tcBorders>
              <w:top w:val="nil"/>
              <w:left w:val="nil"/>
              <w:bottom w:val="nil"/>
              <w:right w:val="single" w:sz="4" w:space="0" w:color="auto"/>
            </w:tcBorders>
            <w:shd w:val="clear" w:color="auto" w:fill="auto"/>
            <w:vAlign w:val="center"/>
            <w:hideMark/>
          </w:tcPr>
          <w:p w14:paraId="42A747E4"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c>
          <w:tcPr>
            <w:tcW w:w="1173" w:type="dxa"/>
            <w:tcBorders>
              <w:top w:val="nil"/>
              <w:left w:val="nil"/>
              <w:bottom w:val="nil"/>
              <w:right w:val="single" w:sz="4" w:space="0" w:color="auto"/>
            </w:tcBorders>
            <w:shd w:val="clear" w:color="auto" w:fill="auto"/>
            <w:vAlign w:val="center"/>
            <w:hideMark/>
          </w:tcPr>
          <w:p w14:paraId="267DCBFF"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Local</w:t>
            </w:r>
          </w:p>
        </w:tc>
        <w:tc>
          <w:tcPr>
            <w:tcW w:w="1317" w:type="dxa"/>
            <w:tcBorders>
              <w:top w:val="nil"/>
              <w:left w:val="nil"/>
              <w:bottom w:val="nil"/>
              <w:right w:val="single" w:sz="4" w:space="0" w:color="auto"/>
            </w:tcBorders>
            <w:shd w:val="clear" w:color="auto" w:fill="auto"/>
            <w:vAlign w:val="center"/>
            <w:hideMark/>
          </w:tcPr>
          <w:p w14:paraId="4307CB21"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International</w:t>
            </w:r>
          </w:p>
        </w:tc>
        <w:tc>
          <w:tcPr>
            <w:tcW w:w="871" w:type="dxa"/>
            <w:tcBorders>
              <w:top w:val="nil"/>
              <w:left w:val="nil"/>
              <w:bottom w:val="nil"/>
              <w:right w:val="single" w:sz="4" w:space="0" w:color="auto"/>
            </w:tcBorders>
            <w:shd w:val="clear" w:color="auto" w:fill="auto"/>
            <w:vAlign w:val="center"/>
            <w:hideMark/>
          </w:tcPr>
          <w:p w14:paraId="1D08947F"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150" w:type="dxa"/>
            <w:tcBorders>
              <w:top w:val="nil"/>
              <w:left w:val="nil"/>
              <w:bottom w:val="nil"/>
              <w:right w:val="single" w:sz="4" w:space="0" w:color="auto"/>
            </w:tcBorders>
            <w:shd w:val="clear" w:color="auto" w:fill="auto"/>
            <w:vAlign w:val="center"/>
            <w:hideMark/>
          </w:tcPr>
          <w:p w14:paraId="6D358801"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Disposal operations</w:t>
            </w:r>
          </w:p>
        </w:tc>
        <w:tc>
          <w:tcPr>
            <w:tcW w:w="1138" w:type="dxa"/>
            <w:tcBorders>
              <w:top w:val="nil"/>
              <w:left w:val="nil"/>
              <w:bottom w:val="nil"/>
              <w:right w:val="single" w:sz="4" w:space="0" w:color="auto"/>
            </w:tcBorders>
            <w:shd w:val="clear" w:color="auto" w:fill="auto"/>
            <w:vAlign w:val="center"/>
            <w:hideMark/>
          </w:tcPr>
          <w:p w14:paraId="39AF6D39"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r>
      <w:tr w:rsidR="00070EB9" w:rsidRPr="00206DBA" w14:paraId="71B50129" w14:textId="77777777" w:rsidTr="00070EB9">
        <w:trPr>
          <w:gridBefore w:val="1"/>
          <w:wBefore w:w="298" w:type="dxa"/>
          <w:trHeight w:val="255"/>
        </w:trPr>
        <w:tc>
          <w:tcPr>
            <w:tcW w:w="2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B57860"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Glass</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2FD7E23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 xml:space="preserve"> Fuel: 7.2 l</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080DAAE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2.04 kWh electricity</w:t>
            </w:r>
          </w:p>
          <w:p w14:paraId="0F611FE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74 kg Contamination to landfill</w:t>
            </w: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1C10BFA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 recycled cullet</w:t>
            </w:r>
          </w:p>
          <w:p w14:paraId="4996078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Produced in Spotswood, Vic</w:t>
            </w:r>
          </w:p>
          <w:p w14:paraId="1BAB519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840 kg glass produced</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66599E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52CEAF93"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5E32871F" w14:textId="77777777" w:rsidR="00070EB9" w:rsidRPr="004A401C" w:rsidRDefault="00070EB9" w:rsidP="00070EB9">
            <w:pPr>
              <w:tabs>
                <w:tab w:val="left" w:pos="176"/>
              </w:tabs>
              <w:spacing w:after="0"/>
              <w:ind w:left="34"/>
              <w:jc w:val="left"/>
              <w:rPr>
                <w:sz w:val="12"/>
                <w:szCs w:val="12"/>
                <w:u w:val="single"/>
                <w:lang w:eastAsia="x-none"/>
              </w:rPr>
            </w:pPr>
            <w:r w:rsidRPr="004A401C">
              <w:rPr>
                <w:sz w:val="12"/>
                <w:szCs w:val="12"/>
                <w:u w:val="single"/>
                <w:lang w:eastAsia="x-none"/>
              </w:rPr>
              <w:t>Glass production (0% cullet)</w:t>
            </w:r>
          </w:p>
          <w:p w14:paraId="53769F9B"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Spotswood, Vic</w:t>
            </w:r>
          </w:p>
          <w:p w14:paraId="08D5D40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840 kg glass produced</w:t>
            </w:r>
          </w:p>
          <w:p w14:paraId="0E32E3E9" w14:textId="77777777" w:rsidR="00070EB9" w:rsidRPr="004A401C" w:rsidRDefault="00070EB9" w:rsidP="00070EB9">
            <w:pPr>
              <w:tabs>
                <w:tab w:val="left" w:pos="176"/>
              </w:tabs>
              <w:spacing w:after="0"/>
              <w:ind w:left="34"/>
              <w:jc w:val="left"/>
              <w:rPr>
                <w:sz w:val="12"/>
                <w:szCs w:val="12"/>
                <w:u w:val="single"/>
                <w:lang w:eastAsia="x-none"/>
              </w:rPr>
            </w:pPr>
            <w:r w:rsidRPr="004A401C">
              <w:rPr>
                <w:sz w:val="12"/>
                <w:szCs w:val="12"/>
                <w:u w:val="single"/>
                <w:lang w:eastAsia="x-none"/>
              </w:rPr>
              <w:t>Sand mining</w:t>
            </w:r>
          </w:p>
          <w:p w14:paraId="515E284D"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Victoria</w:t>
            </w:r>
          </w:p>
          <w:p w14:paraId="243CF6D4"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147 kg sand produced</w:t>
            </w:r>
          </w:p>
        </w:tc>
        <w:tc>
          <w:tcPr>
            <w:tcW w:w="1317" w:type="dxa"/>
            <w:tcBorders>
              <w:top w:val="single" w:sz="4" w:space="0" w:color="auto"/>
              <w:left w:val="nil"/>
              <w:bottom w:val="single" w:sz="4" w:space="0" w:color="auto"/>
              <w:right w:val="single" w:sz="4" w:space="0" w:color="auto"/>
            </w:tcBorders>
            <w:shd w:val="clear" w:color="auto" w:fill="auto"/>
            <w:noWrap/>
            <w:vAlign w:val="center"/>
          </w:tcPr>
          <w:p w14:paraId="51D5E939" w14:textId="77777777" w:rsidR="00070EB9" w:rsidRPr="004A401C" w:rsidRDefault="00070EB9" w:rsidP="009E73CF">
            <w:pPr>
              <w:pStyle w:val="ListParagraph"/>
              <w:numPr>
                <w:ilvl w:val="0"/>
                <w:numId w:val="33"/>
              </w:numPr>
              <w:tabs>
                <w:tab w:val="clear" w:pos="567"/>
              </w:tabs>
              <w:spacing w:after="0"/>
              <w:ind w:left="176" w:hanging="142"/>
              <w:jc w:val="left"/>
              <w:rPr>
                <w:rFonts w:eastAsia="Times New Roman"/>
                <w:color w:val="000000"/>
                <w:sz w:val="12"/>
                <w:szCs w:val="12"/>
              </w:rPr>
            </w:pPr>
            <w:r w:rsidRPr="004A401C">
              <w:rPr>
                <w:sz w:val="12"/>
                <w:szCs w:val="12"/>
                <w:lang w:eastAsia="x-none"/>
              </w:rPr>
              <w:t>None</w:t>
            </w:r>
          </w:p>
        </w:tc>
        <w:tc>
          <w:tcPr>
            <w:tcW w:w="871" w:type="dxa"/>
            <w:tcBorders>
              <w:top w:val="single" w:sz="4" w:space="0" w:color="auto"/>
              <w:left w:val="nil"/>
              <w:bottom w:val="single" w:sz="4" w:space="0" w:color="auto"/>
              <w:right w:val="single" w:sz="4" w:space="0" w:color="auto"/>
            </w:tcBorders>
            <w:shd w:val="clear" w:color="auto" w:fill="auto"/>
            <w:noWrap/>
            <w:vAlign w:val="center"/>
          </w:tcPr>
          <w:p w14:paraId="1661111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10.3 l</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4DA647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694D2EC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51076FD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2559664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44D8D621" w14:textId="77777777" w:rsidTr="00070EB9">
        <w:trPr>
          <w:gridBefore w:val="1"/>
          <w:wBefore w:w="298" w:type="dxa"/>
          <w:trHeight w:val="255"/>
        </w:trPr>
        <w:tc>
          <w:tcPr>
            <w:tcW w:w="2290" w:type="dxa"/>
            <w:gridSpan w:val="2"/>
            <w:tcBorders>
              <w:top w:val="nil"/>
              <w:left w:val="single" w:sz="4" w:space="0" w:color="auto"/>
              <w:bottom w:val="single" w:sz="4" w:space="0" w:color="auto"/>
              <w:right w:val="single" w:sz="4" w:space="0" w:color="auto"/>
            </w:tcBorders>
            <w:shd w:val="clear" w:color="auto" w:fill="auto"/>
            <w:noWrap/>
            <w:vAlign w:val="center"/>
          </w:tcPr>
          <w:p w14:paraId="47FA8684"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Steel</w:t>
            </w:r>
          </w:p>
        </w:tc>
        <w:tc>
          <w:tcPr>
            <w:tcW w:w="971" w:type="dxa"/>
            <w:vMerge w:val="restart"/>
            <w:tcBorders>
              <w:top w:val="nil"/>
              <w:left w:val="nil"/>
              <w:right w:val="single" w:sz="4" w:space="0" w:color="auto"/>
            </w:tcBorders>
            <w:shd w:val="clear" w:color="auto" w:fill="auto"/>
            <w:noWrap/>
            <w:vAlign w:val="center"/>
          </w:tcPr>
          <w:p w14:paraId="7107631F"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18.3 l</w:t>
            </w:r>
          </w:p>
        </w:tc>
        <w:tc>
          <w:tcPr>
            <w:tcW w:w="1024" w:type="dxa"/>
            <w:tcBorders>
              <w:top w:val="nil"/>
              <w:left w:val="nil"/>
              <w:bottom w:val="single" w:sz="4" w:space="0" w:color="auto"/>
              <w:right w:val="single" w:sz="4" w:space="0" w:color="auto"/>
            </w:tcBorders>
            <w:shd w:val="clear" w:color="auto" w:fill="auto"/>
            <w:noWrap/>
            <w:vAlign w:val="center"/>
          </w:tcPr>
          <w:p w14:paraId="43728F0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0.17 kWh electricity</w:t>
            </w:r>
          </w:p>
          <w:p w14:paraId="1CE6CA0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74 kg Contamination to landfill</w:t>
            </w:r>
          </w:p>
        </w:tc>
        <w:tc>
          <w:tcPr>
            <w:tcW w:w="1502" w:type="dxa"/>
            <w:tcBorders>
              <w:top w:val="nil"/>
              <w:left w:val="nil"/>
              <w:bottom w:val="single" w:sz="4" w:space="0" w:color="auto"/>
              <w:right w:val="single" w:sz="4" w:space="0" w:color="auto"/>
            </w:tcBorders>
            <w:shd w:val="clear" w:color="auto" w:fill="auto"/>
            <w:noWrap/>
            <w:vAlign w:val="center"/>
          </w:tcPr>
          <w:p w14:paraId="5CE236E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EAF steel making</w:t>
            </w:r>
          </w:p>
          <w:p w14:paraId="6D602DA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Laverton, Vic</w:t>
            </w:r>
          </w:p>
          <w:p w14:paraId="1DC355C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385 kg steel produced</w:t>
            </w:r>
          </w:p>
        </w:tc>
        <w:tc>
          <w:tcPr>
            <w:tcW w:w="1560" w:type="dxa"/>
            <w:tcBorders>
              <w:top w:val="nil"/>
              <w:left w:val="nil"/>
              <w:bottom w:val="single" w:sz="4" w:space="0" w:color="auto"/>
              <w:right w:val="single" w:sz="4" w:space="0" w:color="auto"/>
            </w:tcBorders>
            <w:shd w:val="clear" w:color="auto" w:fill="auto"/>
            <w:noWrap/>
            <w:vAlign w:val="center"/>
          </w:tcPr>
          <w:p w14:paraId="69BF6AE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EAF steel making</w:t>
            </w:r>
          </w:p>
          <w:p w14:paraId="6F75A43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Malaysia</w:t>
            </w:r>
          </w:p>
          <w:p w14:paraId="0F29D2EF"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7677 km</w:t>
            </w:r>
          </w:p>
          <w:p w14:paraId="528DE58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555 kg steel produced</w:t>
            </w:r>
          </w:p>
        </w:tc>
        <w:tc>
          <w:tcPr>
            <w:tcW w:w="1058" w:type="dxa"/>
            <w:tcBorders>
              <w:top w:val="nil"/>
              <w:left w:val="nil"/>
              <w:bottom w:val="single" w:sz="4" w:space="0" w:color="auto"/>
              <w:right w:val="single" w:sz="4" w:space="0" w:color="auto"/>
            </w:tcBorders>
            <w:shd w:val="clear" w:color="auto" w:fill="auto"/>
            <w:noWrap/>
            <w:vAlign w:val="center"/>
          </w:tcPr>
          <w:p w14:paraId="28AB498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173" w:type="dxa"/>
            <w:tcBorders>
              <w:top w:val="nil"/>
              <w:left w:val="nil"/>
              <w:bottom w:val="single" w:sz="4" w:space="0" w:color="auto"/>
              <w:right w:val="single" w:sz="4" w:space="0" w:color="auto"/>
            </w:tcBorders>
            <w:shd w:val="clear" w:color="auto" w:fill="auto"/>
            <w:noWrap/>
            <w:vAlign w:val="center"/>
          </w:tcPr>
          <w:p w14:paraId="4E319A70"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BFBOS steel production</w:t>
            </w:r>
          </w:p>
          <w:p w14:paraId="5FFE89F6"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Port Kembla, NSW</w:t>
            </w:r>
          </w:p>
          <w:p w14:paraId="42FF82F3"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350 kg steel produced</w:t>
            </w:r>
          </w:p>
        </w:tc>
        <w:tc>
          <w:tcPr>
            <w:tcW w:w="1317" w:type="dxa"/>
            <w:tcBorders>
              <w:top w:val="nil"/>
              <w:left w:val="nil"/>
              <w:bottom w:val="single" w:sz="4" w:space="0" w:color="auto"/>
              <w:right w:val="single" w:sz="4" w:space="0" w:color="auto"/>
            </w:tcBorders>
            <w:shd w:val="clear" w:color="auto" w:fill="auto"/>
            <w:noWrap/>
            <w:vAlign w:val="center"/>
          </w:tcPr>
          <w:p w14:paraId="5F4F834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BFBOS steel production</w:t>
            </w:r>
          </w:p>
          <w:p w14:paraId="086C6DA7"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Port Kembla, NSW</w:t>
            </w:r>
          </w:p>
          <w:p w14:paraId="42B742E2"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590 kg steel produced</w:t>
            </w:r>
          </w:p>
          <w:p w14:paraId="0B8DC02E"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shipped 7677 km to Malaysia</w:t>
            </w:r>
          </w:p>
        </w:tc>
        <w:tc>
          <w:tcPr>
            <w:tcW w:w="871" w:type="dxa"/>
            <w:vMerge w:val="restart"/>
            <w:tcBorders>
              <w:top w:val="nil"/>
              <w:left w:val="nil"/>
              <w:right w:val="single" w:sz="4" w:space="0" w:color="auto"/>
            </w:tcBorders>
            <w:shd w:val="clear" w:color="auto" w:fill="auto"/>
            <w:noWrap/>
            <w:vAlign w:val="center"/>
          </w:tcPr>
          <w:p w14:paraId="581263A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26.2 l</w:t>
            </w:r>
          </w:p>
        </w:tc>
        <w:tc>
          <w:tcPr>
            <w:tcW w:w="1150" w:type="dxa"/>
            <w:tcBorders>
              <w:top w:val="nil"/>
              <w:left w:val="nil"/>
              <w:bottom w:val="single" w:sz="4" w:space="0" w:color="auto"/>
              <w:right w:val="single" w:sz="4" w:space="0" w:color="auto"/>
            </w:tcBorders>
            <w:shd w:val="clear" w:color="auto" w:fill="auto"/>
            <w:noWrap/>
            <w:vAlign w:val="center"/>
          </w:tcPr>
          <w:p w14:paraId="5485C75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2B3C83D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4B9A638F"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nil"/>
              <w:left w:val="nil"/>
              <w:bottom w:val="single" w:sz="4" w:space="0" w:color="auto"/>
              <w:right w:val="single" w:sz="4" w:space="0" w:color="auto"/>
            </w:tcBorders>
            <w:shd w:val="clear" w:color="auto" w:fill="auto"/>
            <w:noWrap/>
            <w:vAlign w:val="center"/>
          </w:tcPr>
          <w:p w14:paraId="7CEA555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488DEF6F" w14:textId="77777777" w:rsidTr="00070EB9">
        <w:trPr>
          <w:gridBefore w:val="1"/>
          <w:wBefore w:w="298" w:type="dxa"/>
          <w:trHeight w:val="255"/>
        </w:trPr>
        <w:tc>
          <w:tcPr>
            <w:tcW w:w="2290" w:type="dxa"/>
            <w:gridSpan w:val="2"/>
            <w:tcBorders>
              <w:top w:val="nil"/>
              <w:left w:val="single" w:sz="4" w:space="0" w:color="auto"/>
              <w:bottom w:val="single" w:sz="4" w:space="0" w:color="auto"/>
              <w:right w:val="single" w:sz="4" w:space="0" w:color="auto"/>
            </w:tcBorders>
            <w:shd w:val="clear" w:color="auto" w:fill="auto"/>
            <w:noWrap/>
            <w:vAlign w:val="center"/>
          </w:tcPr>
          <w:p w14:paraId="4D9B7CA4"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Aluminium</w:t>
            </w:r>
          </w:p>
        </w:tc>
        <w:tc>
          <w:tcPr>
            <w:tcW w:w="971" w:type="dxa"/>
            <w:vMerge/>
            <w:tcBorders>
              <w:left w:val="nil"/>
              <w:bottom w:val="single" w:sz="4" w:space="0" w:color="auto"/>
              <w:right w:val="single" w:sz="4" w:space="0" w:color="auto"/>
            </w:tcBorders>
            <w:shd w:val="clear" w:color="auto" w:fill="auto"/>
            <w:noWrap/>
            <w:vAlign w:val="center"/>
          </w:tcPr>
          <w:p w14:paraId="6109727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tcBorders>
              <w:top w:val="nil"/>
              <w:left w:val="nil"/>
              <w:bottom w:val="single" w:sz="4" w:space="0" w:color="auto"/>
              <w:right w:val="single" w:sz="4" w:space="0" w:color="auto"/>
            </w:tcBorders>
            <w:shd w:val="clear" w:color="auto" w:fill="auto"/>
            <w:noWrap/>
            <w:vAlign w:val="center"/>
          </w:tcPr>
          <w:p w14:paraId="42787B9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0.12 kWh electricity</w:t>
            </w:r>
          </w:p>
          <w:p w14:paraId="2329690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74 kg Contamination to landfill</w:t>
            </w:r>
          </w:p>
        </w:tc>
        <w:tc>
          <w:tcPr>
            <w:tcW w:w="1502" w:type="dxa"/>
            <w:tcBorders>
              <w:top w:val="nil"/>
              <w:left w:val="nil"/>
              <w:bottom w:val="single" w:sz="4" w:space="0" w:color="auto"/>
              <w:right w:val="single" w:sz="4" w:space="0" w:color="auto"/>
            </w:tcBorders>
            <w:shd w:val="clear" w:color="auto" w:fill="auto"/>
            <w:noWrap/>
            <w:vAlign w:val="center"/>
          </w:tcPr>
          <w:p w14:paraId="06B00FD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Produced in Yennora, NSW</w:t>
            </w:r>
          </w:p>
          <w:p w14:paraId="2B5C3EB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503 kg aluminium produced</w:t>
            </w:r>
          </w:p>
        </w:tc>
        <w:tc>
          <w:tcPr>
            <w:tcW w:w="1560" w:type="dxa"/>
            <w:tcBorders>
              <w:top w:val="nil"/>
              <w:left w:val="nil"/>
              <w:bottom w:val="single" w:sz="4" w:space="0" w:color="auto"/>
              <w:right w:val="single" w:sz="4" w:space="0" w:color="auto"/>
            </w:tcBorders>
            <w:shd w:val="clear" w:color="auto" w:fill="auto"/>
            <w:noWrap/>
            <w:vAlign w:val="center"/>
          </w:tcPr>
          <w:p w14:paraId="0CDFA2C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Produced in Rep. of Korea</w:t>
            </w:r>
          </w:p>
          <w:p w14:paraId="7A74055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9349 km</w:t>
            </w:r>
          </w:p>
          <w:p w14:paraId="4FFD565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467 kg aluminium produced</w:t>
            </w:r>
          </w:p>
        </w:tc>
        <w:tc>
          <w:tcPr>
            <w:tcW w:w="1058" w:type="dxa"/>
            <w:tcBorders>
              <w:top w:val="nil"/>
              <w:left w:val="nil"/>
              <w:bottom w:val="single" w:sz="4" w:space="0" w:color="auto"/>
              <w:right w:val="single" w:sz="4" w:space="0" w:color="auto"/>
            </w:tcBorders>
            <w:shd w:val="clear" w:color="auto" w:fill="auto"/>
            <w:noWrap/>
            <w:vAlign w:val="center"/>
          </w:tcPr>
          <w:p w14:paraId="44E5ED9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173" w:type="dxa"/>
            <w:tcBorders>
              <w:top w:val="nil"/>
              <w:left w:val="nil"/>
              <w:bottom w:val="single" w:sz="4" w:space="0" w:color="auto"/>
              <w:right w:val="single" w:sz="4" w:space="0" w:color="auto"/>
            </w:tcBorders>
            <w:shd w:val="clear" w:color="auto" w:fill="auto"/>
            <w:noWrap/>
            <w:vAlign w:val="center"/>
          </w:tcPr>
          <w:p w14:paraId="43D8BD94"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Point Henry, Vic</w:t>
            </w:r>
          </w:p>
          <w:p w14:paraId="6CEDBD0A" w14:textId="77777777" w:rsidR="00070EB9" w:rsidRPr="004A401C" w:rsidRDefault="00070EB9" w:rsidP="009E73CF">
            <w:pPr>
              <w:pStyle w:val="ListParagraph"/>
              <w:numPr>
                <w:ilvl w:val="0"/>
                <w:numId w:val="33"/>
              </w:numPr>
              <w:tabs>
                <w:tab w:val="clear" w:pos="567"/>
                <w:tab w:val="left" w:pos="176"/>
              </w:tabs>
              <w:spacing w:after="0"/>
              <w:ind w:left="176" w:hanging="142"/>
              <w:jc w:val="left"/>
              <w:rPr>
                <w:rFonts w:eastAsia="Times New Roman"/>
                <w:color w:val="000000"/>
                <w:sz w:val="12"/>
                <w:szCs w:val="12"/>
              </w:rPr>
            </w:pPr>
            <w:r w:rsidRPr="004A401C">
              <w:rPr>
                <w:sz w:val="12"/>
                <w:szCs w:val="12"/>
                <w:lang w:eastAsia="x-none"/>
              </w:rPr>
              <w:t>503 kg aluminium produced</w:t>
            </w:r>
          </w:p>
        </w:tc>
        <w:tc>
          <w:tcPr>
            <w:tcW w:w="1317" w:type="dxa"/>
            <w:tcBorders>
              <w:top w:val="nil"/>
              <w:left w:val="nil"/>
              <w:bottom w:val="single" w:sz="4" w:space="0" w:color="auto"/>
              <w:right w:val="single" w:sz="4" w:space="0" w:color="auto"/>
            </w:tcBorders>
            <w:shd w:val="clear" w:color="auto" w:fill="auto"/>
            <w:noWrap/>
            <w:vAlign w:val="center"/>
          </w:tcPr>
          <w:p w14:paraId="777A2682"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Point Henry, Vic</w:t>
            </w:r>
          </w:p>
          <w:p w14:paraId="24244F6D"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467 kg aluminium produced</w:t>
            </w:r>
          </w:p>
          <w:p w14:paraId="2007C85D" w14:textId="77777777" w:rsidR="00070EB9" w:rsidRPr="004A401C" w:rsidRDefault="00070EB9" w:rsidP="009E73CF">
            <w:pPr>
              <w:pStyle w:val="ListParagraph"/>
              <w:numPr>
                <w:ilvl w:val="0"/>
                <w:numId w:val="33"/>
              </w:numPr>
              <w:tabs>
                <w:tab w:val="clear" w:pos="567"/>
                <w:tab w:val="left" w:pos="176"/>
              </w:tabs>
              <w:spacing w:after="0"/>
              <w:ind w:left="176" w:hanging="142"/>
              <w:jc w:val="left"/>
              <w:rPr>
                <w:rFonts w:eastAsia="Times New Roman"/>
                <w:color w:val="000000"/>
                <w:sz w:val="12"/>
                <w:szCs w:val="12"/>
              </w:rPr>
            </w:pPr>
            <w:r w:rsidRPr="004A401C">
              <w:rPr>
                <w:sz w:val="12"/>
                <w:szCs w:val="12"/>
                <w:lang w:eastAsia="x-none"/>
              </w:rPr>
              <w:t>shipped 9349 km to Korea</w:t>
            </w:r>
          </w:p>
        </w:tc>
        <w:tc>
          <w:tcPr>
            <w:tcW w:w="871" w:type="dxa"/>
            <w:vMerge/>
            <w:tcBorders>
              <w:left w:val="nil"/>
              <w:bottom w:val="single" w:sz="4" w:space="0" w:color="auto"/>
              <w:right w:val="single" w:sz="4" w:space="0" w:color="auto"/>
            </w:tcBorders>
            <w:shd w:val="clear" w:color="auto" w:fill="auto"/>
            <w:noWrap/>
            <w:vAlign w:val="center"/>
          </w:tcPr>
          <w:p w14:paraId="659E615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150" w:type="dxa"/>
            <w:tcBorders>
              <w:top w:val="nil"/>
              <w:left w:val="nil"/>
              <w:bottom w:val="single" w:sz="4" w:space="0" w:color="auto"/>
              <w:right w:val="single" w:sz="4" w:space="0" w:color="auto"/>
            </w:tcBorders>
            <w:shd w:val="clear" w:color="auto" w:fill="auto"/>
            <w:noWrap/>
            <w:vAlign w:val="center"/>
          </w:tcPr>
          <w:p w14:paraId="080A14D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05CF213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763A77B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nil"/>
              <w:left w:val="nil"/>
              <w:bottom w:val="single" w:sz="4" w:space="0" w:color="auto"/>
              <w:right w:val="single" w:sz="4" w:space="0" w:color="auto"/>
            </w:tcBorders>
            <w:shd w:val="clear" w:color="auto" w:fill="auto"/>
            <w:noWrap/>
            <w:vAlign w:val="center"/>
          </w:tcPr>
          <w:p w14:paraId="3C0FE34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bl>
    <w:p w14:paraId="39D12F6A" w14:textId="41E85D47" w:rsidR="00070EB9" w:rsidRDefault="00070EB9" w:rsidP="00070EB9">
      <w:pPr>
        <w:rPr>
          <w:lang w:eastAsia="x-none"/>
        </w:rPr>
      </w:pPr>
    </w:p>
    <w:p w14:paraId="2D12569B" w14:textId="77777777" w:rsidR="006555B4" w:rsidRDefault="006555B4"/>
    <w:p w14:paraId="7EAD8BD2" w14:textId="797179AF" w:rsidR="00070EB9" w:rsidRDefault="00070EB9">
      <w:pPr>
        <w:widowControl/>
        <w:spacing w:after="0"/>
        <w:jc w:val="left"/>
      </w:pPr>
      <w:r>
        <w:br w:type="page"/>
      </w:r>
    </w:p>
    <w:p w14:paraId="40DB68B3" w14:textId="2861987D" w:rsidR="00371BBF" w:rsidRDefault="00371BBF" w:rsidP="00371BBF">
      <w:pPr>
        <w:pStyle w:val="Caption"/>
        <w:keepNext/>
        <w:rPr>
          <w:lang w:val="en-AU"/>
        </w:rPr>
      </w:pPr>
      <w:bookmarkStart w:id="163" w:name="_Ref360195875"/>
      <w:r>
        <w:lastRenderedPageBreak/>
        <w:t xml:space="preserve">Table </w:t>
      </w:r>
      <w:r w:rsidR="00FC7DE2">
        <w:fldChar w:fldCharType="begin"/>
      </w:r>
      <w:r w:rsidR="00FC7DE2">
        <w:instrText xml:space="preserve"> SEQ Table \* ARABIC </w:instrText>
      </w:r>
      <w:r w:rsidR="00FC7DE2">
        <w:fldChar w:fldCharType="separate"/>
      </w:r>
      <w:r w:rsidR="00564E5C">
        <w:rPr>
          <w:noProof/>
        </w:rPr>
        <w:t>33</w:t>
      </w:r>
      <w:r w:rsidR="00FC7DE2">
        <w:rPr>
          <w:noProof/>
        </w:rPr>
        <w:fldChar w:fldCharType="end"/>
      </w:r>
      <w:bookmarkEnd w:id="163"/>
      <w:r>
        <w:rPr>
          <w:lang w:val="en-AU"/>
        </w:rPr>
        <w:t xml:space="preserve"> </w:t>
      </w:r>
      <w:r w:rsidRPr="00A3322C">
        <w:rPr>
          <w:lang w:val="en-AU"/>
        </w:rPr>
        <w:t>Key inventory assumptions (</w:t>
      </w:r>
      <w:r>
        <w:rPr>
          <w:lang w:val="en-AU"/>
        </w:rPr>
        <w:t>Paper</w:t>
      </w:r>
      <w:r w:rsidRPr="00A3322C">
        <w:rPr>
          <w:lang w:val="en-AU"/>
        </w:rPr>
        <w:t xml:space="preserve">). Flows for 1 </w:t>
      </w:r>
      <w:r w:rsidR="00E82F90">
        <w:rPr>
          <w:lang w:val="en-AU"/>
        </w:rPr>
        <w:t>t</w:t>
      </w:r>
      <w:r w:rsidRPr="00A3322C">
        <w:rPr>
          <w:lang w:val="en-AU"/>
        </w:rPr>
        <w:t xml:space="preserve"> of materials shown</w:t>
      </w:r>
      <w:r>
        <w:rPr>
          <w:lang w:val="en-AU"/>
        </w:rPr>
        <w:t>.</w:t>
      </w:r>
    </w:p>
    <w:tbl>
      <w:tblPr>
        <w:tblW w:w="14352" w:type="dxa"/>
        <w:tblInd w:w="93" w:type="dxa"/>
        <w:tblLayout w:type="fixed"/>
        <w:tblLook w:val="04A0" w:firstRow="1" w:lastRow="0" w:firstColumn="1" w:lastColumn="0" w:noHBand="0" w:noVBand="1"/>
      </w:tblPr>
      <w:tblGrid>
        <w:gridCol w:w="298"/>
        <w:gridCol w:w="993"/>
        <w:gridCol w:w="1297"/>
        <w:gridCol w:w="971"/>
        <w:gridCol w:w="1024"/>
        <w:gridCol w:w="1502"/>
        <w:gridCol w:w="1560"/>
        <w:gridCol w:w="1058"/>
        <w:gridCol w:w="1173"/>
        <w:gridCol w:w="1317"/>
        <w:gridCol w:w="871"/>
        <w:gridCol w:w="1150"/>
        <w:gridCol w:w="1138"/>
      </w:tblGrid>
      <w:tr w:rsidR="00070EB9" w:rsidRPr="004A401C" w14:paraId="1C18C27D" w14:textId="77777777" w:rsidTr="00070EB9">
        <w:trPr>
          <w:trHeight w:val="255"/>
        </w:trPr>
        <w:tc>
          <w:tcPr>
            <w:tcW w:w="1291" w:type="dxa"/>
            <w:gridSpan w:val="2"/>
            <w:tcBorders>
              <w:top w:val="nil"/>
              <w:left w:val="nil"/>
              <w:bottom w:val="nil"/>
              <w:right w:val="nil"/>
            </w:tcBorders>
            <w:shd w:val="clear" w:color="auto" w:fill="auto"/>
            <w:noWrap/>
            <w:vAlign w:val="bottom"/>
            <w:hideMark/>
          </w:tcPr>
          <w:p w14:paraId="26011B75" w14:textId="105544C6" w:rsidR="00070EB9" w:rsidRPr="004A401C" w:rsidRDefault="00070EB9" w:rsidP="00070EB9">
            <w:pPr>
              <w:widowControl/>
              <w:spacing w:after="0"/>
              <w:jc w:val="left"/>
              <w:rPr>
                <w:rFonts w:eastAsia="Times New Roman"/>
                <w:b/>
                <w:color w:val="000000"/>
                <w:sz w:val="12"/>
                <w:szCs w:val="12"/>
              </w:rPr>
            </w:pPr>
          </w:p>
        </w:tc>
        <w:tc>
          <w:tcPr>
            <w:tcW w:w="1297" w:type="dxa"/>
            <w:tcBorders>
              <w:top w:val="nil"/>
              <w:left w:val="nil"/>
              <w:bottom w:val="nil"/>
              <w:right w:val="nil"/>
            </w:tcBorders>
            <w:shd w:val="clear" w:color="auto" w:fill="auto"/>
            <w:noWrap/>
            <w:vAlign w:val="bottom"/>
            <w:hideMark/>
          </w:tcPr>
          <w:p w14:paraId="13872595" w14:textId="77777777" w:rsidR="00070EB9" w:rsidRPr="004A401C" w:rsidRDefault="00070EB9" w:rsidP="00070EB9">
            <w:pPr>
              <w:widowControl/>
              <w:spacing w:after="0"/>
              <w:jc w:val="left"/>
              <w:rPr>
                <w:rFonts w:eastAsia="Times New Roman"/>
                <w:b/>
                <w:color w:val="000000"/>
                <w:sz w:val="12"/>
                <w:szCs w:val="12"/>
              </w:rPr>
            </w:pPr>
          </w:p>
        </w:tc>
        <w:tc>
          <w:tcPr>
            <w:tcW w:w="611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B982F2"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Recycling System</w:t>
            </w:r>
          </w:p>
        </w:tc>
        <w:tc>
          <w:tcPr>
            <w:tcW w:w="564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1E15222"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Alternative System</w:t>
            </w:r>
          </w:p>
        </w:tc>
      </w:tr>
      <w:tr w:rsidR="00070EB9" w:rsidRPr="004A401C" w14:paraId="16703C95" w14:textId="77777777" w:rsidTr="00070EB9">
        <w:trPr>
          <w:trHeight w:val="765"/>
        </w:trPr>
        <w:tc>
          <w:tcPr>
            <w:tcW w:w="298" w:type="dxa"/>
            <w:tcBorders>
              <w:top w:val="nil"/>
              <w:left w:val="nil"/>
              <w:bottom w:val="nil"/>
              <w:right w:val="nil"/>
            </w:tcBorders>
            <w:shd w:val="clear" w:color="auto" w:fill="auto"/>
            <w:noWrap/>
            <w:vAlign w:val="bottom"/>
            <w:hideMark/>
          </w:tcPr>
          <w:p w14:paraId="7CE9EA9B" w14:textId="77777777" w:rsidR="00070EB9" w:rsidRPr="004A401C" w:rsidRDefault="00070EB9" w:rsidP="00070EB9">
            <w:pPr>
              <w:widowControl/>
              <w:spacing w:after="0"/>
              <w:jc w:val="left"/>
              <w:rPr>
                <w:rFonts w:eastAsia="Times New Roman"/>
                <w:b/>
                <w:color w:val="000000"/>
                <w:sz w:val="12"/>
                <w:szCs w:val="12"/>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3B2A" w14:textId="77777777" w:rsidR="00070EB9" w:rsidRPr="004A401C" w:rsidRDefault="00070EB9" w:rsidP="00070EB9">
            <w:pPr>
              <w:widowControl/>
              <w:spacing w:after="0"/>
              <w:jc w:val="left"/>
              <w:rPr>
                <w:rFonts w:eastAsia="Times New Roman"/>
                <w:b/>
                <w:color w:val="000000"/>
                <w:sz w:val="12"/>
                <w:szCs w:val="12"/>
              </w:rPr>
            </w:pPr>
            <w:r w:rsidRPr="004A401C">
              <w:rPr>
                <w:rFonts w:eastAsia="Times New Roman"/>
                <w:b/>
                <w:color w:val="000000"/>
                <w:sz w:val="12"/>
                <w:szCs w:val="12"/>
              </w:rPr>
              <w:t>Material</w:t>
            </w:r>
          </w:p>
        </w:tc>
        <w:tc>
          <w:tcPr>
            <w:tcW w:w="971" w:type="dxa"/>
            <w:tcBorders>
              <w:top w:val="nil"/>
              <w:left w:val="nil"/>
              <w:bottom w:val="single" w:sz="4" w:space="0" w:color="auto"/>
              <w:right w:val="single" w:sz="4" w:space="0" w:color="auto"/>
            </w:tcBorders>
            <w:shd w:val="clear" w:color="auto" w:fill="auto"/>
            <w:vAlign w:val="center"/>
            <w:hideMark/>
          </w:tcPr>
          <w:p w14:paraId="331C81AA"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024" w:type="dxa"/>
            <w:tcBorders>
              <w:top w:val="nil"/>
              <w:left w:val="nil"/>
              <w:bottom w:val="single" w:sz="4" w:space="0" w:color="auto"/>
              <w:right w:val="single" w:sz="4" w:space="0" w:color="auto"/>
            </w:tcBorders>
            <w:shd w:val="clear" w:color="auto" w:fill="auto"/>
            <w:vAlign w:val="center"/>
            <w:hideMark/>
          </w:tcPr>
          <w:p w14:paraId="67A73491"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Sorting</w:t>
            </w:r>
          </w:p>
        </w:tc>
        <w:tc>
          <w:tcPr>
            <w:tcW w:w="1502" w:type="dxa"/>
            <w:tcBorders>
              <w:top w:val="nil"/>
              <w:left w:val="nil"/>
              <w:bottom w:val="single" w:sz="4" w:space="0" w:color="auto"/>
              <w:right w:val="single" w:sz="4" w:space="0" w:color="auto"/>
            </w:tcBorders>
            <w:shd w:val="clear" w:color="auto" w:fill="auto"/>
            <w:vAlign w:val="center"/>
            <w:hideMark/>
          </w:tcPr>
          <w:p w14:paraId="14988867"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Local</w:t>
            </w:r>
          </w:p>
        </w:tc>
        <w:tc>
          <w:tcPr>
            <w:tcW w:w="1560" w:type="dxa"/>
            <w:tcBorders>
              <w:top w:val="nil"/>
              <w:left w:val="nil"/>
              <w:bottom w:val="single" w:sz="4" w:space="0" w:color="auto"/>
              <w:right w:val="single" w:sz="4" w:space="0" w:color="auto"/>
            </w:tcBorders>
            <w:shd w:val="clear" w:color="auto" w:fill="auto"/>
            <w:vAlign w:val="center"/>
            <w:hideMark/>
          </w:tcPr>
          <w:p w14:paraId="3AB59635"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International</w:t>
            </w:r>
          </w:p>
        </w:tc>
        <w:tc>
          <w:tcPr>
            <w:tcW w:w="1058" w:type="dxa"/>
            <w:tcBorders>
              <w:top w:val="nil"/>
              <w:left w:val="nil"/>
              <w:bottom w:val="single" w:sz="4" w:space="0" w:color="auto"/>
              <w:right w:val="single" w:sz="4" w:space="0" w:color="auto"/>
            </w:tcBorders>
            <w:shd w:val="clear" w:color="auto" w:fill="auto"/>
            <w:vAlign w:val="center"/>
            <w:hideMark/>
          </w:tcPr>
          <w:p w14:paraId="63505155"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c>
          <w:tcPr>
            <w:tcW w:w="1173" w:type="dxa"/>
            <w:tcBorders>
              <w:top w:val="nil"/>
              <w:left w:val="nil"/>
              <w:bottom w:val="single" w:sz="4" w:space="0" w:color="auto"/>
              <w:right w:val="single" w:sz="4" w:space="0" w:color="auto"/>
            </w:tcBorders>
            <w:shd w:val="clear" w:color="auto" w:fill="auto"/>
            <w:vAlign w:val="center"/>
            <w:hideMark/>
          </w:tcPr>
          <w:p w14:paraId="1B4D212B"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Local</w:t>
            </w:r>
          </w:p>
        </w:tc>
        <w:tc>
          <w:tcPr>
            <w:tcW w:w="1317" w:type="dxa"/>
            <w:tcBorders>
              <w:top w:val="nil"/>
              <w:left w:val="nil"/>
              <w:bottom w:val="single" w:sz="4" w:space="0" w:color="auto"/>
              <w:right w:val="single" w:sz="4" w:space="0" w:color="auto"/>
            </w:tcBorders>
            <w:shd w:val="clear" w:color="auto" w:fill="auto"/>
            <w:vAlign w:val="center"/>
            <w:hideMark/>
          </w:tcPr>
          <w:p w14:paraId="78FE28B0"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International</w:t>
            </w:r>
          </w:p>
        </w:tc>
        <w:tc>
          <w:tcPr>
            <w:tcW w:w="871" w:type="dxa"/>
            <w:tcBorders>
              <w:top w:val="nil"/>
              <w:left w:val="nil"/>
              <w:bottom w:val="single" w:sz="4" w:space="0" w:color="auto"/>
              <w:right w:val="single" w:sz="4" w:space="0" w:color="auto"/>
            </w:tcBorders>
            <w:shd w:val="clear" w:color="auto" w:fill="auto"/>
            <w:vAlign w:val="center"/>
            <w:hideMark/>
          </w:tcPr>
          <w:p w14:paraId="496BDF5F"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150" w:type="dxa"/>
            <w:tcBorders>
              <w:top w:val="nil"/>
              <w:left w:val="nil"/>
              <w:bottom w:val="single" w:sz="4" w:space="0" w:color="auto"/>
              <w:right w:val="single" w:sz="4" w:space="0" w:color="auto"/>
            </w:tcBorders>
            <w:shd w:val="clear" w:color="auto" w:fill="auto"/>
            <w:vAlign w:val="center"/>
            <w:hideMark/>
          </w:tcPr>
          <w:p w14:paraId="4A652DE1"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Disposal operations</w:t>
            </w:r>
          </w:p>
        </w:tc>
        <w:tc>
          <w:tcPr>
            <w:tcW w:w="1138" w:type="dxa"/>
            <w:tcBorders>
              <w:top w:val="nil"/>
              <w:left w:val="nil"/>
              <w:bottom w:val="single" w:sz="4" w:space="0" w:color="auto"/>
              <w:right w:val="single" w:sz="4" w:space="0" w:color="auto"/>
            </w:tcBorders>
            <w:shd w:val="clear" w:color="auto" w:fill="auto"/>
            <w:vAlign w:val="center"/>
            <w:hideMark/>
          </w:tcPr>
          <w:p w14:paraId="269DFFEF"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r>
      <w:tr w:rsidR="00070EB9" w:rsidRPr="00206DBA" w14:paraId="4BACAFBF" w14:textId="77777777" w:rsidTr="00070EB9">
        <w:trPr>
          <w:gridBefore w:val="1"/>
          <w:wBefore w:w="298" w:type="dxa"/>
          <w:trHeight w:val="255"/>
        </w:trPr>
        <w:tc>
          <w:tcPr>
            <w:tcW w:w="993" w:type="dxa"/>
            <w:vMerge w:val="restart"/>
            <w:tcBorders>
              <w:top w:val="single" w:sz="4" w:space="0" w:color="auto"/>
              <w:left w:val="single" w:sz="4" w:space="0" w:color="auto"/>
              <w:right w:val="single" w:sz="4" w:space="0" w:color="auto"/>
            </w:tcBorders>
            <w:shd w:val="clear" w:color="auto" w:fill="auto"/>
            <w:noWrap/>
            <w:vAlign w:val="center"/>
            <w:hideMark/>
          </w:tcPr>
          <w:p w14:paraId="6AD0E1EA"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Paper</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A77BA47"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White</w:t>
            </w:r>
          </w:p>
        </w:tc>
        <w:tc>
          <w:tcPr>
            <w:tcW w:w="971" w:type="dxa"/>
            <w:vMerge w:val="restart"/>
            <w:tcBorders>
              <w:top w:val="single" w:sz="4" w:space="0" w:color="auto"/>
              <w:left w:val="nil"/>
              <w:right w:val="single" w:sz="4" w:space="0" w:color="auto"/>
            </w:tcBorders>
            <w:shd w:val="clear" w:color="auto" w:fill="auto"/>
            <w:noWrap/>
            <w:vAlign w:val="center"/>
          </w:tcPr>
          <w:p w14:paraId="0E3221C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11.9 l</w:t>
            </w:r>
          </w:p>
        </w:tc>
        <w:tc>
          <w:tcPr>
            <w:tcW w:w="1024" w:type="dxa"/>
            <w:vMerge w:val="restart"/>
            <w:tcBorders>
              <w:top w:val="single" w:sz="4" w:space="0" w:color="auto"/>
              <w:left w:val="nil"/>
              <w:right w:val="single" w:sz="4" w:space="0" w:color="auto"/>
            </w:tcBorders>
            <w:shd w:val="clear" w:color="auto" w:fill="auto"/>
            <w:noWrap/>
            <w:vAlign w:val="center"/>
          </w:tcPr>
          <w:p w14:paraId="34462C3A"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3.92 kWh electricity</w:t>
            </w:r>
          </w:p>
          <w:p w14:paraId="031B869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74 kg Contamination to landfill</w:t>
            </w:r>
          </w:p>
        </w:tc>
        <w:tc>
          <w:tcPr>
            <w:tcW w:w="1502" w:type="dxa"/>
            <w:vMerge w:val="restart"/>
            <w:tcBorders>
              <w:top w:val="single" w:sz="4" w:space="0" w:color="auto"/>
              <w:left w:val="nil"/>
              <w:right w:val="single" w:sz="4" w:space="0" w:color="auto"/>
            </w:tcBorders>
            <w:shd w:val="clear" w:color="auto" w:fill="auto"/>
            <w:noWrap/>
            <w:vAlign w:val="center"/>
          </w:tcPr>
          <w:p w14:paraId="5207EAD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Packaging card production (100% rec)</w:t>
            </w:r>
          </w:p>
          <w:p w14:paraId="14C8D74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Botany, NSW</w:t>
            </w:r>
          </w:p>
          <w:p w14:paraId="77F6BC5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370 kg cardboard produced</w:t>
            </w:r>
          </w:p>
        </w:tc>
        <w:tc>
          <w:tcPr>
            <w:tcW w:w="1560" w:type="dxa"/>
            <w:vMerge w:val="restart"/>
            <w:tcBorders>
              <w:top w:val="single" w:sz="4" w:space="0" w:color="auto"/>
              <w:left w:val="nil"/>
              <w:right w:val="single" w:sz="4" w:space="0" w:color="auto"/>
            </w:tcBorders>
            <w:shd w:val="clear" w:color="auto" w:fill="auto"/>
            <w:noWrap/>
            <w:vAlign w:val="center"/>
          </w:tcPr>
          <w:p w14:paraId="4FA44CB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Packaging card production (100% rec)</w:t>
            </w:r>
          </w:p>
          <w:p w14:paraId="6D20E78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China</w:t>
            </w:r>
          </w:p>
          <w:p w14:paraId="225EB2A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9773 km</w:t>
            </w:r>
          </w:p>
          <w:p w14:paraId="25F7B81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472 kg cardboard produced</w:t>
            </w:r>
          </w:p>
        </w:tc>
        <w:tc>
          <w:tcPr>
            <w:tcW w:w="1058" w:type="dxa"/>
            <w:vMerge w:val="restart"/>
            <w:tcBorders>
              <w:top w:val="single" w:sz="4" w:space="0" w:color="auto"/>
              <w:left w:val="nil"/>
              <w:right w:val="single" w:sz="4" w:space="0" w:color="auto"/>
            </w:tcBorders>
            <w:shd w:val="clear" w:color="auto" w:fill="auto"/>
            <w:noWrap/>
            <w:vAlign w:val="center"/>
          </w:tcPr>
          <w:p w14:paraId="2B5EDA0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(only that associated with reprocessing waste to landfill)</w:t>
            </w:r>
          </w:p>
        </w:tc>
        <w:tc>
          <w:tcPr>
            <w:tcW w:w="1173" w:type="dxa"/>
            <w:vMerge w:val="restart"/>
            <w:tcBorders>
              <w:top w:val="single" w:sz="4" w:space="0" w:color="auto"/>
              <w:left w:val="nil"/>
              <w:right w:val="single" w:sz="4" w:space="0" w:color="auto"/>
            </w:tcBorders>
            <w:shd w:val="clear" w:color="auto" w:fill="auto"/>
            <w:noWrap/>
            <w:vAlign w:val="center"/>
          </w:tcPr>
          <w:p w14:paraId="70DFC9F6"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packaging card production (Kraft)</w:t>
            </w:r>
          </w:p>
          <w:p w14:paraId="5453C6C5"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Tumut, NSW</w:t>
            </w:r>
          </w:p>
          <w:p w14:paraId="2CFD5CB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370 kg cardboard produced</w:t>
            </w:r>
          </w:p>
        </w:tc>
        <w:tc>
          <w:tcPr>
            <w:tcW w:w="1317" w:type="dxa"/>
            <w:vMerge w:val="restart"/>
            <w:tcBorders>
              <w:top w:val="single" w:sz="4" w:space="0" w:color="auto"/>
              <w:left w:val="nil"/>
              <w:right w:val="single" w:sz="4" w:space="0" w:color="auto"/>
            </w:tcBorders>
            <w:shd w:val="clear" w:color="auto" w:fill="auto"/>
            <w:noWrap/>
            <w:vAlign w:val="center"/>
          </w:tcPr>
          <w:p w14:paraId="0ED9C613"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 xml:space="preserve">packaging card production (Kraft) </w:t>
            </w:r>
          </w:p>
          <w:p w14:paraId="53907D3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produced in China</w:t>
            </w:r>
          </w:p>
          <w:p w14:paraId="6920E7FE"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472 kg cardboard produced</w:t>
            </w:r>
          </w:p>
        </w:tc>
        <w:tc>
          <w:tcPr>
            <w:tcW w:w="871" w:type="dxa"/>
            <w:vMerge w:val="restart"/>
            <w:tcBorders>
              <w:top w:val="single" w:sz="4" w:space="0" w:color="auto"/>
              <w:left w:val="nil"/>
              <w:right w:val="single" w:sz="4" w:space="0" w:color="auto"/>
            </w:tcBorders>
            <w:shd w:val="clear" w:color="auto" w:fill="auto"/>
            <w:noWrap/>
            <w:vAlign w:val="center"/>
          </w:tcPr>
          <w:p w14:paraId="2E70F7E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17.1 l</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EE24F33"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1000 kg landfill</w:t>
            </w:r>
          </w:p>
          <w:p w14:paraId="0B0536EA"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230 kg methane generated per tonne deposited</w:t>
            </w:r>
          </w:p>
          <w:p w14:paraId="62186B40"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landfill captures 56% of methane</w:t>
            </w:r>
          </w:p>
          <w:p w14:paraId="5DD75196"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92% of methane captured goes to energy generation</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2861D17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200 kg carbon stored</w:t>
            </w:r>
          </w:p>
        </w:tc>
      </w:tr>
      <w:tr w:rsidR="00070EB9" w:rsidRPr="00206DBA" w14:paraId="158D167C" w14:textId="77777777" w:rsidTr="00070EB9">
        <w:trPr>
          <w:gridBefore w:val="1"/>
          <w:wBefore w:w="298" w:type="dxa"/>
          <w:trHeight w:val="255"/>
        </w:trPr>
        <w:tc>
          <w:tcPr>
            <w:tcW w:w="993" w:type="dxa"/>
            <w:vMerge/>
            <w:tcBorders>
              <w:left w:val="single" w:sz="4" w:space="0" w:color="auto"/>
              <w:right w:val="single" w:sz="4" w:space="0" w:color="auto"/>
            </w:tcBorders>
            <w:shd w:val="clear" w:color="auto" w:fill="auto"/>
            <w:noWrap/>
            <w:vAlign w:val="center"/>
            <w:hideMark/>
          </w:tcPr>
          <w:p w14:paraId="3ADF081B" w14:textId="77777777" w:rsidR="00070EB9" w:rsidRPr="004A401C" w:rsidRDefault="00070EB9" w:rsidP="00070EB9">
            <w:pPr>
              <w:spacing w:after="0"/>
              <w:jc w:val="left"/>
              <w:rPr>
                <w:rFonts w:eastAsia="Times New Roman"/>
                <w:color w:val="000000"/>
                <w:sz w:val="12"/>
                <w:szCs w:val="12"/>
              </w:rPr>
            </w:pPr>
          </w:p>
        </w:tc>
        <w:tc>
          <w:tcPr>
            <w:tcW w:w="1297" w:type="dxa"/>
            <w:tcBorders>
              <w:top w:val="nil"/>
              <w:left w:val="nil"/>
              <w:bottom w:val="single" w:sz="4" w:space="0" w:color="auto"/>
              <w:right w:val="single" w:sz="4" w:space="0" w:color="auto"/>
            </w:tcBorders>
            <w:shd w:val="clear" w:color="auto" w:fill="auto"/>
            <w:noWrap/>
            <w:vAlign w:val="center"/>
          </w:tcPr>
          <w:p w14:paraId="1946C5DC"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Mixed</w:t>
            </w:r>
          </w:p>
        </w:tc>
        <w:tc>
          <w:tcPr>
            <w:tcW w:w="971" w:type="dxa"/>
            <w:vMerge/>
            <w:tcBorders>
              <w:left w:val="nil"/>
              <w:right w:val="single" w:sz="4" w:space="0" w:color="auto"/>
            </w:tcBorders>
            <w:shd w:val="clear" w:color="auto" w:fill="auto"/>
            <w:noWrap/>
            <w:vAlign w:val="center"/>
          </w:tcPr>
          <w:p w14:paraId="4B21386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vMerge/>
            <w:tcBorders>
              <w:left w:val="nil"/>
              <w:right w:val="single" w:sz="4" w:space="0" w:color="auto"/>
            </w:tcBorders>
            <w:shd w:val="clear" w:color="auto" w:fill="auto"/>
            <w:noWrap/>
            <w:vAlign w:val="center"/>
          </w:tcPr>
          <w:p w14:paraId="547E8D94" w14:textId="77777777" w:rsidR="00070EB9" w:rsidRPr="004A401C" w:rsidRDefault="00070EB9" w:rsidP="00070EB9">
            <w:pPr>
              <w:widowControl/>
              <w:spacing w:after="0"/>
              <w:ind w:hanging="142"/>
              <w:jc w:val="left"/>
              <w:rPr>
                <w:rFonts w:eastAsia="Times New Roman"/>
                <w:color w:val="000000"/>
                <w:sz w:val="12"/>
                <w:szCs w:val="12"/>
              </w:rPr>
            </w:pPr>
          </w:p>
        </w:tc>
        <w:tc>
          <w:tcPr>
            <w:tcW w:w="1502" w:type="dxa"/>
            <w:vMerge/>
            <w:tcBorders>
              <w:left w:val="nil"/>
              <w:right w:val="single" w:sz="4" w:space="0" w:color="auto"/>
            </w:tcBorders>
            <w:shd w:val="clear" w:color="auto" w:fill="auto"/>
            <w:noWrap/>
            <w:vAlign w:val="center"/>
          </w:tcPr>
          <w:p w14:paraId="160A5AC2" w14:textId="77777777" w:rsidR="00070EB9" w:rsidRPr="004A401C" w:rsidRDefault="00070EB9" w:rsidP="00070EB9">
            <w:pPr>
              <w:widowControl/>
              <w:spacing w:after="0"/>
              <w:ind w:hanging="142"/>
              <w:jc w:val="left"/>
              <w:rPr>
                <w:rFonts w:eastAsia="Times New Roman"/>
                <w:color w:val="000000"/>
                <w:sz w:val="12"/>
                <w:szCs w:val="12"/>
              </w:rPr>
            </w:pPr>
          </w:p>
        </w:tc>
        <w:tc>
          <w:tcPr>
            <w:tcW w:w="1560" w:type="dxa"/>
            <w:vMerge/>
            <w:tcBorders>
              <w:left w:val="nil"/>
              <w:right w:val="single" w:sz="4" w:space="0" w:color="auto"/>
            </w:tcBorders>
            <w:shd w:val="clear" w:color="auto" w:fill="auto"/>
            <w:noWrap/>
            <w:vAlign w:val="center"/>
          </w:tcPr>
          <w:p w14:paraId="26487ED9" w14:textId="77777777" w:rsidR="00070EB9" w:rsidRPr="004A401C" w:rsidRDefault="00070EB9" w:rsidP="00070EB9">
            <w:pPr>
              <w:widowControl/>
              <w:spacing w:after="0"/>
              <w:ind w:hanging="142"/>
              <w:jc w:val="left"/>
              <w:rPr>
                <w:rFonts w:eastAsia="Times New Roman"/>
                <w:color w:val="000000"/>
                <w:sz w:val="12"/>
                <w:szCs w:val="12"/>
              </w:rPr>
            </w:pPr>
          </w:p>
        </w:tc>
        <w:tc>
          <w:tcPr>
            <w:tcW w:w="1058" w:type="dxa"/>
            <w:vMerge/>
            <w:tcBorders>
              <w:left w:val="nil"/>
              <w:right w:val="single" w:sz="4" w:space="0" w:color="auto"/>
            </w:tcBorders>
            <w:shd w:val="clear" w:color="auto" w:fill="auto"/>
            <w:noWrap/>
            <w:vAlign w:val="center"/>
          </w:tcPr>
          <w:p w14:paraId="4637116A"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173" w:type="dxa"/>
            <w:vMerge/>
            <w:tcBorders>
              <w:left w:val="nil"/>
              <w:right w:val="single" w:sz="4" w:space="0" w:color="auto"/>
            </w:tcBorders>
            <w:shd w:val="clear" w:color="auto" w:fill="auto"/>
            <w:noWrap/>
            <w:vAlign w:val="center"/>
          </w:tcPr>
          <w:p w14:paraId="49A3ED65" w14:textId="77777777" w:rsidR="00070EB9" w:rsidRPr="004A401C" w:rsidRDefault="00070EB9" w:rsidP="00070EB9">
            <w:pPr>
              <w:widowControl/>
              <w:spacing w:after="0"/>
              <w:jc w:val="left"/>
              <w:rPr>
                <w:rFonts w:eastAsia="Times New Roman"/>
                <w:color w:val="000000"/>
                <w:sz w:val="12"/>
                <w:szCs w:val="12"/>
              </w:rPr>
            </w:pPr>
          </w:p>
        </w:tc>
        <w:tc>
          <w:tcPr>
            <w:tcW w:w="1317" w:type="dxa"/>
            <w:vMerge/>
            <w:tcBorders>
              <w:left w:val="nil"/>
              <w:right w:val="single" w:sz="4" w:space="0" w:color="auto"/>
            </w:tcBorders>
            <w:shd w:val="clear" w:color="auto" w:fill="auto"/>
            <w:noWrap/>
            <w:vAlign w:val="center"/>
          </w:tcPr>
          <w:p w14:paraId="30D70606" w14:textId="77777777" w:rsidR="00070EB9" w:rsidRPr="004A401C" w:rsidRDefault="00070EB9" w:rsidP="00070EB9">
            <w:pPr>
              <w:widowControl/>
              <w:spacing w:after="0"/>
              <w:jc w:val="left"/>
              <w:rPr>
                <w:rFonts w:eastAsia="Times New Roman"/>
                <w:color w:val="000000"/>
                <w:sz w:val="12"/>
                <w:szCs w:val="12"/>
              </w:rPr>
            </w:pPr>
          </w:p>
        </w:tc>
        <w:tc>
          <w:tcPr>
            <w:tcW w:w="871" w:type="dxa"/>
            <w:vMerge/>
            <w:tcBorders>
              <w:left w:val="nil"/>
              <w:right w:val="single" w:sz="4" w:space="0" w:color="auto"/>
            </w:tcBorders>
            <w:shd w:val="clear" w:color="auto" w:fill="auto"/>
            <w:noWrap/>
            <w:vAlign w:val="center"/>
          </w:tcPr>
          <w:p w14:paraId="440ECED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150" w:type="dxa"/>
            <w:tcBorders>
              <w:top w:val="nil"/>
              <w:left w:val="nil"/>
              <w:bottom w:val="single" w:sz="4" w:space="0" w:color="auto"/>
              <w:right w:val="single" w:sz="4" w:space="0" w:color="auto"/>
            </w:tcBorders>
            <w:shd w:val="clear" w:color="auto" w:fill="auto"/>
            <w:noWrap/>
            <w:vAlign w:val="center"/>
          </w:tcPr>
          <w:p w14:paraId="07223D4B"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1000 kg landfill</w:t>
            </w:r>
          </w:p>
          <w:p w14:paraId="47960D4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39 kg methane generated per tonne deposited</w:t>
            </w:r>
          </w:p>
          <w:p w14:paraId="62887558"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Landfill captures 56% of methane</w:t>
            </w:r>
          </w:p>
          <w:p w14:paraId="280AAA48"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92% of methane captured goes to energy generation</w:t>
            </w:r>
          </w:p>
        </w:tc>
        <w:tc>
          <w:tcPr>
            <w:tcW w:w="1138" w:type="dxa"/>
            <w:tcBorders>
              <w:top w:val="nil"/>
              <w:left w:val="nil"/>
              <w:bottom w:val="single" w:sz="4" w:space="0" w:color="auto"/>
              <w:right w:val="single" w:sz="4" w:space="0" w:color="auto"/>
            </w:tcBorders>
            <w:shd w:val="clear" w:color="auto" w:fill="auto"/>
            <w:noWrap/>
            <w:vAlign w:val="center"/>
          </w:tcPr>
          <w:p w14:paraId="3C33428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334 kg carbon stored</w:t>
            </w:r>
          </w:p>
        </w:tc>
      </w:tr>
      <w:tr w:rsidR="00070EB9" w:rsidRPr="00206DBA" w14:paraId="5E92D34C" w14:textId="77777777" w:rsidTr="00070EB9">
        <w:trPr>
          <w:gridBefore w:val="1"/>
          <w:wBefore w:w="298" w:type="dxa"/>
          <w:trHeight w:val="255"/>
        </w:trPr>
        <w:tc>
          <w:tcPr>
            <w:tcW w:w="993" w:type="dxa"/>
            <w:vMerge/>
            <w:tcBorders>
              <w:left w:val="single" w:sz="4" w:space="0" w:color="auto"/>
              <w:bottom w:val="single" w:sz="4" w:space="0" w:color="auto"/>
              <w:right w:val="single" w:sz="4" w:space="0" w:color="auto"/>
            </w:tcBorders>
            <w:shd w:val="clear" w:color="auto" w:fill="auto"/>
            <w:noWrap/>
            <w:vAlign w:val="center"/>
            <w:hideMark/>
          </w:tcPr>
          <w:p w14:paraId="60A43ECE" w14:textId="77777777" w:rsidR="00070EB9" w:rsidRPr="004A401C" w:rsidRDefault="00070EB9" w:rsidP="00070EB9">
            <w:pPr>
              <w:widowControl/>
              <w:spacing w:after="0"/>
              <w:jc w:val="left"/>
              <w:rPr>
                <w:rFonts w:eastAsia="Times New Roman"/>
                <w:color w:val="000000"/>
                <w:sz w:val="12"/>
                <w:szCs w:val="12"/>
              </w:rPr>
            </w:pPr>
          </w:p>
        </w:tc>
        <w:tc>
          <w:tcPr>
            <w:tcW w:w="1297" w:type="dxa"/>
            <w:tcBorders>
              <w:top w:val="nil"/>
              <w:left w:val="nil"/>
              <w:bottom w:val="single" w:sz="4" w:space="0" w:color="auto"/>
              <w:right w:val="single" w:sz="4" w:space="0" w:color="auto"/>
            </w:tcBorders>
            <w:shd w:val="clear" w:color="auto" w:fill="auto"/>
            <w:noWrap/>
            <w:vAlign w:val="center"/>
          </w:tcPr>
          <w:p w14:paraId="180A41AD"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Cardboard</w:t>
            </w:r>
          </w:p>
        </w:tc>
        <w:tc>
          <w:tcPr>
            <w:tcW w:w="971" w:type="dxa"/>
            <w:vMerge/>
            <w:tcBorders>
              <w:left w:val="nil"/>
              <w:bottom w:val="single" w:sz="4" w:space="0" w:color="auto"/>
              <w:right w:val="single" w:sz="4" w:space="0" w:color="auto"/>
            </w:tcBorders>
            <w:shd w:val="clear" w:color="auto" w:fill="auto"/>
            <w:noWrap/>
            <w:vAlign w:val="center"/>
          </w:tcPr>
          <w:p w14:paraId="5C863F5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vMerge/>
            <w:tcBorders>
              <w:left w:val="nil"/>
              <w:bottom w:val="single" w:sz="4" w:space="0" w:color="auto"/>
              <w:right w:val="single" w:sz="4" w:space="0" w:color="auto"/>
            </w:tcBorders>
            <w:shd w:val="clear" w:color="auto" w:fill="auto"/>
            <w:noWrap/>
            <w:vAlign w:val="center"/>
          </w:tcPr>
          <w:p w14:paraId="25390756" w14:textId="77777777" w:rsidR="00070EB9" w:rsidRPr="004A401C" w:rsidRDefault="00070EB9" w:rsidP="00070EB9">
            <w:pPr>
              <w:widowControl/>
              <w:spacing w:after="0"/>
              <w:ind w:hanging="142"/>
              <w:jc w:val="left"/>
              <w:rPr>
                <w:rFonts w:eastAsia="Times New Roman"/>
                <w:color w:val="000000"/>
                <w:sz w:val="12"/>
                <w:szCs w:val="12"/>
              </w:rPr>
            </w:pPr>
          </w:p>
        </w:tc>
        <w:tc>
          <w:tcPr>
            <w:tcW w:w="1502" w:type="dxa"/>
            <w:vMerge/>
            <w:tcBorders>
              <w:left w:val="nil"/>
              <w:bottom w:val="single" w:sz="4" w:space="0" w:color="auto"/>
              <w:right w:val="single" w:sz="4" w:space="0" w:color="auto"/>
            </w:tcBorders>
            <w:shd w:val="clear" w:color="auto" w:fill="auto"/>
            <w:noWrap/>
            <w:vAlign w:val="center"/>
          </w:tcPr>
          <w:p w14:paraId="17DB2518" w14:textId="77777777" w:rsidR="00070EB9" w:rsidRPr="004A401C" w:rsidRDefault="00070EB9" w:rsidP="00070EB9">
            <w:pPr>
              <w:widowControl/>
              <w:spacing w:after="0"/>
              <w:ind w:hanging="142"/>
              <w:jc w:val="left"/>
              <w:rPr>
                <w:rFonts w:eastAsia="Times New Roman"/>
                <w:color w:val="000000"/>
                <w:sz w:val="12"/>
                <w:szCs w:val="12"/>
              </w:rPr>
            </w:pPr>
          </w:p>
        </w:tc>
        <w:tc>
          <w:tcPr>
            <w:tcW w:w="1560" w:type="dxa"/>
            <w:vMerge/>
            <w:tcBorders>
              <w:left w:val="nil"/>
              <w:bottom w:val="single" w:sz="4" w:space="0" w:color="auto"/>
              <w:right w:val="single" w:sz="4" w:space="0" w:color="auto"/>
            </w:tcBorders>
            <w:shd w:val="clear" w:color="auto" w:fill="auto"/>
            <w:noWrap/>
            <w:vAlign w:val="center"/>
          </w:tcPr>
          <w:p w14:paraId="4D2ABBB2" w14:textId="77777777" w:rsidR="00070EB9" w:rsidRPr="004A401C" w:rsidRDefault="00070EB9" w:rsidP="00070EB9">
            <w:pPr>
              <w:widowControl/>
              <w:spacing w:after="0"/>
              <w:ind w:hanging="142"/>
              <w:jc w:val="left"/>
              <w:rPr>
                <w:rFonts w:eastAsia="Times New Roman"/>
                <w:color w:val="000000"/>
                <w:sz w:val="12"/>
                <w:szCs w:val="12"/>
              </w:rPr>
            </w:pPr>
          </w:p>
        </w:tc>
        <w:tc>
          <w:tcPr>
            <w:tcW w:w="1058" w:type="dxa"/>
            <w:vMerge/>
            <w:tcBorders>
              <w:left w:val="nil"/>
              <w:bottom w:val="single" w:sz="4" w:space="0" w:color="auto"/>
              <w:right w:val="single" w:sz="4" w:space="0" w:color="auto"/>
            </w:tcBorders>
            <w:shd w:val="clear" w:color="auto" w:fill="auto"/>
            <w:noWrap/>
            <w:vAlign w:val="center"/>
          </w:tcPr>
          <w:p w14:paraId="7B6F7B6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173" w:type="dxa"/>
            <w:vMerge/>
            <w:tcBorders>
              <w:left w:val="nil"/>
              <w:bottom w:val="single" w:sz="4" w:space="0" w:color="auto"/>
              <w:right w:val="single" w:sz="4" w:space="0" w:color="auto"/>
            </w:tcBorders>
            <w:shd w:val="clear" w:color="auto" w:fill="auto"/>
            <w:noWrap/>
            <w:vAlign w:val="center"/>
          </w:tcPr>
          <w:p w14:paraId="7EDEBD51" w14:textId="77777777" w:rsidR="00070EB9" w:rsidRPr="004A401C" w:rsidRDefault="00070EB9" w:rsidP="00070EB9">
            <w:pPr>
              <w:widowControl/>
              <w:spacing w:after="0"/>
              <w:jc w:val="left"/>
              <w:rPr>
                <w:rFonts w:eastAsia="Times New Roman"/>
                <w:color w:val="000000"/>
                <w:sz w:val="12"/>
                <w:szCs w:val="12"/>
              </w:rPr>
            </w:pPr>
          </w:p>
        </w:tc>
        <w:tc>
          <w:tcPr>
            <w:tcW w:w="1317" w:type="dxa"/>
            <w:vMerge/>
            <w:tcBorders>
              <w:left w:val="nil"/>
              <w:bottom w:val="single" w:sz="4" w:space="0" w:color="auto"/>
              <w:right w:val="single" w:sz="4" w:space="0" w:color="auto"/>
            </w:tcBorders>
            <w:shd w:val="clear" w:color="auto" w:fill="auto"/>
            <w:noWrap/>
            <w:vAlign w:val="center"/>
          </w:tcPr>
          <w:p w14:paraId="4211B999" w14:textId="77777777" w:rsidR="00070EB9" w:rsidRPr="004A401C" w:rsidRDefault="00070EB9" w:rsidP="00070EB9">
            <w:pPr>
              <w:widowControl/>
              <w:spacing w:after="0"/>
              <w:jc w:val="left"/>
              <w:rPr>
                <w:rFonts w:eastAsia="Times New Roman"/>
                <w:color w:val="000000"/>
                <w:sz w:val="12"/>
                <w:szCs w:val="12"/>
              </w:rPr>
            </w:pPr>
          </w:p>
        </w:tc>
        <w:tc>
          <w:tcPr>
            <w:tcW w:w="871" w:type="dxa"/>
            <w:vMerge/>
            <w:tcBorders>
              <w:left w:val="nil"/>
              <w:bottom w:val="single" w:sz="4" w:space="0" w:color="auto"/>
              <w:right w:val="single" w:sz="4" w:space="0" w:color="auto"/>
            </w:tcBorders>
            <w:shd w:val="clear" w:color="auto" w:fill="auto"/>
            <w:noWrap/>
            <w:vAlign w:val="center"/>
          </w:tcPr>
          <w:p w14:paraId="3D09EF1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150" w:type="dxa"/>
            <w:tcBorders>
              <w:top w:val="nil"/>
              <w:left w:val="nil"/>
              <w:bottom w:val="single" w:sz="4" w:space="0" w:color="auto"/>
              <w:right w:val="single" w:sz="4" w:space="0" w:color="auto"/>
            </w:tcBorders>
            <w:shd w:val="clear" w:color="auto" w:fill="auto"/>
            <w:noWrap/>
            <w:vAlign w:val="center"/>
          </w:tcPr>
          <w:p w14:paraId="4125E3ED"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1000 kg landfill</w:t>
            </w:r>
          </w:p>
          <w:p w14:paraId="65A5D92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55 kg methane generated per tonne deposited</w:t>
            </w:r>
          </w:p>
          <w:p w14:paraId="2687C59E"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Landfill captures 56% of methane</w:t>
            </w:r>
          </w:p>
          <w:p w14:paraId="41B51730"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92% of methane captured goes to energy generation</w:t>
            </w:r>
          </w:p>
        </w:tc>
        <w:tc>
          <w:tcPr>
            <w:tcW w:w="1138" w:type="dxa"/>
            <w:tcBorders>
              <w:top w:val="nil"/>
              <w:left w:val="nil"/>
              <w:bottom w:val="single" w:sz="4" w:space="0" w:color="auto"/>
              <w:right w:val="single" w:sz="4" w:space="0" w:color="auto"/>
            </w:tcBorders>
            <w:shd w:val="clear" w:color="auto" w:fill="auto"/>
            <w:noWrap/>
            <w:vAlign w:val="center"/>
          </w:tcPr>
          <w:p w14:paraId="5B476FA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310 kg carbon stored per tonne deposited</w:t>
            </w:r>
          </w:p>
        </w:tc>
      </w:tr>
    </w:tbl>
    <w:p w14:paraId="41C0F9F4" w14:textId="77777777" w:rsidR="00070EB9" w:rsidRDefault="00070EB9" w:rsidP="00070EB9"/>
    <w:p w14:paraId="2341DC56" w14:textId="77777777" w:rsidR="00070EB9" w:rsidRDefault="00070EB9" w:rsidP="00070EB9"/>
    <w:p w14:paraId="6A9B6AA3" w14:textId="4B1C34BF" w:rsidR="00371BBF" w:rsidRDefault="00371BBF" w:rsidP="00371BBF">
      <w:pPr>
        <w:pStyle w:val="Caption"/>
        <w:keepNext/>
        <w:rPr>
          <w:lang w:val="en-AU"/>
        </w:rPr>
      </w:pPr>
      <w:bookmarkStart w:id="164" w:name="_Ref360195879"/>
      <w:r>
        <w:lastRenderedPageBreak/>
        <w:t xml:space="preserve">Table </w:t>
      </w:r>
      <w:r w:rsidR="00FC7DE2">
        <w:fldChar w:fldCharType="begin"/>
      </w:r>
      <w:r w:rsidR="00FC7DE2">
        <w:instrText xml:space="preserve"> SEQ Table \* ARABIC </w:instrText>
      </w:r>
      <w:r w:rsidR="00FC7DE2">
        <w:fldChar w:fldCharType="separate"/>
      </w:r>
      <w:r w:rsidR="00564E5C">
        <w:rPr>
          <w:noProof/>
        </w:rPr>
        <w:t>34</w:t>
      </w:r>
      <w:r w:rsidR="00FC7DE2">
        <w:rPr>
          <w:noProof/>
        </w:rPr>
        <w:fldChar w:fldCharType="end"/>
      </w:r>
      <w:bookmarkEnd w:id="164"/>
      <w:r>
        <w:rPr>
          <w:lang w:val="en-AU"/>
        </w:rPr>
        <w:t xml:space="preserve"> </w:t>
      </w:r>
      <w:r w:rsidRPr="00463F6E">
        <w:rPr>
          <w:lang w:val="en-AU"/>
        </w:rPr>
        <w:t>Key inventory assumptions (P</w:t>
      </w:r>
      <w:r>
        <w:rPr>
          <w:lang w:val="en-AU"/>
        </w:rPr>
        <w:t>lastics</w:t>
      </w:r>
      <w:r w:rsidR="00070EB9">
        <w:rPr>
          <w:lang w:val="en-AU"/>
        </w:rPr>
        <w:t xml:space="preserve"> &amp; Garden and Green</w:t>
      </w:r>
      <w:r w:rsidRPr="00463F6E">
        <w:rPr>
          <w:lang w:val="en-AU"/>
        </w:rPr>
        <w:t xml:space="preserve">). Flows for 1 </w:t>
      </w:r>
      <w:r w:rsidR="00E82F90">
        <w:rPr>
          <w:lang w:val="en-AU"/>
        </w:rPr>
        <w:t>t</w:t>
      </w:r>
      <w:r w:rsidRPr="00463F6E">
        <w:rPr>
          <w:lang w:val="en-AU"/>
        </w:rPr>
        <w:t xml:space="preserve"> of materials shown</w:t>
      </w:r>
      <w:r>
        <w:rPr>
          <w:lang w:val="en-AU"/>
        </w:rPr>
        <w:t>.</w:t>
      </w:r>
    </w:p>
    <w:tbl>
      <w:tblPr>
        <w:tblW w:w="14761" w:type="dxa"/>
        <w:tblInd w:w="93" w:type="dxa"/>
        <w:tblLayout w:type="fixed"/>
        <w:tblLook w:val="04A0" w:firstRow="1" w:lastRow="0" w:firstColumn="1" w:lastColumn="0" w:noHBand="0" w:noVBand="1"/>
      </w:tblPr>
      <w:tblGrid>
        <w:gridCol w:w="298"/>
        <w:gridCol w:w="993"/>
        <w:gridCol w:w="1297"/>
        <w:gridCol w:w="971"/>
        <w:gridCol w:w="1024"/>
        <w:gridCol w:w="1502"/>
        <w:gridCol w:w="1560"/>
        <w:gridCol w:w="1058"/>
        <w:gridCol w:w="1377"/>
        <w:gridCol w:w="1317"/>
        <w:gridCol w:w="951"/>
        <w:gridCol w:w="1275"/>
        <w:gridCol w:w="1138"/>
      </w:tblGrid>
      <w:tr w:rsidR="00070EB9" w:rsidRPr="004A401C" w14:paraId="32C8B006" w14:textId="77777777" w:rsidTr="00070EB9">
        <w:trPr>
          <w:trHeight w:val="255"/>
        </w:trPr>
        <w:tc>
          <w:tcPr>
            <w:tcW w:w="1291" w:type="dxa"/>
            <w:gridSpan w:val="2"/>
            <w:tcBorders>
              <w:top w:val="nil"/>
              <w:left w:val="nil"/>
              <w:bottom w:val="nil"/>
              <w:right w:val="nil"/>
            </w:tcBorders>
            <w:shd w:val="clear" w:color="auto" w:fill="auto"/>
            <w:noWrap/>
            <w:vAlign w:val="bottom"/>
            <w:hideMark/>
          </w:tcPr>
          <w:p w14:paraId="23782685" w14:textId="77777777" w:rsidR="00070EB9" w:rsidRPr="004A401C" w:rsidRDefault="00070EB9" w:rsidP="00070EB9">
            <w:pPr>
              <w:widowControl/>
              <w:spacing w:after="0"/>
              <w:jc w:val="left"/>
              <w:rPr>
                <w:rFonts w:eastAsia="Times New Roman"/>
                <w:b/>
                <w:color w:val="000000"/>
                <w:sz w:val="12"/>
                <w:szCs w:val="12"/>
              </w:rPr>
            </w:pPr>
          </w:p>
        </w:tc>
        <w:tc>
          <w:tcPr>
            <w:tcW w:w="1297" w:type="dxa"/>
            <w:tcBorders>
              <w:top w:val="nil"/>
              <w:left w:val="nil"/>
              <w:bottom w:val="nil"/>
              <w:right w:val="nil"/>
            </w:tcBorders>
            <w:shd w:val="clear" w:color="auto" w:fill="auto"/>
            <w:noWrap/>
            <w:vAlign w:val="bottom"/>
            <w:hideMark/>
          </w:tcPr>
          <w:p w14:paraId="536A8C6A" w14:textId="77777777" w:rsidR="00070EB9" w:rsidRPr="004A401C" w:rsidRDefault="00070EB9" w:rsidP="00070EB9">
            <w:pPr>
              <w:widowControl/>
              <w:spacing w:after="0"/>
              <w:jc w:val="left"/>
              <w:rPr>
                <w:rFonts w:eastAsia="Times New Roman"/>
                <w:b/>
                <w:color w:val="000000"/>
                <w:sz w:val="12"/>
                <w:szCs w:val="12"/>
              </w:rPr>
            </w:pPr>
          </w:p>
        </w:tc>
        <w:tc>
          <w:tcPr>
            <w:tcW w:w="611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999F04"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Recycling System</w:t>
            </w:r>
          </w:p>
        </w:tc>
        <w:tc>
          <w:tcPr>
            <w:tcW w:w="605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576347E"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Alternative System</w:t>
            </w:r>
          </w:p>
        </w:tc>
      </w:tr>
      <w:tr w:rsidR="00070EB9" w:rsidRPr="004A401C" w14:paraId="09776AF0" w14:textId="77777777" w:rsidTr="00070EB9">
        <w:trPr>
          <w:trHeight w:val="765"/>
        </w:trPr>
        <w:tc>
          <w:tcPr>
            <w:tcW w:w="298" w:type="dxa"/>
            <w:tcBorders>
              <w:top w:val="nil"/>
              <w:left w:val="nil"/>
              <w:right w:val="nil"/>
            </w:tcBorders>
            <w:shd w:val="clear" w:color="auto" w:fill="auto"/>
            <w:noWrap/>
            <w:vAlign w:val="bottom"/>
            <w:hideMark/>
          </w:tcPr>
          <w:p w14:paraId="58159F62" w14:textId="77777777" w:rsidR="00070EB9" w:rsidRPr="004A401C" w:rsidRDefault="00070EB9" w:rsidP="00070EB9">
            <w:pPr>
              <w:widowControl/>
              <w:spacing w:after="0"/>
              <w:jc w:val="left"/>
              <w:rPr>
                <w:rFonts w:eastAsia="Times New Roman"/>
                <w:b/>
                <w:color w:val="000000"/>
                <w:sz w:val="12"/>
                <w:szCs w:val="12"/>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5E33" w14:textId="77777777" w:rsidR="00070EB9" w:rsidRPr="004A401C" w:rsidRDefault="00070EB9" w:rsidP="00070EB9">
            <w:pPr>
              <w:widowControl/>
              <w:spacing w:after="0"/>
              <w:jc w:val="left"/>
              <w:rPr>
                <w:rFonts w:eastAsia="Times New Roman"/>
                <w:b/>
                <w:color w:val="000000"/>
                <w:sz w:val="12"/>
                <w:szCs w:val="12"/>
              </w:rPr>
            </w:pPr>
            <w:r w:rsidRPr="004A401C">
              <w:rPr>
                <w:rFonts w:eastAsia="Times New Roman"/>
                <w:b/>
                <w:color w:val="000000"/>
                <w:sz w:val="12"/>
                <w:szCs w:val="12"/>
              </w:rPr>
              <w:t>Material</w:t>
            </w:r>
          </w:p>
        </w:tc>
        <w:tc>
          <w:tcPr>
            <w:tcW w:w="971" w:type="dxa"/>
            <w:tcBorders>
              <w:top w:val="nil"/>
              <w:left w:val="nil"/>
              <w:bottom w:val="single" w:sz="4" w:space="0" w:color="auto"/>
              <w:right w:val="single" w:sz="4" w:space="0" w:color="auto"/>
            </w:tcBorders>
            <w:shd w:val="clear" w:color="auto" w:fill="auto"/>
            <w:vAlign w:val="center"/>
            <w:hideMark/>
          </w:tcPr>
          <w:p w14:paraId="4D7A9E12"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024" w:type="dxa"/>
            <w:tcBorders>
              <w:top w:val="nil"/>
              <w:left w:val="nil"/>
              <w:bottom w:val="single" w:sz="4" w:space="0" w:color="auto"/>
              <w:right w:val="single" w:sz="4" w:space="0" w:color="auto"/>
            </w:tcBorders>
            <w:shd w:val="clear" w:color="auto" w:fill="auto"/>
            <w:vAlign w:val="center"/>
            <w:hideMark/>
          </w:tcPr>
          <w:p w14:paraId="740F06AE"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Sorting</w:t>
            </w:r>
          </w:p>
        </w:tc>
        <w:tc>
          <w:tcPr>
            <w:tcW w:w="1502" w:type="dxa"/>
            <w:tcBorders>
              <w:top w:val="nil"/>
              <w:left w:val="nil"/>
              <w:bottom w:val="single" w:sz="4" w:space="0" w:color="auto"/>
              <w:right w:val="single" w:sz="4" w:space="0" w:color="auto"/>
            </w:tcBorders>
            <w:shd w:val="clear" w:color="auto" w:fill="auto"/>
            <w:vAlign w:val="center"/>
            <w:hideMark/>
          </w:tcPr>
          <w:p w14:paraId="7F8041DC"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Local</w:t>
            </w:r>
          </w:p>
        </w:tc>
        <w:tc>
          <w:tcPr>
            <w:tcW w:w="1560" w:type="dxa"/>
            <w:tcBorders>
              <w:top w:val="nil"/>
              <w:left w:val="nil"/>
              <w:bottom w:val="single" w:sz="4" w:space="0" w:color="auto"/>
              <w:right w:val="single" w:sz="4" w:space="0" w:color="auto"/>
            </w:tcBorders>
            <w:shd w:val="clear" w:color="auto" w:fill="auto"/>
            <w:vAlign w:val="center"/>
            <w:hideMark/>
          </w:tcPr>
          <w:p w14:paraId="766B907A"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Reprocess International</w:t>
            </w:r>
          </w:p>
        </w:tc>
        <w:tc>
          <w:tcPr>
            <w:tcW w:w="1058" w:type="dxa"/>
            <w:tcBorders>
              <w:top w:val="nil"/>
              <w:left w:val="nil"/>
              <w:bottom w:val="single" w:sz="4" w:space="0" w:color="auto"/>
              <w:right w:val="single" w:sz="4" w:space="0" w:color="auto"/>
            </w:tcBorders>
            <w:shd w:val="clear" w:color="auto" w:fill="auto"/>
            <w:vAlign w:val="center"/>
            <w:hideMark/>
          </w:tcPr>
          <w:p w14:paraId="17928665"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c>
          <w:tcPr>
            <w:tcW w:w="1377" w:type="dxa"/>
            <w:tcBorders>
              <w:top w:val="nil"/>
              <w:left w:val="nil"/>
              <w:bottom w:val="single" w:sz="4" w:space="0" w:color="auto"/>
              <w:right w:val="single" w:sz="4" w:space="0" w:color="auto"/>
            </w:tcBorders>
            <w:shd w:val="clear" w:color="auto" w:fill="auto"/>
            <w:vAlign w:val="center"/>
            <w:hideMark/>
          </w:tcPr>
          <w:p w14:paraId="6B3A7DB9"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Local</w:t>
            </w:r>
          </w:p>
        </w:tc>
        <w:tc>
          <w:tcPr>
            <w:tcW w:w="1317" w:type="dxa"/>
            <w:tcBorders>
              <w:top w:val="nil"/>
              <w:left w:val="nil"/>
              <w:bottom w:val="single" w:sz="4" w:space="0" w:color="auto"/>
              <w:right w:val="single" w:sz="4" w:space="0" w:color="auto"/>
            </w:tcBorders>
            <w:shd w:val="clear" w:color="auto" w:fill="auto"/>
            <w:vAlign w:val="center"/>
            <w:hideMark/>
          </w:tcPr>
          <w:p w14:paraId="3DF6026A"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Production International</w:t>
            </w:r>
          </w:p>
        </w:tc>
        <w:tc>
          <w:tcPr>
            <w:tcW w:w="951" w:type="dxa"/>
            <w:tcBorders>
              <w:top w:val="nil"/>
              <w:left w:val="nil"/>
              <w:bottom w:val="single" w:sz="4" w:space="0" w:color="auto"/>
              <w:right w:val="single" w:sz="4" w:space="0" w:color="auto"/>
            </w:tcBorders>
            <w:shd w:val="clear" w:color="auto" w:fill="auto"/>
            <w:vAlign w:val="center"/>
            <w:hideMark/>
          </w:tcPr>
          <w:p w14:paraId="21C77F0A"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Collection</w:t>
            </w:r>
          </w:p>
        </w:tc>
        <w:tc>
          <w:tcPr>
            <w:tcW w:w="1275" w:type="dxa"/>
            <w:tcBorders>
              <w:top w:val="nil"/>
              <w:left w:val="nil"/>
              <w:bottom w:val="single" w:sz="4" w:space="0" w:color="auto"/>
              <w:right w:val="single" w:sz="4" w:space="0" w:color="auto"/>
            </w:tcBorders>
            <w:shd w:val="clear" w:color="auto" w:fill="auto"/>
            <w:vAlign w:val="center"/>
            <w:hideMark/>
          </w:tcPr>
          <w:p w14:paraId="7D617700"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Disposal operations</w:t>
            </w:r>
          </w:p>
        </w:tc>
        <w:tc>
          <w:tcPr>
            <w:tcW w:w="1138" w:type="dxa"/>
            <w:tcBorders>
              <w:top w:val="nil"/>
              <w:left w:val="nil"/>
              <w:bottom w:val="single" w:sz="4" w:space="0" w:color="auto"/>
              <w:right w:val="single" w:sz="4" w:space="0" w:color="auto"/>
            </w:tcBorders>
            <w:shd w:val="clear" w:color="auto" w:fill="auto"/>
            <w:vAlign w:val="center"/>
            <w:hideMark/>
          </w:tcPr>
          <w:p w14:paraId="1F1F2912" w14:textId="77777777" w:rsidR="00070EB9" w:rsidRPr="004A401C" w:rsidRDefault="00070EB9" w:rsidP="00070EB9">
            <w:pPr>
              <w:widowControl/>
              <w:spacing w:after="0"/>
              <w:jc w:val="center"/>
              <w:rPr>
                <w:rFonts w:eastAsia="Times New Roman"/>
                <w:b/>
                <w:color w:val="000000"/>
                <w:sz w:val="12"/>
                <w:szCs w:val="12"/>
              </w:rPr>
            </w:pPr>
            <w:r w:rsidRPr="004A401C">
              <w:rPr>
                <w:rFonts w:eastAsia="Times New Roman"/>
                <w:b/>
                <w:color w:val="000000"/>
                <w:sz w:val="12"/>
                <w:szCs w:val="12"/>
              </w:rPr>
              <w:t>Soil carbon storage</w:t>
            </w:r>
          </w:p>
        </w:tc>
      </w:tr>
      <w:tr w:rsidR="00070EB9" w:rsidRPr="00206DBA" w14:paraId="4FD51A21" w14:textId="77777777" w:rsidTr="00070EB9">
        <w:trPr>
          <w:gridBefore w:val="1"/>
          <w:wBefore w:w="298" w:type="dxa"/>
          <w:trHeight w:val="255"/>
        </w:trPr>
        <w:tc>
          <w:tcPr>
            <w:tcW w:w="993" w:type="dxa"/>
            <w:vMerge w:val="restart"/>
            <w:tcBorders>
              <w:top w:val="nil"/>
              <w:left w:val="single" w:sz="4" w:space="0" w:color="auto"/>
              <w:right w:val="single" w:sz="4" w:space="0" w:color="auto"/>
            </w:tcBorders>
            <w:shd w:val="clear" w:color="auto" w:fill="auto"/>
            <w:noWrap/>
            <w:vAlign w:val="center"/>
            <w:hideMark/>
          </w:tcPr>
          <w:p w14:paraId="454E3308"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Plastic</w:t>
            </w:r>
          </w:p>
        </w:tc>
        <w:tc>
          <w:tcPr>
            <w:tcW w:w="1297" w:type="dxa"/>
            <w:tcBorders>
              <w:top w:val="nil"/>
              <w:left w:val="nil"/>
              <w:bottom w:val="single" w:sz="4" w:space="0" w:color="auto"/>
              <w:right w:val="single" w:sz="4" w:space="0" w:color="auto"/>
            </w:tcBorders>
            <w:shd w:val="clear" w:color="auto" w:fill="auto"/>
            <w:noWrap/>
            <w:vAlign w:val="center"/>
          </w:tcPr>
          <w:p w14:paraId="64089C6F"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PET (clear)</w:t>
            </w:r>
          </w:p>
        </w:tc>
        <w:tc>
          <w:tcPr>
            <w:tcW w:w="971" w:type="dxa"/>
            <w:vMerge w:val="restart"/>
            <w:tcBorders>
              <w:top w:val="nil"/>
              <w:left w:val="nil"/>
              <w:right w:val="single" w:sz="4" w:space="0" w:color="auto"/>
            </w:tcBorders>
            <w:shd w:val="clear" w:color="auto" w:fill="auto"/>
            <w:noWrap/>
            <w:vAlign w:val="center"/>
          </w:tcPr>
          <w:p w14:paraId="3966490F"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40.2 l</w:t>
            </w:r>
          </w:p>
        </w:tc>
        <w:tc>
          <w:tcPr>
            <w:tcW w:w="1024" w:type="dxa"/>
            <w:vMerge w:val="restart"/>
            <w:tcBorders>
              <w:top w:val="nil"/>
              <w:left w:val="nil"/>
              <w:right w:val="single" w:sz="4" w:space="0" w:color="auto"/>
            </w:tcBorders>
            <w:shd w:val="clear" w:color="auto" w:fill="auto"/>
            <w:noWrap/>
            <w:vAlign w:val="center"/>
          </w:tcPr>
          <w:p w14:paraId="240D8C2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1.51 kWh electricity</w:t>
            </w:r>
          </w:p>
          <w:p w14:paraId="36C6ADDA"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74 kg Contamination to landfill</w:t>
            </w:r>
          </w:p>
        </w:tc>
        <w:tc>
          <w:tcPr>
            <w:tcW w:w="1502" w:type="dxa"/>
            <w:tcBorders>
              <w:top w:val="nil"/>
              <w:left w:val="nil"/>
              <w:bottom w:val="single" w:sz="4" w:space="0" w:color="auto"/>
              <w:right w:val="single" w:sz="4" w:space="0" w:color="auto"/>
            </w:tcBorders>
            <w:shd w:val="clear" w:color="auto" w:fill="auto"/>
            <w:noWrap/>
            <w:vAlign w:val="center"/>
          </w:tcPr>
          <w:p w14:paraId="7F085D6E"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Victoria</w:t>
            </w:r>
          </w:p>
          <w:p w14:paraId="7EF551F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426 kg PET pellet produced</w:t>
            </w:r>
          </w:p>
        </w:tc>
        <w:tc>
          <w:tcPr>
            <w:tcW w:w="1560" w:type="dxa"/>
            <w:tcBorders>
              <w:top w:val="nil"/>
              <w:left w:val="nil"/>
              <w:bottom w:val="single" w:sz="4" w:space="0" w:color="auto"/>
              <w:right w:val="single" w:sz="4" w:space="0" w:color="auto"/>
            </w:tcBorders>
            <w:shd w:val="clear" w:color="auto" w:fill="auto"/>
            <w:noWrap/>
            <w:vAlign w:val="center"/>
          </w:tcPr>
          <w:p w14:paraId="2456B7D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China (Hong Kong)</w:t>
            </w:r>
          </w:p>
          <w:p w14:paraId="2DD6983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8908 km</w:t>
            </w:r>
          </w:p>
          <w:p w14:paraId="1C9AD7F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500 kg PET pellet produced</w:t>
            </w:r>
          </w:p>
        </w:tc>
        <w:tc>
          <w:tcPr>
            <w:tcW w:w="1058" w:type="dxa"/>
            <w:tcBorders>
              <w:top w:val="nil"/>
              <w:left w:val="nil"/>
              <w:bottom w:val="single" w:sz="4" w:space="0" w:color="auto"/>
              <w:right w:val="single" w:sz="4" w:space="0" w:color="auto"/>
            </w:tcBorders>
            <w:shd w:val="clear" w:color="auto" w:fill="auto"/>
            <w:noWrap/>
            <w:vAlign w:val="center"/>
          </w:tcPr>
          <w:p w14:paraId="7B5BF1F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2694" w:type="dxa"/>
            <w:gridSpan w:val="2"/>
            <w:tcBorders>
              <w:top w:val="nil"/>
              <w:left w:val="nil"/>
              <w:bottom w:val="single" w:sz="4" w:space="0" w:color="auto"/>
              <w:right w:val="single" w:sz="4" w:space="0" w:color="auto"/>
            </w:tcBorders>
            <w:shd w:val="clear" w:color="auto" w:fill="auto"/>
            <w:noWrap/>
            <w:vAlign w:val="center"/>
          </w:tcPr>
          <w:p w14:paraId="115ED618"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generic production profile</w:t>
            </w:r>
          </w:p>
          <w:p w14:paraId="7E481B20"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Plastics Europe model utilised</w:t>
            </w:r>
          </w:p>
          <w:p w14:paraId="2F45949C"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926 kg PET pellet produced</w:t>
            </w:r>
          </w:p>
        </w:tc>
        <w:tc>
          <w:tcPr>
            <w:tcW w:w="951" w:type="dxa"/>
            <w:vMerge w:val="restart"/>
            <w:tcBorders>
              <w:top w:val="nil"/>
              <w:left w:val="nil"/>
              <w:right w:val="single" w:sz="4" w:space="0" w:color="auto"/>
            </w:tcBorders>
            <w:shd w:val="clear" w:color="auto" w:fill="auto"/>
            <w:noWrap/>
            <w:vAlign w:val="center"/>
          </w:tcPr>
          <w:p w14:paraId="1B62F36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40.2 l</w:t>
            </w:r>
          </w:p>
        </w:tc>
        <w:tc>
          <w:tcPr>
            <w:tcW w:w="1275" w:type="dxa"/>
            <w:tcBorders>
              <w:top w:val="nil"/>
              <w:left w:val="nil"/>
              <w:bottom w:val="single" w:sz="4" w:space="0" w:color="auto"/>
              <w:right w:val="single" w:sz="4" w:space="0" w:color="auto"/>
            </w:tcBorders>
            <w:shd w:val="clear" w:color="auto" w:fill="auto"/>
            <w:noWrap/>
            <w:vAlign w:val="center"/>
          </w:tcPr>
          <w:p w14:paraId="3E214C6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1E7CE0EA" w14:textId="77777777" w:rsidR="00070EB9"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37CD2E2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nil"/>
              <w:left w:val="nil"/>
              <w:bottom w:val="single" w:sz="4" w:space="0" w:color="auto"/>
              <w:right w:val="single" w:sz="4" w:space="0" w:color="auto"/>
            </w:tcBorders>
            <w:shd w:val="clear" w:color="auto" w:fill="auto"/>
            <w:noWrap/>
            <w:vAlign w:val="center"/>
          </w:tcPr>
          <w:p w14:paraId="55704A0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420C1938" w14:textId="77777777" w:rsidTr="00070EB9">
        <w:trPr>
          <w:gridBefore w:val="1"/>
          <w:wBefore w:w="298" w:type="dxa"/>
          <w:trHeight w:val="255"/>
        </w:trPr>
        <w:tc>
          <w:tcPr>
            <w:tcW w:w="993" w:type="dxa"/>
            <w:vMerge/>
            <w:tcBorders>
              <w:left w:val="single" w:sz="4" w:space="0" w:color="auto"/>
              <w:right w:val="single" w:sz="4" w:space="0" w:color="auto"/>
            </w:tcBorders>
            <w:shd w:val="clear" w:color="auto" w:fill="auto"/>
            <w:noWrap/>
            <w:vAlign w:val="center"/>
            <w:hideMark/>
          </w:tcPr>
          <w:p w14:paraId="3D583C2E" w14:textId="77777777" w:rsidR="00070EB9" w:rsidRPr="004A401C" w:rsidRDefault="00070EB9" w:rsidP="00070EB9">
            <w:pPr>
              <w:spacing w:after="0"/>
              <w:jc w:val="left"/>
              <w:rPr>
                <w:rFonts w:eastAsia="Times New Roman"/>
                <w:color w:val="000000"/>
                <w:sz w:val="12"/>
                <w:szCs w:val="12"/>
              </w:rPr>
            </w:pP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D098287"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HDPE (natural)</w:t>
            </w:r>
          </w:p>
        </w:tc>
        <w:tc>
          <w:tcPr>
            <w:tcW w:w="971" w:type="dxa"/>
            <w:vMerge/>
            <w:tcBorders>
              <w:left w:val="nil"/>
              <w:right w:val="single" w:sz="4" w:space="0" w:color="auto"/>
            </w:tcBorders>
            <w:shd w:val="clear" w:color="auto" w:fill="auto"/>
            <w:noWrap/>
            <w:vAlign w:val="center"/>
          </w:tcPr>
          <w:p w14:paraId="70E182B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vMerge/>
            <w:tcBorders>
              <w:left w:val="nil"/>
              <w:right w:val="single" w:sz="4" w:space="0" w:color="auto"/>
            </w:tcBorders>
            <w:shd w:val="clear" w:color="auto" w:fill="auto"/>
            <w:noWrap/>
            <w:vAlign w:val="center"/>
          </w:tcPr>
          <w:p w14:paraId="16612C5C" w14:textId="77777777" w:rsidR="00070EB9" w:rsidRPr="004A401C" w:rsidRDefault="00070EB9" w:rsidP="00070EB9">
            <w:pPr>
              <w:widowControl/>
              <w:spacing w:after="0"/>
              <w:ind w:hanging="142"/>
              <w:jc w:val="left"/>
              <w:rPr>
                <w:rFonts w:eastAsia="Times New Roman"/>
                <w:color w:val="000000"/>
                <w:sz w:val="12"/>
                <w:szCs w:val="12"/>
              </w:rPr>
            </w:pP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28EF729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Victoria</w:t>
            </w:r>
          </w:p>
          <w:p w14:paraId="050C6C1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348 kg HDPE pellet produced</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89B88A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China (Hong Kong)</w:t>
            </w:r>
          </w:p>
          <w:p w14:paraId="11D5F71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8908 km</w:t>
            </w:r>
          </w:p>
          <w:p w14:paraId="5873E17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410 kg HDPE pellet produced</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709DD5CA"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2694" w:type="dxa"/>
            <w:gridSpan w:val="2"/>
            <w:vMerge w:val="restart"/>
            <w:tcBorders>
              <w:top w:val="single" w:sz="4" w:space="0" w:color="auto"/>
              <w:left w:val="nil"/>
              <w:right w:val="single" w:sz="4" w:space="0" w:color="auto"/>
            </w:tcBorders>
            <w:shd w:val="clear" w:color="auto" w:fill="auto"/>
            <w:noWrap/>
            <w:vAlign w:val="center"/>
          </w:tcPr>
          <w:p w14:paraId="721FA9BB"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generic production profile</w:t>
            </w:r>
          </w:p>
          <w:p w14:paraId="43BF54CF"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Plastics Europe model utilised</w:t>
            </w:r>
          </w:p>
          <w:p w14:paraId="1E25560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758 kg HDPE pellet produced</w:t>
            </w:r>
          </w:p>
        </w:tc>
        <w:tc>
          <w:tcPr>
            <w:tcW w:w="951" w:type="dxa"/>
            <w:vMerge/>
            <w:tcBorders>
              <w:left w:val="nil"/>
              <w:right w:val="single" w:sz="4" w:space="0" w:color="auto"/>
            </w:tcBorders>
            <w:shd w:val="clear" w:color="auto" w:fill="auto"/>
            <w:noWrap/>
            <w:vAlign w:val="center"/>
          </w:tcPr>
          <w:p w14:paraId="19611ECF" w14:textId="77777777" w:rsidR="00070EB9" w:rsidRPr="004A401C" w:rsidRDefault="00070EB9" w:rsidP="00070EB9">
            <w:pPr>
              <w:widowControl/>
              <w:spacing w:after="0"/>
              <w:jc w:val="left"/>
              <w:rPr>
                <w:rFonts w:eastAsia="Times New Roman"/>
                <w:color w:val="000000"/>
                <w:sz w:val="12"/>
                <w:szCs w:val="12"/>
              </w:rPr>
            </w:pPr>
          </w:p>
        </w:tc>
        <w:tc>
          <w:tcPr>
            <w:tcW w:w="1275" w:type="dxa"/>
            <w:vMerge w:val="restart"/>
            <w:tcBorders>
              <w:top w:val="single" w:sz="4" w:space="0" w:color="auto"/>
              <w:left w:val="nil"/>
              <w:right w:val="single" w:sz="4" w:space="0" w:color="auto"/>
            </w:tcBorders>
            <w:shd w:val="clear" w:color="auto" w:fill="auto"/>
            <w:noWrap/>
            <w:vAlign w:val="center"/>
          </w:tcPr>
          <w:p w14:paraId="3DE7B8C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7DA77783"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1CA0CDA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5FFE839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512F3229" w14:textId="77777777" w:rsidTr="00070EB9">
        <w:trPr>
          <w:gridBefore w:val="1"/>
          <w:wBefore w:w="298" w:type="dxa"/>
          <w:trHeight w:val="255"/>
        </w:trPr>
        <w:tc>
          <w:tcPr>
            <w:tcW w:w="993" w:type="dxa"/>
            <w:vMerge/>
            <w:tcBorders>
              <w:left w:val="single" w:sz="4" w:space="0" w:color="auto"/>
              <w:right w:val="single" w:sz="4" w:space="0" w:color="auto"/>
            </w:tcBorders>
            <w:shd w:val="clear" w:color="auto" w:fill="auto"/>
            <w:noWrap/>
            <w:vAlign w:val="center"/>
            <w:hideMark/>
          </w:tcPr>
          <w:p w14:paraId="6530447F" w14:textId="77777777" w:rsidR="00070EB9" w:rsidRPr="004A401C" w:rsidRDefault="00070EB9" w:rsidP="00070EB9">
            <w:pPr>
              <w:spacing w:after="0"/>
              <w:jc w:val="left"/>
              <w:rPr>
                <w:rFonts w:eastAsia="Times New Roman"/>
                <w:color w:val="000000"/>
                <w:sz w:val="12"/>
                <w:szCs w:val="12"/>
              </w:rPr>
            </w:pP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7C09D19"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HDPE (coloured)</w:t>
            </w:r>
          </w:p>
        </w:tc>
        <w:tc>
          <w:tcPr>
            <w:tcW w:w="971" w:type="dxa"/>
            <w:vMerge/>
            <w:tcBorders>
              <w:left w:val="nil"/>
              <w:right w:val="single" w:sz="4" w:space="0" w:color="auto"/>
            </w:tcBorders>
            <w:shd w:val="clear" w:color="auto" w:fill="auto"/>
            <w:noWrap/>
            <w:vAlign w:val="center"/>
          </w:tcPr>
          <w:p w14:paraId="03577D3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vMerge/>
            <w:tcBorders>
              <w:left w:val="nil"/>
              <w:right w:val="single" w:sz="4" w:space="0" w:color="auto"/>
            </w:tcBorders>
            <w:shd w:val="clear" w:color="auto" w:fill="auto"/>
            <w:noWrap/>
            <w:vAlign w:val="center"/>
          </w:tcPr>
          <w:p w14:paraId="4E6B2BC6" w14:textId="77777777" w:rsidR="00070EB9" w:rsidRPr="004A401C" w:rsidRDefault="00070EB9" w:rsidP="00070EB9">
            <w:pPr>
              <w:widowControl/>
              <w:spacing w:after="0"/>
              <w:ind w:hanging="142"/>
              <w:jc w:val="left"/>
              <w:rPr>
                <w:rFonts w:eastAsia="Times New Roman"/>
                <w:color w:val="000000"/>
                <w:sz w:val="12"/>
                <w:szCs w:val="12"/>
              </w:rPr>
            </w:pP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007B3CC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2D641D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China (Hong Kong)</w:t>
            </w:r>
          </w:p>
          <w:p w14:paraId="40A9399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8908 km</w:t>
            </w:r>
          </w:p>
          <w:p w14:paraId="371227D6"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758 kg HDPE pellet produced</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4E8F08CB"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2694" w:type="dxa"/>
            <w:gridSpan w:val="2"/>
            <w:vMerge/>
            <w:tcBorders>
              <w:left w:val="nil"/>
              <w:bottom w:val="single" w:sz="4" w:space="0" w:color="auto"/>
              <w:right w:val="single" w:sz="4" w:space="0" w:color="auto"/>
            </w:tcBorders>
            <w:shd w:val="clear" w:color="auto" w:fill="auto"/>
            <w:noWrap/>
            <w:vAlign w:val="center"/>
          </w:tcPr>
          <w:p w14:paraId="60513B98" w14:textId="77777777" w:rsidR="00070EB9" w:rsidRPr="004A401C" w:rsidRDefault="00070EB9" w:rsidP="00070EB9">
            <w:pPr>
              <w:widowControl/>
              <w:spacing w:after="0"/>
              <w:jc w:val="left"/>
              <w:rPr>
                <w:rFonts w:eastAsia="Times New Roman"/>
                <w:color w:val="000000"/>
                <w:sz w:val="12"/>
                <w:szCs w:val="12"/>
              </w:rPr>
            </w:pPr>
          </w:p>
        </w:tc>
        <w:tc>
          <w:tcPr>
            <w:tcW w:w="951" w:type="dxa"/>
            <w:vMerge/>
            <w:tcBorders>
              <w:left w:val="nil"/>
              <w:right w:val="single" w:sz="4" w:space="0" w:color="auto"/>
            </w:tcBorders>
            <w:shd w:val="clear" w:color="auto" w:fill="auto"/>
            <w:noWrap/>
            <w:vAlign w:val="center"/>
          </w:tcPr>
          <w:p w14:paraId="27682CFB" w14:textId="77777777" w:rsidR="00070EB9" w:rsidRPr="004A401C" w:rsidRDefault="00070EB9" w:rsidP="00070EB9">
            <w:pPr>
              <w:widowControl/>
              <w:spacing w:after="0"/>
              <w:jc w:val="left"/>
              <w:rPr>
                <w:rFonts w:eastAsia="Times New Roman"/>
                <w:color w:val="000000"/>
                <w:sz w:val="12"/>
                <w:szCs w:val="12"/>
              </w:rPr>
            </w:pPr>
          </w:p>
        </w:tc>
        <w:tc>
          <w:tcPr>
            <w:tcW w:w="1275" w:type="dxa"/>
            <w:vMerge/>
            <w:tcBorders>
              <w:left w:val="nil"/>
              <w:bottom w:val="single" w:sz="4" w:space="0" w:color="auto"/>
              <w:right w:val="single" w:sz="4" w:space="0" w:color="auto"/>
            </w:tcBorders>
            <w:shd w:val="clear" w:color="auto" w:fill="auto"/>
            <w:noWrap/>
            <w:vAlign w:val="center"/>
          </w:tcPr>
          <w:p w14:paraId="62926F33" w14:textId="77777777" w:rsidR="00070EB9" w:rsidRPr="004A401C" w:rsidRDefault="00070EB9" w:rsidP="00070EB9">
            <w:pPr>
              <w:widowControl/>
              <w:spacing w:after="0"/>
              <w:jc w:val="left"/>
              <w:rPr>
                <w:rFonts w:eastAsia="Times New Roman"/>
                <w:color w:val="000000"/>
                <w:sz w:val="12"/>
                <w:szCs w:val="12"/>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26C0E573"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5679213E" w14:textId="77777777" w:rsidTr="00523D20">
        <w:trPr>
          <w:gridBefore w:val="1"/>
          <w:wBefore w:w="298" w:type="dxa"/>
          <w:trHeight w:val="255"/>
        </w:trPr>
        <w:tc>
          <w:tcPr>
            <w:tcW w:w="993" w:type="dxa"/>
            <w:vMerge/>
            <w:tcBorders>
              <w:left w:val="single" w:sz="4" w:space="0" w:color="auto"/>
              <w:bottom w:val="single" w:sz="4" w:space="0" w:color="auto"/>
              <w:right w:val="single" w:sz="4" w:space="0" w:color="auto"/>
            </w:tcBorders>
            <w:shd w:val="clear" w:color="auto" w:fill="auto"/>
            <w:noWrap/>
            <w:vAlign w:val="center"/>
          </w:tcPr>
          <w:p w14:paraId="1AA43061" w14:textId="77777777" w:rsidR="00070EB9" w:rsidRPr="004A401C" w:rsidRDefault="00070EB9" w:rsidP="00070EB9">
            <w:pPr>
              <w:widowControl/>
              <w:spacing w:after="0"/>
              <w:jc w:val="left"/>
              <w:rPr>
                <w:rFonts w:eastAsia="Times New Roman"/>
                <w:color w:val="000000"/>
                <w:sz w:val="12"/>
                <w:szCs w:val="12"/>
              </w:rPr>
            </w:pP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7E0B8C7"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Other</w:t>
            </w:r>
          </w:p>
        </w:tc>
        <w:tc>
          <w:tcPr>
            <w:tcW w:w="971" w:type="dxa"/>
            <w:vMerge/>
            <w:tcBorders>
              <w:left w:val="nil"/>
              <w:bottom w:val="single" w:sz="4" w:space="0" w:color="auto"/>
              <w:right w:val="single" w:sz="4" w:space="0" w:color="auto"/>
            </w:tcBorders>
            <w:shd w:val="clear" w:color="auto" w:fill="auto"/>
            <w:noWrap/>
            <w:vAlign w:val="center"/>
          </w:tcPr>
          <w:p w14:paraId="731D8554"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p>
        </w:tc>
        <w:tc>
          <w:tcPr>
            <w:tcW w:w="1024" w:type="dxa"/>
            <w:vMerge/>
            <w:tcBorders>
              <w:left w:val="nil"/>
              <w:bottom w:val="single" w:sz="4" w:space="0" w:color="auto"/>
              <w:right w:val="single" w:sz="4" w:space="0" w:color="auto"/>
            </w:tcBorders>
            <w:shd w:val="clear" w:color="auto" w:fill="auto"/>
            <w:noWrap/>
            <w:vAlign w:val="center"/>
          </w:tcPr>
          <w:p w14:paraId="4E90DBF4" w14:textId="77777777" w:rsidR="00070EB9" w:rsidRPr="004A401C" w:rsidRDefault="00070EB9" w:rsidP="00070EB9">
            <w:pPr>
              <w:widowControl/>
              <w:spacing w:after="0"/>
              <w:ind w:hanging="142"/>
              <w:jc w:val="left"/>
              <w:rPr>
                <w:rFonts w:eastAsia="Times New Roman"/>
                <w:color w:val="000000"/>
                <w:sz w:val="12"/>
                <w:szCs w:val="12"/>
              </w:rPr>
            </w:pP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265303D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9C6638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processed in China (Hong Kong)</w:t>
            </w:r>
          </w:p>
          <w:p w14:paraId="2AE4525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Shipped 8908 km</w:t>
            </w:r>
          </w:p>
          <w:p w14:paraId="14386EF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473 kg PP pellet produced</w:t>
            </w:r>
          </w:p>
          <w:p w14:paraId="54069209"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95 kg LDPE pellet produced</w:t>
            </w:r>
          </w:p>
          <w:p w14:paraId="1B1D50F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95 kg PS pellet produced</w:t>
            </w:r>
          </w:p>
          <w:p w14:paraId="4EB7EA9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95 kg PVC pellet produced</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00AED0E3"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14:paraId="4D9052E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generic production profile</w:t>
            </w:r>
          </w:p>
          <w:p w14:paraId="34C86758"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Plastics Europe model utilised</w:t>
            </w:r>
          </w:p>
          <w:p w14:paraId="0731659A"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579 kg PP pellet produced</w:t>
            </w:r>
          </w:p>
          <w:p w14:paraId="0D137521"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95 kg LDPE pellet produced</w:t>
            </w:r>
          </w:p>
          <w:p w14:paraId="3E811E9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95 kg PS pellet produced</w:t>
            </w:r>
          </w:p>
          <w:p w14:paraId="7A7FA27A"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95 kg PVC pellet produced</w:t>
            </w:r>
          </w:p>
        </w:tc>
        <w:tc>
          <w:tcPr>
            <w:tcW w:w="951" w:type="dxa"/>
            <w:vMerge/>
            <w:tcBorders>
              <w:left w:val="nil"/>
              <w:bottom w:val="single" w:sz="4" w:space="0" w:color="auto"/>
              <w:right w:val="single" w:sz="4" w:space="0" w:color="auto"/>
            </w:tcBorders>
            <w:shd w:val="clear" w:color="auto" w:fill="auto"/>
            <w:noWrap/>
            <w:vAlign w:val="center"/>
          </w:tcPr>
          <w:p w14:paraId="0D892CCB" w14:textId="77777777" w:rsidR="00070EB9" w:rsidRPr="004A401C" w:rsidRDefault="00070EB9" w:rsidP="00070EB9">
            <w:pPr>
              <w:widowControl/>
              <w:spacing w:after="0"/>
              <w:jc w:val="left"/>
              <w:rPr>
                <w:rFonts w:eastAsia="Times New Roman"/>
                <w:color w:val="000000"/>
                <w:sz w:val="12"/>
                <w:szCs w:val="12"/>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2880EA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1000 kg landfill</w:t>
            </w:r>
          </w:p>
          <w:p w14:paraId="18A6411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emissions from degradation</w:t>
            </w:r>
          </w:p>
          <w:p w14:paraId="3D1C83FF"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unique leachate profile</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0A00A9A7"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r>
      <w:tr w:rsidR="00070EB9" w:rsidRPr="00206DBA" w14:paraId="7027B854" w14:textId="77777777" w:rsidTr="00523D20">
        <w:trPr>
          <w:gridBefore w:val="1"/>
          <w:wBefore w:w="298" w:type="dxa"/>
          <w:trHeight w:val="255"/>
        </w:trPr>
        <w:tc>
          <w:tcPr>
            <w:tcW w:w="2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FD1C7D" w14:textId="77777777" w:rsidR="00070EB9" w:rsidRPr="004A401C" w:rsidRDefault="00070EB9" w:rsidP="00070EB9">
            <w:pPr>
              <w:widowControl/>
              <w:spacing w:after="0"/>
              <w:jc w:val="left"/>
              <w:rPr>
                <w:rFonts w:eastAsia="Times New Roman"/>
                <w:color w:val="000000"/>
                <w:sz w:val="12"/>
                <w:szCs w:val="12"/>
              </w:rPr>
            </w:pPr>
            <w:r w:rsidRPr="004A401C">
              <w:rPr>
                <w:rFonts w:eastAsia="Times New Roman"/>
                <w:color w:val="000000"/>
                <w:sz w:val="12"/>
                <w:szCs w:val="12"/>
              </w:rPr>
              <w:t>Garden and green</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2C3AE6DD"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Fuel: 11.6 l</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AB78513" w14:textId="77777777" w:rsidR="00070EB9" w:rsidRPr="004A401C" w:rsidRDefault="00070EB9" w:rsidP="00070EB9">
            <w:pPr>
              <w:widowControl/>
              <w:spacing w:after="0"/>
              <w:ind w:hanging="142"/>
              <w:jc w:val="left"/>
              <w:rPr>
                <w:rFonts w:eastAsia="Times New Roman"/>
                <w:color w:val="000000"/>
                <w:sz w:val="12"/>
                <w:szCs w:val="12"/>
              </w:rPr>
            </w:pPr>
            <w:r w:rsidRPr="004A401C">
              <w:rPr>
                <w:rFonts w:eastAsia="Times New Roman"/>
                <w:color w:val="000000"/>
                <w:sz w:val="12"/>
                <w:szCs w:val="12"/>
              </w:rPr>
              <w:t>NA</w:t>
            </w: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1D790D1C"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u w:val="single"/>
                <w:lang w:eastAsia="x-none"/>
              </w:rPr>
            </w:pPr>
            <w:r w:rsidRPr="004A401C">
              <w:rPr>
                <w:sz w:val="12"/>
                <w:szCs w:val="12"/>
                <w:lang w:eastAsia="x-none"/>
              </w:rPr>
              <w:t>100% Windrow composting</w:t>
            </w:r>
          </w:p>
          <w:p w14:paraId="47F8B188"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3.45 l fuel for processing</w:t>
            </w:r>
          </w:p>
          <w:p w14:paraId="2ABF7763"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722 kg compost produced</w:t>
            </w:r>
          </w:p>
          <w:p w14:paraId="0E53E7A9" w14:textId="65460164" w:rsidR="00070EB9" w:rsidRPr="004A401C" w:rsidRDefault="005D2BF4" w:rsidP="00070EB9">
            <w:pPr>
              <w:spacing w:after="0"/>
              <w:ind w:left="34" w:hanging="142"/>
              <w:jc w:val="left"/>
              <w:rPr>
                <w:sz w:val="12"/>
                <w:szCs w:val="12"/>
                <w:u w:val="single"/>
                <w:lang w:eastAsia="x-none"/>
              </w:rPr>
            </w:pPr>
            <w:r>
              <w:rPr>
                <w:sz w:val="12"/>
                <w:szCs w:val="12"/>
                <w:u w:val="single"/>
                <w:lang w:eastAsia="x-none"/>
              </w:rPr>
              <w:t>25</w:t>
            </w:r>
            <w:r w:rsidR="00070EB9" w:rsidRPr="004A401C">
              <w:rPr>
                <w:sz w:val="12"/>
                <w:szCs w:val="12"/>
                <w:u w:val="single"/>
                <w:lang w:eastAsia="x-none"/>
              </w:rPr>
              <w:t>% compost distributed to farm applications</w:t>
            </w:r>
          </w:p>
          <w:p w14:paraId="43EAF7F1"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200 km transport to farm gate</w:t>
            </w:r>
          </w:p>
          <w:p w14:paraId="28369F36" w14:textId="00E5FD4F"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 xml:space="preserve">Functions as fertiliser, carbon enhancer, </w:t>
            </w:r>
            <w:r w:rsidR="002A0763">
              <w:rPr>
                <w:sz w:val="12"/>
                <w:szCs w:val="12"/>
                <w:lang w:eastAsia="x-none"/>
              </w:rPr>
              <w:t>herbicide</w:t>
            </w:r>
            <w:r w:rsidRPr="004A401C">
              <w:rPr>
                <w:sz w:val="12"/>
                <w:szCs w:val="12"/>
                <w:lang w:eastAsia="x-none"/>
              </w:rPr>
              <w:t>, water retainer</w:t>
            </w:r>
          </w:p>
          <w:p w14:paraId="5286991B" w14:textId="0826449B" w:rsidR="00070EB9" w:rsidRPr="004A401C" w:rsidRDefault="005D2BF4" w:rsidP="00070EB9">
            <w:pPr>
              <w:spacing w:after="0"/>
              <w:ind w:left="34" w:hanging="142"/>
              <w:jc w:val="left"/>
              <w:rPr>
                <w:sz w:val="12"/>
                <w:szCs w:val="12"/>
                <w:u w:val="single"/>
                <w:lang w:eastAsia="x-none"/>
              </w:rPr>
            </w:pPr>
            <w:r>
              <w:rPr>
                <w:sz w:val="12"/>
                <w:szCs w:val="12"/>
                <w:u w:val="single"/>
                <w:lang w:eastAsia="x-none"/>
              </w:rPr>
              <w:t>75</w:t>
            </w:r>
            <w:r w:rsidR="00070EB9" w:rsidRPr="004A401C">
              <w:rPr>
                <w:sz w:val="12"/>
                <w:szCs w:val="12"/>
                <w:u w:val="single"/>
                <w:lang w:eastAsia="x-none"/>
              </w:rPr>
              <w:t>% compost to urban amenity applications</w:t>
            </w:r>
          </w:p>
          <w:p w14:paraId="10AC8D62"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Functions as a compost product produced from non-kerbside residues</w:t>
            </w:r>
          </w:p>
          <w:p w14:paraId="46B8A3A5"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Minimal transport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46ACFE0" w14:textId="77777777" w:rsidR="00070EB9" w:rsidRPr="004A401C" w:rsidRDefault="00070EB9" w:rsidP="009E73CF">
            <w:pPr>
              <w:pStyle w:val="ListParagraph"/>
              <w:numPr>
                <w:ilvl w:val="0"/>
                <w:numId w:val="33"/>
              </w:numPr>
              <w:tabs>
                <w:tab w:val="clear" w:pos="567"/>
              </w:tabs>
              <w:spacing w:after="0"/>
              <w:ind w:left="176" w:hanging="142"/>
              <w:jc w:val="left"/>
              <w:rPr>
                <w:sz w:val="12"/>
                <w:szCs w:val="12"/>
                <w:lang w:eastAsia="x-none"/>
              </w:rPr>
            </w:pPr>
            <w:r w:rsidRPr="004A401C">
              <w:rPr>
                <w:sz w:val="12"/>
                <w:szCs w:val="12"/>
                <w:lang w:eastAsia="x-none"/>
              </w:rPr>
              <w:t>None</w:t>
            </w:r>
          </w:p>
        </w:tc>
        <w:tc>
          <w:tcPr>
            <w:tcW w:w="1058" w:type="dxa"/>
            <w:tcBorders>
              <w:top w:val="single" w:sz="4" w:space="0" w:color="auto"/>
              <w:left w:val="nil"/>
              <w:bottom w:val="single" w:sz="4" w:space="0" w:color="auto"/>
              <w:right w:val="single" w:sz="4" w:space="0" w:color="auto"/>
            </w:tcBorders>
            <w:shd w:val="clear" w:color="auto" w:fill="auto"/>
            <w:noWrap/>
            <w:vAlign w:val="center"/>
          </w:tcPr>
          <w:p w14:paraId="00B5A38A" w14:textId="0882FE3F" w:rsidR="00070EB9" w:rsidRPr="00523D20" w:rsidRDefault="00070EB9" w:rsidP="005D2BF4">
            <w:pPr>
              <w:pStyle w:val="ListParagraph"/>
              <w:numPr>
                <w:ilvl w:val="0"/>
                <w:numId w:val="33"/>
              </w:numPr>
              <w:tabs>
                <w:tab w:val="clear" w:pos="567"/>
              </w:tabs>
              <w:spacing w:after="0"/>
              <w:ind w:left="176" w:hanging="142"/>
              <w:jc w:val="left"/>
              <w:rPr>
                <w:sz w:val="12"/>
                <w:szCs w:val="12"/>
                <w:lang w:eastAsia="x-none"/>
              </w:rPr>
            </w:pPr>
            <w:r w:rsidRPr="00523D20">
              <w:rPr>
                <w:sz w:val="12"/>
                <w:szCs w:val="12"/>
                <w:lang w:eastAsia="x-none"/>
              </w:rPr>
              <w:t xml:space="preserve"> </w:t>
            </w:r>
            <w:r w:rsidR="005D2BF4">
              <w:rPr>
                <w:sz w:val="12"/>
                <w:szCs w:val="12"/>
                <w:lang w:eastAsia="x-none"/>
              </w:rPr>
              <w:t>13</w:t>
            </w:r>
            <w:r w:rsidR="00523D20" w:rsidRPr="00523D20">
              <w:rPr>
                <w:sz w:val="12"/>
                <w:szCs w:val="12"/>
                <w:lang w:eastAsia="x-none"/>
              </w:rPr>
              <w:t xml:space="preserve"> kg carbon stored in soil</w:t>
            </w:r>
            <w:r w:rsidR="00523D20">
              <w:rPr>
                <w:sz w:val="12"/>
                <w:szCs w:val="12"/>
                <w:lang w:eastAsia="x-none"/>
              </w:rPr>
              <w:t xml:space="preserve"> (farm application only)</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534F8C78" w14:textId="055F4486" w:rsidR="00070EB9" w:rsidRPr="004A401C" w:rsidRDefault="005D2BF4" w:rsidP="00070EB9">
            <w:pPr>
              <w:tabs>
                <w:tab w:val="left" w:pos="176"/>
              </w:tabs>
              <w:spacing w:after="0"/>
              <w:ind w:left="34"/>
              <w:jc w:val="left"/>
              <w:rPr>
                <w:sz w:val="12"/>
                <w:szCs w:val="12"/>
                <w:u w:val="single"/>
                <w:lang w:eastAsia="x-none"/>
              </w:rPr>
            </w:pPr>
            <w:r>
              <w:rPr>
                <w:sz w:val="12"/>
                <w:szCs w:val="12"/>
                <w:u w:val="single"/>
                <w:lang w:eastAsia="x-none"/>
              </w:rPr>
              <w:t>25% (18</w:t>
            </w:r>
            <w:r w:rsidR="00070EB9" w:rsidRPr="004A401C">
              <w:rPr>
                <w:sz w:val="12"/>
                <w:szCs w:val="12"/>
                <w:u w:val="single"/>
                <w:lang w:eastAsia="x-none"/>
              </w:rPr>
              <w:t>1 kg) farm applications</w:t>
            </w:r>
          </w:p>
          <w:p w14:paraId="2DCCBF4C"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23 kl water extraction</w:t>
            </w:r>
          </w:p>
          <w:p w14:paraId="22D3948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 xml:space="preserve">Synthetic fertilisers providing 8 kg N, 8 kg P, 5 kg K </w:t>
            </w:r>
          </w:p>
          <w:p w14:paraId="29F62203"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Herbicide (0.1 l glyphosate)</w:t>
            </w:r>
          </w:p>
          <w:p w14:paraId="6283A98D"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Carbon storage 51 kg</w:t>
            </w:r>
          </w:p>
          <w:p w14:paraId="700C659B" w14:textId="008F1D58" w:rsidR="00070EB9" w:rsidRPr="004A401C" w:rsidRDefault="005D2BF4" w:rsidP="00070EB9">
            <w:pPr>
              <w:tabs>
                <w:tab w:val="left" w:pos="176"/>
              </w:tabs>
              <w:spacing w:after="0"/>
              <w:ind w:left="34"/>
              <w:jc w:val="left"/>
              <w:rPr>
                <w:sz w:val="12"/>
                <w:szCs w:val="12"/>
                <w:u w:val="single"/>
                <w:lang w:eastAsia="x-none"/>
              </w:rPr>
            </w:pPr>
            <w:r>
              <w:rPr>
                <w:sz w:val="12"/>
                <w:szCs w:val="12"/>
                <w:u w:val="single"/>
                <w:lang w:eastAsia="x-none"/>
              </w:rPr>
              <w:t>75% (542</w:t>
            </w:r>
            <w:r w:rsidR="00070EB9" w:rsidRPr="004A401C">
              <w:rPr>
                <w:sz w:val="12"/>
                <w:szCs w:val="12"/>
                <w:u w:val="single"/>
                <w:lang w:eastAsia="x-none"/>
              </w:rPr>
              <w:t xml:space="preserve"> kg) urban amenity</w:t>
            </w:r>
          </w:p>
          <w:p w14:paraId="26A2CDEB"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Production of alternative compost assumed to have same impact as windrow composting</w:t>
            </w:r>
          </w:p>
          <w:p w14:paraId="4EC26558"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No fertiliser, water, herbicide requirements</w:t>
            </w:r>
          </w:p>
          <w:p w14:paraId="12B6CAEC" w14:textId="77777777" w:rsidR="00070EB9" w:rsidRPr="004A401C" w:rsidRDefault="00070EB9" w:rsidP="00070EB9">
            <w:pPr>
              <w:widowControl/>
              <w:spacing w:after="0"/>
              <w:jc w:val="left"/>
              <w:rPr>
                <w:rFonts w:eastAsia="Times New Roman"/>
                <w:color w:val="000000"/>
                <w:sz w:val="12"/>
                <w:szCs w:val="12"/>
              </w:rPr>
            </w:pPr>
            <w:r w:rsidRPr="004A401C">
              <w:rPr>
                <w:sz w:val="12"/>
                <w:szCs w:val="12"/>
                <w:lang w:eastAsia="x-none"/>
              </w:rPr>
              <w:t>No carbon storage</w:t>
            </w:r>
          </w:p>
        </w:tc>
        <w:tc>
          <w:tcPr>
            <w:tcW w:w="1317" w:type="dxa"/>
            <w:tcBorders>
              <w:top w:val="single" w:sz="4" w:space="0" w:color="auto"/>
              <w:left w:val="nil"/>
              <w:bottom w:val="single" w:sz="4" w:space="0" w:color="auto"/>
              <w:right w:val="single" w:sz="4" w:space="0" w:color="auto"/>
            </w:tcBorders>
            <w:shd w:val="clear" w:color="auto" w:fill="auto"/>
            <w:noWrap/>
            <w:vAlign w:val="center"/>
          </w:tcPr>
          <w:p w14:paraId="09936D12" w14:textId="77777777" w:rsidR="00070EB9" w:rsidRPr="004A401C" w:rsidRDefault="00070EB9" w:rsidP="00070EB9">
            <w:pPr>
              <w:widowControl/>
              <w:spacing w:after="0"/>
              <w:jc w:val="left"/>
              <w:rPr>
                <w:rFonts w:eastAsia="Times New Roman"/>
                <w:color w:val="000000"/>
                <w:sz w:val="12"/>
                <w:szCs w:val="12"/>
              </w:rPr>
            </w:pP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77CBFAE4"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Fuel: 9.0 l (50% of mass collected; other disposals do not require collection)</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764F53C" w14:textId="77777777" w:rsidR="00070EB9" w:rsidRPr="004A401C" w:rsidRDefault="00070EB9" w:rsidP="00070EB9">
            <w:pPr>
              <w:tabs>
                <w:tab w:val="left" w:pos="176"/>
              </w:tabs>
              <w:spacing w:after="0"/>
              <w:ind w:left="34"/>
              <w:jc w:val="left"/>
              <w:rPr>
                <w:sz w:val="12"/>
                <w:szCs w:val="12"/>
                <w:u w:val="single"/>
                <w:lang w:eastAsia="x-none"/>
              </w:rPr>
            </w:pPr>
            <w:r w:rsidRPr="004A401C">
              <w:rPr>
                <w:sz w:val="12"/>
                <w:szCs w:val="12"/>
                <w:u w:val="single"/>
                <w:lang w:eastAsia="x-none"/>
              </w:rPr>
              <w:t>50% Landfill (500 kg)</w:t>
            </w:r>
          </w:p>
          <w:p w14:paraId="2720FB1B"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500 kg landfill</w:t>
            </w:r>
          </w:p>
          <w:p w14:paraId="374DFB66"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31 kg methane generated</w:t>
            </w:r>
          </w:p>
          <w:p w14:paraId="45B2418F" w14:textId="47B7B3FE"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 xml:space="preserve">Landfill captures </w:t>
            </w:r>
            <w:r w:rsidR="00C129A0">
              <w:rPr>
                <w:sz w:val="12"/>
                <w:szCs w:val="12"/>
                <w:lang w:eastAsia="x-none"/>
              </w:rPr>
              <w:t>60</w:t>
            </w:r>
            <w:r w:rsidRPr="004A401C">
              <w:rPr>
                <w:sz w:val="12"/>
                <w:szCs w:val="12"/>
                <w:lang w:eastAsia="x-none"/>
              </w:rPr>
              <w:t>% of methane</w:t>
            </w:r>
          </w:p>
          <w:p w14:paraId="6289EC0E"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92% of methane captured goes to energy generation</w:t>
            </w:r>
          </w:p>
          <w:p w14:paraId="6031BE82" w14:textId="77777777" w:rsidR="00070EB9" w:rsidRPr="004A401C" w:rsidRDefault="00070EB9" w:rsidP="00070EB9">
            <w:pPr>
              <w:tabs>
                <w:tab w:val="left" w:pos="176"/>
              </w:tabs>
              <w:spacing w:after="0"/>
              <w:ind w:left="34"/>
              <w:jc w:val="left"/>
              <w:rPr>
                <w:sz w:val="12"/>
                <w:szCs w:val="12"/>
                <w:u w:val="single"/>
                <w:lang w:eastAsia="x-none"/>
              </w:rPr>
            </w:pPr>
            <w:r w:rsidRPr="004A401C">
              <w:rPr>
                <w:sz w:val="12"/>
                <w:szCs w:val="12"/>
                <w:u w:val="single"/>
                <w:lang w:eastAsia="x-none"/>
              </w:rPr>
              <w:t>25% Home compost (250 kg)</w:t>
            </w:r>
          </w:p>
          <w:p w14:paraId="6F6670DE"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No carbon storage</w:t>
            </w:r>
          </w:p>
          <w:p w14:paraId="4804E737"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Minimal emissions</w:t>
            </w:r>
          </w:p>
          <w:p w14:paraId="7F26F87A" w14:textId="77777777" w:rsidR="00070EB9" w:rsidRPr="004A401C" w:rsidRDefault="00070EB9" w:rsidP="00070EB9">
            <w:pPr>
              <w:tabs>
                <w:tab w:val="left" w:pos="176"/>
              </w:tabs>
              <w:spacing w:after="0"/>
              <w:ind w:left="34"/>
              <w:jc w:val="left"/>
              <w:rPr>
                <w:sz w:val="12"/>
                <w:szCs w:val="12"/>
                <w:u w:val="single"/>
                <w:lang w:eastAsia="x-none"/>
              </w:rPr>
            </w:pPr>
            <w:r w:rsidRPr="004A401C">
              <w:rPr>
                <w:sz w:val="12"/>
                <w:szCs w:val="12"/>
                <w:u w:val="single"/>
                <w:lang w:eastAsia="x-none"/>
              </w:rPr>
              <w:t>25% Open burn (250 kg)</w:t>
            </w:r>
          </w:p>
          <w:p w14:paraId="151755D0"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No carbon storage</w:t>
            </w:r>
          </w:p>
          <w:p w14:paraId="3B43B8D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Smog emissions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0171DB9" w14:textId="77777777" w:rsidR="00070EB9" w:rsidRPr="004A401C" w:rsidRDefault="00070EB9" w:rsidP="009E73CF">
            <w:pPr>
              <w:pStyle w:val="ListParagraph"/>
              <w:numPr>
                <w:ilvl w:val="0"/>
                <w:numId w:val="33"/>
              </w:numPr>
              <w:tabs>
                <w:tab w:val="clear" w:pos="567"/>
                <w:tab w:val="left" w:pos="176"/>
              </w:tabs>
              <w:spacing w:after="0"/>
              <w:ind w:left="176" w:hanging="142"/>
              <w:jc w:val="left"/>
              <w:rPr>
                <w:sz w:val="12"/>
                <w:szCs w:val="12"/>
                <w:lang w:eastAsia="x-none"/>
              </w:rPr>
            </w:pPr>
            <w:r w:rsidRPr="004A401C">
              <w:rPr>
                <w:sz w:val="12"/>
                <w:szCs w:val="12"/>
                <w:lang w:eastAsia="x-none"/>
              </w:rPr>
              <w:t>53 kg carbon stored (landfill</w:t>
            </w:r>
            <w:r>
              <w:rPr>
                <w:sz w:val="12"/>
                <w:szCs w:val="12"/>
                <w:lang w:eastAsia="x-none"/>
              </w:rPr>
              <w:t xml:space="preserve"> related</w:t>
            </w:r>
            <w:r w:rsidRPr="004A401C">
              <w:rPr>
                <w:sz w:val="12"/>
                <w:szCs w:val="12"/>
                <w:lang w:eastAsia="x-none"/>
              </w:rPr>
              <w:t>)</w:t>
            </w:r>
          </w:p>
          <w:p w14:paraId="01DC013A" w14:textId="77777777" w:rsidR="00070EB9" w:rsidRPr="004A401C" w:rsidRDefault="00070EB9" w:rsidP="00070EB9">
            <w:pPr>
              <w:pStyle w:val="ListParagraph"/>
              <w:numPr>
                <w:ilvl w:val="0"/>
                <w:numId w:val="0"/>
              </w:numPr>
              <w:tabs>
                <w:tab w:val="clear" w:pos="567"/>
              </w:tabs>
              <w:spacing w:after="0"/>
              <w:ind w:left="176"/>
              <w:jc w:val="left"/>
              <w:rPr>
                <w:sz w:val="12"/>
                <w:szCs w:val="12"/>
                <w:lang w:eastAsia="x-none"/>
              </w:rPr>
            </w:pPr>
          </w:p>
        </w:tc>
      </w:tr>
    </w:tbl>
    <w:p w14:paraId="5C4C19D4" w14:textId="3C289D1D" w:rsidR="00D52412" w:rsidRDefault="00D52412" w:rsidP="00070EB9">
      <w:pPr>
        <w:rPr>
          <w:lang w:eastAsia="x-none"/>
        </w:rPr>
      </w:pPr>
    </w:p>
    <w:p w14:paraId="31B23394" w14:textId="77777777" w:rsidR="004E5A5E" w:rsidRDefault="004E5A5E" w:rsidP="00BB3054">
      <w:pPr>
        <w:rPr>
          <w:lang w:eastAsia="x-none"/>
        </w:rPr>
        <w:sectPr w:rsidR="004E5A5E" w:rsidSect="006555B4">
          <w:footerReference w:type="default" r:id="rId53"/>
          <w:pgSz w:w="16838" w:h="11906" w:orient="landscape"/>
          <w:pgMar w:top="1440" w:right="1418" w:bottom="1440" w:left="1418" w:header="709" w:footer="488" w:gutter="0"/>
          <w:cols w:space="708"/>
          <w:docGrid w:linePitch="360"/>
        </w:sectPr>
      </w:pPr>
    </w:p>
    <w:p w14:paraId="0D4943E6" w14:textId="20D0B7CB" w:rsidR="00173F9D" w:rsidRDefault="007F2448" w:rsidP="00506D8B">
      <w:pPr>
        <w:pStyle w:val="Heading2"/>
      </w:pPr>
      <w:bookmarkStart w:id="165" w:name="_Ref358646198"/>
      <w:bookmarkStart w:id="166" w:name="_Toc433964561"/>
      <w:r>
        <w:rPr>
          <w:lang w:val="en-AU"/>
        </w:rPr>
        <w:lastRenderedPageBreak/>
        <w:t xml:space="preserve">Resulting </w:t>
      </w:r>
      <w:r w:rsidR="00506D8B">
        <w:t>Elementary flows</w:t>
      </w:r>
      <w:bookmarkEnd w:id="165"/>
      <w:bookmarkEnd w:id="166"/>
    </w:p>
    <w:p w14:paraId="0DC39782" w14:textId="380857E7" w:rsidR="00870666" w:rsidRDefault="005F2862" w:rsidP="00BB3054">
      <w:r>
        <w:rPr>
          <w:lang w:eastAsia="x-none"/>
        </w:rPr>
        <w:t xml:space="preserve">A summary of elementary flows is shown in </w:t>
      </w:r>
      <w:r w:rsidR="00870666">
        <w:rPr>
          <w:lang w:eastAsia="x-none"/>
        </w:rPr>
        <w:fldChar w:fldCharType="begin"/>
      </w:r>
      <w:r w:rsidR="00870666">
        <w:rPr>
          <w:lang w:eastAsia="x-none"/>
        </w:rPr>
        <w:instrText xml:space="preserve"> REF _Ref360585188 \h </w:instrText>
      </w:r>
      <w:r w:rsidR="00870666">
        <w:rPr>
          <w:lang w:eastAsia="x-none"/>
        </w:rPr>
      </w:r>
      <w:r w:rsidR="00870666">
        <w:rPr>
          <w:lang w:eastAsia="x-none"/>
        </w:rPr>
        <w:fldChar w:fldCharType="separate"/>
      </w:r>
      <w:r w:rsidR="00564E5C">
        <w:t xml:space="preserve">Table </w:t>
      </w:r>
      <w:r w:rsidR="00564E5C">
        <w:rPr>
          <w:noProof/>
        </w:rPr>
        <w:t>35</w:t>
      </w:r>
      <w:r w:rsidR="00870666">
        <w:rPr>
          <w:lang w:eastAsia="x-none"/>
        </w:rPr>
        <w:fldChar w:fldCharType="end"/>
      </w:r>
      <w:r w:rsidR="00870666">
        <w:rPr>
          <w:lang w:eastAsia="x-none"/>
        </w:rPr>
        <w:t xml:space="preserve"> </w:t>
      </w:r>
      <w:r>
        <w:rPr>
          <w:lang w:eastAsia="x-none"/>
        </w:rPr>
        <w:t xml:space="preserve">for </w:t>
      </w:r>
      <w:r w:rsidR="00870666">
        <w:rPr>
          <w:lang w:eastAsia="x-none"/>
        </w:rPr>
        <w:t>the functional unit</w:t>
      </w:r>
      <w:r>
        <w:rPr>
          <w:lang w:eastAsia="x-none"/>
        </w:rPr>
        <w:t>. The table shows the exchanges with the environment from the system in summary form. The summary is achieved by only showing those flows that contribute more than 1% of any indicator in the impact assessment method.</w:t>
      </w:r>
    </w:p>
    <w:p w14:paraId="23980E0D" w14:textId="2656E18C" w:rsidR="00870666" w:rsidRDefault="00870666" w:rsidP="00870666">
      <w:pPr>
        <w:pStyle w:val="Caption"/>
        <w:keepNext/>
      </w:pPr>
      <w:bookmarkStart w:id="167" w:name="_Ref360585188"/>
      <w:r>
        <w:t xml:space="preserve">Table </w:t>
      </w:r>
      <w:r w:rsidR="00FC7DE2">
        <w:fldChar w:fldCharType="begin"/>
      </w:r>
      <w:r w:rsidR="00FC7DE2">
        <w:instrText xml:space="preserve"> SEQ Table \* ARABIC </w:instrText>
      </w:r>
      <w:r w:rsidR="00FC7DE2">
        <w:fldChar w:fldCharType="separate"/>
      </w:r>
      <w:r w:rsidR="00564E5C">
        <w:rPr>
          <w:noProof/>
        </w:rPr>
        <w:t>35</w:t>
      </w:r>
      <w:r w:rsidR="00FC7DE2">
        <w:rPr>
          <w:noProof/>
        </w:rPr>
        <w:fldChar w:fldCharType="end"/>
      </w:r>
      <w:bookmarkEnd w:id="167"/>
      <w:r>
        <w:rPr>
          <w:lang w:val="en-AU"/>
        </w:rPr>
        <w:t xml:space="preserve"> Table of elementary flows associated with 1 functional unit (cut off 1% or less contribution to an indicator).</w:t>
      </w:r>
      <w:r w:rsidR="00F77C7F">
        <w:rPr>
          <w:lang w:val="en-AU"/>
        </w:rPr>
        <w:t xml:space="preserve"> Net flow shown.</w:t>
      </w:r>
    </w:p>
    <w:p w14:paraId="0D4943EB" w14:textId="147E0B78" w:rsidR="00A61C9D" w:rsidRDefault="00834360" w:rsidP="00BB3054">
      <w:pPr>
        <w:rPr>
          <w:lang w:eastAsia="x-none"/>
        </w:rPr>
      </w:pPr>
      <w:r w:rsidRPr="00834360">
        <w:rPr>
          <w:noProof/>
        </w:rPr>
        <w:drawing>
          <wp:inline distT="0" distB="0" distL="0" distR="0" wp14:anchorId="16B1D391" wp14:editId="479EF12D">
            <wp:extent cx="5731510" cy="6648552"/>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648552"/>
                    </a:xfrm>
                    <a:prstGeom prst="rect">
                      <a:avLst/>
                    </a:prstGeom>
                    <a:noFill/>
                    <a:ln>
                      <a:noFill/>
                    </a:ln>
                  </pic:spPr>
                </pic:pic>
              </a:graphicData>
            </a:graphic>
          </wp:inline>
        </w:drawing>
      </w:r>
    </w:p>
    <w:p w14:paraId="0D4943ED" w14:textId="77777777" w:rsidR="00A61C9D" w:rsidRDefault="00A61C9D" w:rsidP="00BB3054">
      <w:pPr>
        <w:rPr>
          <w:lang w:eastAsia="x-none"/>
        </w:rPr>
      </w:pPr>
    </w:p>
    <w:p w14:paraId="0D4943EE" w14:textId="77777777" w:rsidR="007C18C2" w:rsidRDefault="000C3558" w:rsidP="00E901EC">
      <w:pPr>
        <w:pStyle w:val="Heading1"/>
        <w:rPr>
          <w:lang w:val="en-AU"/>
        </w:rPr>
      </w:pPr>
      <w:bookmarkStart w:id="168" w:name="_Ref358488991"/>
      <w:bookmarkStart w:id="169" w:name="_Toc433964562"/>
      <w:r>
        <w:rPr>
          <w:lang w:val="en-AU"/>
        </w:rPr>
        <w:lastRenderedPageBreak/>
        <w:t>Results</w:t>
      </w:r>
      <w:bookmarkEnd w:id="168"/>
      <w:bookmarkEnd w:id="169"/>
    </w:p>
    <w:p w14:paraId="0D4943EF" w14:textId="24916C9D" w:rsidR="00F84B84" w:rsidRDefault="00712201" w:rsidP="007A26F2">
      <w:pPr>
        <w:rPr>
          <w:lang w:eastAsia="x-none"/>
        </w:rPr>
      </w:pPr>
      <w:r>
        <w:rPr>
          <w:lang w:eastAsia="x-none"/>
        </w:rPr>
        <w:t>The</w:t>
      </w:r>
      <w:r w:rsidR="00393297">
        <w:rPr>
          <w:lang w:eastAsia="x-none"/>
        </w:rPr>
        <w:t xml:space="preserve"> following section </w:t>
      </w:r>
      <w:r w:rsidR="000C3558">
        <w:rPr>
          <w:lang w:eastAsia="x-none"/>
        </w:rPr>
        <w:t>describe</w:t>
      </w:r>
      <w:r w:rsidR="00393297">
        <w:rPr>
          <w:lang w:eastAsia="x-none"/>
        </w:rPr>
        <w:t>s</w:t>
      </w:r>
      <w:r w:rsidR="000C3558">
        <w:rPr>
          <w:lang w:eastAsia="x-none"/>
        </w:rPr>
        <w:t xml:space="preserve"> the </w:t>
      </w:r>
      <w:r w:rsidR="00C5707D">
        <w:rPr>
          <w:lang w:eastAsia="x-none"/>
        </w:rPr>
        <w:t>results of the</w:t>
      </w:r>
      <w:r w:rsidR="000C3558">
        <w:rPr>
          <w:lang w:eastAsia="x-none"/>
        </w:rPr>
        <w:t xml:space="preserve"> impact assessment for a single functional unit</w:t>
      </w:r>
      <w:r w:rsidR="00C5707D">
        <w:rPr>
          <w:lang w:eastAsia="x-none"/>
        </w:rPr>
        <w:t xml:space="preserve"> (treatment of one Victorian household’s recycling for one year)</w:t>
      </w:r>
      <w:r w:rsidR="002D430A">
        <w:rPr>
          <w:lang w:eastAsia="x-none"/>
        </w:rPr>
        <w:t>.</w:t>
      </w:r>
      <w:r w:rsidR="00393297">
        <w:rPr>
          <w:lang w:eastAsia="x-none"/>
        </w:rPr>
        <w:t xml:space="preserve"> </w:t>
      </w:r>
      <w:r w:rsidR="002D430A">
        <w:rPr>
          <w:lang w:eastAsia="x-none"/>
        </w:rPr>
        <w:t>The table</w:t>
      </w:r>
      <w:r w:rsidR="00393297">
        <w:rPr>
          <w:lang w:eastAsia="x-none"/>
        </w:rPr>
        <w:t>s</w:t>
      </w:r>
      <w:r w:rsidR="002D430A">
        <w:rPr>
          <w:lang w:eastAsia="x-none"/>
        </w:rPr>
        <w:t xml:space="preserve"> </w:t>
      </w:r>
      <w:r w:rsidR="00393297">
        <w:rPr>
          <w:lang w:eastAsia="x-none"/>
        </w:rPr>
        <w:t>shown describe</w:t>
      </w:r>
      <w:r w:rsidR="002D430A">
        <w:rPr>
          <w:lang w:eastAsia="x-none"/>
        </w:rPr>
        <w:t xml:space="preserve"> the outcome of the impact assessment </w:t>
      </w:r>
      <w:r>
        <w:rPr>
          <w:lang w:eastAsia="x-none"/>
        </w:rPr>
        <w:t>for</w:t>
      </w:r>
      <w:r w:rsidR="002D430A">
        <w:rPr>
          <w:lang w:eastAsia="x-none"/>
        </w:rPr>
        <w:t xml:space="preserve"> each indicator described in the impact assessment method </w:t>
      </w:r>
      <w:r w:rsidR="00393297">
        <w:rPr>
          <w:lang w:eastAsia="x-none"/>
        </w:rPr>
        <w:t>(</w:t>
      </w:r>
      <w:r w:rsidR="00393297">
        <w:rPr>
          <w:lang w:eastAsia="x-none"/>
        </w:rPr>
        <w:fldChar w:fldCharType="begin"/>
      </w:r>
      <w:r w:rsidR="00393297">
        <w:rPr>
          <w:lang w:eastAsia="x-none"/>
        </w:rPr>
        <w:instrText xml:space="preserve"> REF _Ref358408062 \h </w:instrText>
      </w:r>
      <w:r w:rsidR="00393297">
        <w:rPr>
          <w:lang w:eastAsia="x-none"/>
        </w:rPr>
      </w:r>
      <w:r w:rsidR="00393297">
        <w:rPr>
          <w:lang w:eastAsia="x-none"/>
        </w:rPr>
        <w:fldChar w:fldCharType="separate"/>
      </w:r>
      <w:r w:rsidR="00564E5C" w:rsidRPr="005F3C7F">
        <w:rPr>
          <w:b/>
        </w:rPr>
        <w:t xml:space="preserve">Table </w:t>
      </w:r>
      <w:r w:rsidR="00564E5C">
        <w:rPr>
          <w:b/>
          <w:noProof/>
        </w:rPr>
        <w:t>13</w:t>
      </w:r>
      <w:r w:rsidR="00393297">
        <w:rPr>
          <w:lang w:eastAsia="x-none"/>
        </w:rPr>
        <w:fldChar w:fldCharType="end"/>
      </w:r>
      <w:r w:rsidR="00393297">
        <w:rPr>
          <w:lang w:eastAsia="x-none"/>
        </w:rPr>
        <w:t>)</w:t>
      </w:r>
      <w:r w:rsidR="002D430A">
        <w:rPr>
          <w:lang w:eastAsia="x-none"/>
        </w:rPr>
        <w:t>. To simpl</w:t>
      </w:r>
      <w:r>
        <w:rPr>
          <w:lang w:eastAsia="x-none"/>
        </w:rPr>
        <w:t>if</w:t>
      </w:r>
      <w:r w:rsidR="002D430A">
        <w:rPr>
          <w:lang w:eastAsia="x-none"/>
        </w:rPr>
        <w:t xml:space="preserve">y the presentation of the results, </w:t>
      </w:r>
      <w:r w:rsidR="00393297">
        <w:rPr>
          <w:lang w:eastAsia="x-none"/>
        </w:rPr>
        <w:t xml:space="preserve">an </w:t>
      </w:r>
      <w:r w:rsidR="002D430A">
        <w:rPr>
          <w:lang w:eastAsia="x-none"/>
        </w:rPr>
        <w:t>abbreviated de</w:t>
      </w:r>
      <w:r w:rsidR="00393297">
        <w:rPr>
          <w:lang w:eastAsia="x-none"/>
        </w:rPr>
        <w:t>scription of the indicators has</w:t>
      </w:r>
      <w:r w:rsidR="002D430A">
        <w:rPr>
          <w:lang w:eastAsia="x-none"/>
        </w:rPr>
        <w:t xml:space="preserve"> been used, in accordance with the following key:</w:t>
      </w:r>
    </w:p>
    <w:p w14:paraId="0D4943F0" w14:textId="77777777" w:rsidR="002D430A" w:rsidRDefault="002D430A" w:rsidP="00B84C97">
      <w:pPr>
        <w:pStyle w:val="ListParagraph"/>
        <w:numPr>
          <w:ilvl w:val="0"/>
          <w:numId w:val="28"/>
        </w:numPr>
        <w:rPr>
          <w:lang w:eastAsia="x-none"/>
        </w:rPr>
      </w:pPr>
      <w:r>
        <w:rPr>
          <w:lang w:eastAsia="x-none"/>
        </w:rPr>
        <w:t>GW – Global warming</w:t>
      </w:r>
    </w:p>
    <w:p w14:paraId="0D4943F1" w14:textId="77777777" w:rsidR="002D430A" w:rsidRDefault="002D430A" w:rsidP="00B84C97">
      <w:pPr>
        <w:pStyle w:val="ListParagraph"/>
        <w:numPr>
          <w:ilvl w:val="0"/>
          <w:numId w:val="28"/>
        </w:numPr>
        <w:rPr>
          <w:lang w:eastAsia="x-none"/>
        </w:rPr>
      </w:pPr>
      <w:r>
        <w:rPr>
          <w:lang w:eastAsia="x-none"/>
        </w:rPr>
        <w:t>EU – Eutrophication</w:t>
      </w:r>
    </w:p>
    <w:p w14:paraId="0D4943F2" w14:textId="77777777" w:rsidR="002D430A" w:rsidRDefault="002D430A" w:rsidP="00B84C97">
      <w:pPr>
        <w:pStyle w:val="ListParagraph"/>
        <w:numPr>
          <w:ilvl w:val="0"/>
          <w:numId w:val="28"/>
        </w:numPr>
        <w:rPr>
          <w:lang w:eastAsia="x-none"/>
        </w:rPr>
      </w:pPr>
      <w:r>
        <w:rPr>
          <w:lang w:eastAsia="x-none"/>
        </w:rPr>
        <w:t>PO – Photochemical oxidation</w:t>
      </w:r>
    </w:p>
    <w:p w14:paraId="0D4943F3" w14:textId="77777777" w:rsidR="002D430A" w:rsidRDefault="002D430A" w:rsidP="00B84C97">
      <w:pPr>
        <w:pStyle w:val="ListParagraph"/>
        <w:numPr>
          <w:ilvl w:val="0"/>
          <w:numId w:val="28"/>
        </w:numPr>
        <w:rPr>
          <w:lang w:eastAsia="x-none"/>
        </w:rPr>
      </w:pPr>
      <w:r>
        <w:rPr>
          <w:lang w:eastAsia="x-none"/>
        </w:rPr>
        <w:t>MD – Minerals depletion</w:t>
      </w:r>
    </w:p>
    <w:p w14:paraId="0D4943F4" w14:textId="77777777" w:rsidR="002D430A" w:rsidRDefault="002D430A" w:rsidP="00B84C97">
      <w:pPr>
        <w:pStyle w:val="ListParagraph"/>
        <w:numPr>
          <w:ilvl w:val="0"/>
          <w:numId w:val="28"/>
        </w:numPr>
        <w:rPr>
          <w:lang w:eastAsia="x-none"/>
        </w:rPr>
      </w:pPr>
      <w:r>
        <w:rPr>
          <w:lang w:eastAsia="x-none"/>
        </w:rPr>
        <w:t>FFD – Fossil fuels depletion</w:t>
      </w:r>
    </w:p>
    <w:p w14:paraId="0D4943F5" w14:textId="77777777" w:rsidR="002D430A" w:rsidRDefault="002D430A" w:rsidP="00B84C97">
      <w:pPr>
        <w:pStyle w:val="ListParagraph"/>
        <w:numPr>
          <w:ilvl w:val="0"/>
          <w:numId w:val="28"/>
        </w:numPr>
        <w:rPr>
          <w:lang w:eastAsia="x-none"/>
        </w:rPr>
      </w:pPr>
      <w:r>
        <w:rPr>
          <w:lang w:eastAsia="x-none"/>
        </w:rPr>
        <w:t>LU – Land use</w:t>
      </w:r>
    </w:p>
    <w:p w14:paraId="0D4943F6" w14:textId="77777777" w:rsidR="002D430A" w:rsidRDefault="002D430A" w:rsidP="00B84C97">
      <w:pPr>
        <w:pStyle w:val="ListParagraph"/>
        <w:numPr>
          <w:ilvl w:val="0"/>
          <w:numId w:val="28"/>
        </w:numPr>
        <w:rPr>
          <w:lang w:eastAsia="x-none"/>
        </w:rPr>
      </w:pPr>
      <w:r>
        <w:rPr>
          <w:lang w:eastAsia="x-none"/>
        </w:rPr>
        <w:t>WU – Water use</w:t>
      </w:r>
    </w:p>
    <w:p w14:paraId="0D4943F7" w14:textId="77777777" w:rsidR="002D430A" w:rsidRDefault="002D430A" w:rsidP="00B84C97">
      <w:pPr>
        <w:pStyle w:val="ListParagraph"/>
        <w:numPr>
          <w:ilvl w:val="0"/>
          <w:numId w:val="28"/>
        </w:numPr>
        <w:rPr>
          <w:lang w:eastAsia="x-none"/>
        </w:rPr>
      </w:pPr>
      <w:r>
        <w:rPr>
          <w:lang w:eastAsia="x-none"/>
        </w:rPr>
        <w:t>SW – Solid waste</w:t>
      </w:r>
    </w:p>
    <w:p w14:paraId="0D4943F8" w14:textId="77777777" w:rsidR="002D430A" w:rsidRDefault="002D430A" w:rsidP="00B84C97">
      <w:pPr>
        <w:pStyle w:val="ListParagraph"/>
        <w:numPr>
          <w:ilvl w:val="0"/>
          <w:numId w:val="28"/>
        </w:numPr>
        <w:rPr>
          <w:lang w:eastAsia="x-none"/>
        </w:rPr>
      </w:pPr>
      <w:r>
        <w:rPr>
          <w:lang w:eastAsia="x-none"/>
        </w:rPr>
        <w:t>CED – Cumulative energy demand</w:t>
      </w:r>
    </w:p>
    <w:p w14:paraId="0D4943FA" w14:textId="76830946" w:rsidR="00FC60D8" w:rsidRDefault="008740B4" w:rsidP="00FC60D8">
      <w:pPr>
        <w:rPr>
          <w:lang w:eastAsia="x-none"/>
        </w:rPr>
      </w:pPr>
      <w:r>
        <w:rPr>
          <w:lang w:eastAsia="x-none"/>
        </w:rPr>
        <w:t xml:space="preserve">The fundamental result of the study is 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The table describes the net life cycle impact of recycling in Victoria in terms of the environmental indicators described in</w:t>
      </w:r>
      <w:r w:rsidR="00393297">
        <w:rPr>
          <w:lang w:eastAsia="x-none"/>
        </w:rPr>
        <w:t xml:space="preserve"> </w:t>
      </w:r>
      <w:r w:rsidR="00393297">
        <w:rPr>
          <w:lang w:eastAsia="x-none"/>
        </w:rPr>
        <w:fldChar w:fldCharType="begin"/>
      </w:r>
      <w:r w:rsidR="00393297">
        <w:rPr>
          <w:lang w:eastAsia="x-none"/>
        </w:rPr>
        <w:instrText xml:space="preserve"> REF _Ref358408062 \h </w:instrText>
      </w:r>
      <w:r w:rsidR="00393297">
        <w:rPr>
          <w:lang w:eastAsia="x-none"/>
        </w:rPr>
      </w:r>
      <w:r w:rsidR="00393297">
        <w:rPr>
          <w:lang w:eastAsia="x-none"/>
        </w:rPr>
        <w:fldChar w:fldCharType="separate"/>
      </w:r>
      <w:r w:rsidR="00564E5C" w:rsidRPr="005F3C7F">
        <w:rPr>
          <w:b/>
        </w:rPr>
        <w:t xml:space="preserve">Table </w:t>
      </w:r>
      <w:r w:rsidR="00564E5C">
        <w:rPr>
          <w:b/>
          <w:noProof/>
        </w:rPr>
        <w:t>13</w:t>
      </w:r>
      <w:r w:rsidR="00393297">
        <w:rPr>
          <w:lang w:eastAsia="x-none"/>
        </w:rPr>
        <w:fldChar w:fldCharType="end"/>
      </w:r>
      <w:r>
        <w:rPr>
          <w:lang w:eastAsia="x-none"/>
        </w:rPr>
        <w:t xml:space="preserve">. The Net Outcome </w:t>
      </w:r>
      <w:r w:rsidR="00393297">
        <w:rPr>
          <w:lang w:eastAsia="x-none"/>
        </w:rPr>
        <w:t xml:space="preserve">for each indicator </w:t>
      </w:r>
      <w:r>
        <w:rPr>
          <w:lang w:eastAsia="x-none"/>
        </w:rPr>
        <w:t>is calculated by applying the definition of recycling benefit described by</w:t>
      </w:r>
      <w:r w:rsidR="001E07C1">
        <w:rPr>
          <w:lang w:eastAsia="x-none"/>
        </w:rPr>
        <w:t xml:space="preserve"> </w:t>
      </w:r>
      <w:r w:rsidR="001E07C1">
        <w:rPr>
          <w:lang w:eastAsia="x-none"/>
        </w:rPr>
        <w:fldChar w:fldCharType="begin"/>
      </w:r>
      <w:r w:rsidR="001E07C1">
        <w:rPr>
          <w:lang w:eastAsia="x-none"/>
        </w:rPr>
        <w:instrText xml:space="preserve"> REF _Ref362720906 \h </w:instrText>
      </w:r>
      <w:r w:rsidR="001E07C1">
        <w:rPr>
          <w:lang w:eastAsia="x-none"/>
        </w:rPr>
      </w:r>
      <w:r w:rsidR="001E07C1">
        <w:rPr>
          <w:lang w:eastAsia="x-none"/>
        </w:rPr>
        <w:fldChar w:fldCharType="separate"/>
      </w:r>
      <w:r w:rsidR="00564E5C">
        <w:t xml:space="preserve">Figure </w:t>
      </w:r>
      <w:r w:rsidR="00564E5C">
        <w:rPr>
          <w:noProof/>
        </w:rPr>
        <w:t>9</w:t>
      </w:r>
      <w:r w:rsidR="001E07C1">
        <w:rPr>
          <w:lang w:eastAsia="x-none"/>
        </w:rPr>
        <w:fldChar w:fldCharType="end"/>
      </w:r>
      <w:r w:rsidR="00393297">
        <w:rPr>
          <w:lang w:eastAsia="x-none"/>
        </w:rPr>
        <w:t>. Results that are positive represent burdens (adverse outcomes) and results that are negative represent benefits (favourable outcomes).</w:t>
      </w:r>
    </w:p>
    <w:p w14:paraId="34010311" w14:textId="77777777" w:rsidR="00BC5C43" w:rsidRDefault="00BC5C43" w:rsidP="00BC5C43">
      <w:pPr>
        <w:pStyle w:val="Caption"/>
        <w:keepNext/>
      </w:pPr>
      <w:bookmarkStart w:id="170" w:name="_Ref358472347"/>
      <w:bookmarkStart w:id="171" w:name="_Ref360533123"/>
      <w:r>
        <w:t xml:space="preserve">Table </w:t>
      </w:r>
      <w:r w:rsidR="00FC7DE2">
        <w:fldChar w:fldCharType="begin"/>
      </w:r>
      <w:r w:rsidR="00FC7DE2">
        <w:instrText xml:space="preserve"> SEQ Table \* ARABIC </w:instrText>
      </w:r>
      <w:r w:rsidR="00FC7DE2">
        <w:fldChar w:fldCharType="separate"/>
      </w:r>
      <w:r w:rsidR="00564E5C">
        <w:rPr>
          <w:noProof/>
        </w:rPr>
        <w:t>36</w:t>
      </w:r>
      <w:r w:rsidR="00FC7DE2">
        <w:rPr>
          <w:noProof/>
        </w:rPr>
        <w:fldChar w:fldCharType="end"/>
      </w:r>
      <w:bookmarkEnd w:id="170"/>
      <w:bookmarkEnd w:id="171"/>
      <w:r>
        <w:rPr>
          <w:lang w:val="en-AU"/>
        </w:rPr>
        <w:t xml:space="preserve"> Characterisation result, broken down by material collected, for 1 functional unit (rounded to 2 significant figures).</w:t>
      </w:r>
    </w:p>
    <w:p w14:paraId="25DF7C7E" w14:textId="73100B8E" w:rsidR="00BC5C43" w:rsidRDefault="00834360" w:rsidP="00BC5C43">
      <w:pPr>
        <w:rPr>
          <w:lang w:eastAsia="x-none"/>
        </w:rPr>
      </w:pPr>
      <w:r w:rsidRPr="00834360">
        <w:rPr>
          <w:noProof/>
        </w:rPr>
        <w:drawing>
          <wp:inline distT="0" distB="0" distL="0" distR="0" wp14:anchorId="063EF2DA" wp14:editId="3E858CD2">
            <wp:extent cx="5731510" cy="1824904"/>
            <wp:effectExtent l="0" t="0" r="254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824904"/>
                    </a:xfrm>
                    <a:prstGeom prst="rect">
                      <a:avLst/>
                    </a:prstGeom>
                    <a:noFill/>
                    <a:ln>
                      <a:noFill/>
                    </a:ln>
                  </pic:spPr>
                </pic:pic>
              </a:graphicData>
            </a:graphic>
          </wp:inline>
        </w:drawing>
      </w:r>
    </w:p>
    <w:p w14:paraId="2FFE157A" w14:textId="43F3B0A2" w:rsidR="009F3B58" w:rsidRDefault="009F3B58" w:rsidP="00FC60D8">
      <w:pPr>
        <w:rPr>
          <w:u w:val="single"/>
          <w:lang w:eastAsia="x-none"/>
        </w:rPr>
      </w:pPr>
      <w:r w:rsidRPr="009F3B58">
        <w:rPr>
          <w:u w:val="single"/>
          <w:lang w:eastAsia="x-none"/>
        </w:rPr>
        <w:t>Positives and negatives</w:t>
      </w:r>
    </w:p>
    <w:p w14:paraId="2A3164C5" w14:textId="12705C38" w:rsidR="009F3B58" w:rsidRDefault="009F3B58" w:rsidP="00FC60D8">
      <w:pPr>
        <w:rPr>
          <w:lang w:eastAsia="x-none"/>
        </w:rPr>
      </w:pPr>
      <w:r>
        <w:rPr>
          <w:lang w:eastAsia="x-none"/>
        </w:rPr>
        <w:t xml:space="preserve">The decision to present results in a manner where positive values represent burdens (adverse outcomes) was taken in order to remain true to the difference equation described in </w:t>
      </w:r>
      <w:r w:rsidR="00393297">
        <w:rPr>
          <w:lang w:eastAsia="x-none"/>
        </w:rPr>
        <w:fldChar w:fldCharType="begin"/>
      </w:r>
      <w:r w:rsidR="00393297">
        <w:rPr>
          <w:lang w:eastAsia="x-none"/>
        </w:rPr>
        <w:instrText xml:space="preserve"> REF _Ref337037149 \h </w:instrText>
      </w:r>
      <w:r w:rsidR="00393297">
        <w:rPr>
          <w:lang w:eastAsia="x-none"/>
        </w:rPr>
      </w:r>
      <w:r w:rsidR="00393297">
        <w:rPr>
          <w:lang w:eastAsia="x-none"/>
        </w:rPr>
        <w:fldChar w:fldCharType="separate"/>
      </w:r>
      <w:r w:rsidR="00564E5C">
        <w:t xml:space="preserve">Figure </w:t>
      </w:r>
      <w:r w:rsidR="00564E5C">
        <w:rPr>
          <w:noProof/>
        </w:rPr>
        <w:t>7</w:t>
      </w:r>
      <w:r w:rsidR="00393297">
        <w:rPr>
          <w:lang w:eastAsia="x-none"/>
        </w:rPr>
        <w:fldChar w:fldCharType="end"/>
      </w:r>
      <w:r w:rsidR="00393297">
        <w:rPr>
          <w:lang w:eastAsia="x-none"/>
        </w:rPr>
        <w:t xml:space="preserve"> </w:t>
      </w:r>
      <w:r>
        <w:rPr>
          <w:lang w:eastAsia="x-none"/>
        </w:rPr>
        <w:t>and the convention in LCA reports to represent impacts as positive values. In truth, a p</w:t>
      </w:r>
      <w:r w:rsidR="00FA1D74">
        <w:rPr>
          <w:lang w:eastAsia="x-none"/>
        </w:rPr>
        <w:t>roblem with comparative studies</w:t>
      </w:r>
      <w:r>
        <w:rPr>
          <w:lang w:eastAsia="x-none"/>
        </w:rPr>
        <w:t xml:space="preserve"> where differences rather than absolutes are the focus, is that the signing convention needs to be regularly considered by the reader.</w:t>
      </w:r>
    </w:p>
    <w:p w14:paraId="26FE23E7" w14:textId="7EB422EA" w:rsidR="00BC5C43" w:rsidRPr="00BC5C43" w:rsidRDefault="00BC5C43" w:rsidP="00BC5C43">
      <w:pPr>
        <w:rPr>
          <w:u w:val="single"/>
          <w:lang w:eastAsia="x-none"/>
        </w:rPr>
      </w:pPr>
      <w:r w:rsidRPr="00BC5C43">
        <w:rPr>
          <w:u w:val="single"/>
          <w:lang w:eastAsia="x-none"/>
        </w:rPr>
        <w:t>Uncertainty</w:t>
      </w:r>
    </w:p>
    <w:p w14:paraId="326E2DEC" w14:textId="57E53C75" w:rsidR="00BC5C43" w:rsidRDefault="00BC5C43" w:rsidP="00BC5C43">
      <w:pPr>
        <w:rPr>
          <w:lang w:eastAsia="x-none"/>
        </w:rPr>
      </w:pPr>
      <w:r>
        <w:rPr>
          <w:lang w:eastAsia="x-none"/>
        </w:rPr>
        <w:t xml:space="preserve">In an effort to transparently address the a mix of data qualities encountered in the study, both within the systems studied directly and the background inventories, a Monte Carlo simulation was undertaken for the study result 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Th</w:t>
      </w:r>
      <w:r w:rsidR="00712201">
        <w:rPr>
          <w:lang w:eastAsia="x-none"/>
        </w:rPr>
        <w:t>is simulation</w:t>
      </w:r>
      <w:r>
        <w:rPr>
          <w:lang w:eastAsia="x-none"/>
        </w:rPr>
        <w:t xml:space="preserve"> utilise</w:t>
      </w:r>
      <w:r w:rsidR="00712201">
        <w:rPr>
          <w:lang w:eastAsia="x-none"/>
        </w:rPr>
        <w:t>d</w:t>
      </w:r>
      <w:r>
        <w:rPr>
          <w:lang w:eastAsia="x-none"/>
        </w:rPr>
        <w:t xml:space="preserve"> un</w:t>
      </w:r>
      <w:r w:rsidR="00FA1D74">
        <w:rPr>
          <w:lang w:eastAsia="x-none"/>
        </w:rPr>
        <w:t xml:space="preserve">certainty data contained within </w:t>
      </w:r>
      <w:r>
        <w:rPr>
          <w:lang w:eastAsia="x-none"/>
        </w:rPr>
        <w:t xml:space="preserve">the background inventories employed and all the study inventories developed. For the developed inventories, the uncertainty information was calculated from the pedigree matrix described in Section </w:t>
      </w:r>
      <w:r>
        <w:rPr>
          <w:lang w:eastAsia="x-none"/>
        </w:rPr>
        <w:fldChar w:fldCharType="begin"/>
      </w:r>
      <w:r>
        <w:rPr>
          <w:lang w:eastAsia="x-none"/>
        </w:rPr>
        <w:instrText xml:space="preserve"> REF _Ref358489433 \r \h </w:instrText>
      </w:r>
      <w:r>
        <w:rPr>
          <w:lang w:eastAsia="x-none"/>
        </w:rPr>
      </w:r>
      <w:r>
        <w:rPr>
          <w:lang w:eastAsia="x-none"/>
        </w:rPr>
        <w:fldChar w:fldCharType="separate"/>
      </w:r>
      <w:r w:rsidR="00564E5C">
        <w:rPr>
          <w:lang w:eastAsia="x-none"/>
        </w:rPr>
        <w:t>5.6</w:t>
      </w:r>
      <w:r>
        <w:rPr>
          <w:lang w:eastAsia="x-none"/>
        </w:rPr>
        <w:fldChar w:fldCharType="end"/>
      </w:r>
      <w:r>
        <w:rPr>
          <w:lang w:eastAsia="x-none"/>
        </w:rPr>
        <w:t>.</w:t>
      </w:r>
    </w:p>
    <w:p w14:paraId="47E49392" w14:textId="5CFDC653" w:rsidR="00BC5C43" w:rsidRDefault="00BC5C43" w:rsidP="00BC5C43">
      <w:pPr>
        <w:rPr>
          <w:lang w:eastAsia="x-none"/>
        </w:rPr>
      </w:pPr>
      <w:r>
        <w:rPr>
          <w:lang w:eastAsia="x-none"/>
        </w:rPr>
        <w:t xml:space="preserve">The results of these simulations are shown in </w:t>
      </w:r>
      <w:r w:rsidR="00712201">
        <w:rPr>
          <w:lang w:eastAsia="x-none"/>
        </w:rPr>
        <w:t xml:space="preserve">the </w:t>
      </w:r>
      <w:r>
        <w:rPr>
          <w:lang w:eastAsia="x-none"/>
        </w:rPr>
        <w:t xml:space="preserve">lower rows of the table, titled ‘2.5 percentile’ and ‘97.5 percentile’. These values indicate the lower and upper limits within which 95% of study Net </w:t>
      </w:r>
      <w:r>
        <w:rPr>
          <w:lang w:eastAsia="x-none"/>
        </w:rPr>
        <w:lastRenderedPageBreak/>
        <w:t>Outcome values were calculated (1000 runs were undertaken for each Net Outcome value). Larger ranges indicate more uncertain outcomes and smaller ranges in</w:t>
      </w:r>
      <w:r w:rsidR="00E015A3">
        <w:rPr>
          <w:lang w:eastAsia="x-none"/>
        </w:rPr>
        <w:t>dicate less uncertain outcomes.</w:t>
      </w:r>
    </w:p>
    <w:p w14:paraId="0116AA1C" w14:textId="4B8C2746" w:rsidR="006D587E" w:rsidRDefault="009F3B58" w:rsidP="007A26F2">
      <w:r>
        <w:rPr>
          <w:lang w:eastAsia="x-none"/>
        </w:rPr>
        <w:t xml:space="preserve">An important objective of the study </w:t>
      </w:r>
      <w:r w:rsidR="00E015A3">
        <w:rPr>
          <w:lang w:eastAsia="x-none"/>
        </w:rPr>
        <w:t>was</w:t>
      </w:r>
      <w:r>
        <w:rPr>
          <w:lang w:eastAsia="x-none"/>
        </w:rPr>
        <w:t xml:space="preserve"> to determine the contribution of materials recovered to the overall system result. While </w:t>
      </w:r>
      <w:r>
        <w:rPr>
          <w:lang w:eastAsia="x-none"/>
        </w:rPr>
        <w:fldChar w:fldCharType="begin"/>
      </w:r>
      <w:r>
        <w:rPr>
          <w:lang w:eastAsia="x-none"/>
        </w:rPr>
        <w:instrText xml:space="preserve"> REF _Ref360533123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xml:space="preserve"> does this, in terms of the functional unit and reference flows, it is also useful to understand how </w:t>
      </w:r>
      <w:r w:rsidR="000D6AC5">
        <w:rPr>
          <w:lang w:eastAsia="x-none"/>
        </w:rPr>
        <w:t xml:space="preserve">individual </w:t>
      </w:r>
      <w:r>
        <w:rPr>
          <w:lang w:eastAsia="x-none"/>
        </w:rPr>
        <w:t xml:space="preserve">materials compare on a </w:t>
      </w:r>
      <w:r w:rsidR="00E015A3">
        <w:rPr>
          <w:lang w:eastAsia="x-none"/>
        </w:rPr>
        <w:t xml:space="preserve">standard </w:t>
      </w:r>
      <w:r>
        <w:rPr>
          <w:lang w:eastAsia="x-none"/>
        </w:rPr>
        <w:t xml:space="preserve">mass basis. </w:t>
      </w:r>
      <w:r>
        <w:rPr>
          <w:lang w:eastAsia="x-none"/>
        </w:rPr>
        <w:fldChar w:fldCharType="begin"/>
      </w:r>
      <w:r>
        <w:rPr>
          <w:lang w:eastAsia="x-none"/>
        </w:rPr>
        <w:instrText xml:space="preserve"> REF _Ref360533424 \h </w:instrText>
      </w:r>
      <w:r>
        <w:rPr>
          <w:lang w:eastAsia="x-none"/>
        </w:rPr>
      </w:r>
      <w:r>
        <w:rPr>
          <w:lang w:eastAsia="x-none"/>
        </w:rPr>
        <w:fldChar w:fldCharType="separate"/>
      </w:r>
      <w:r w:rsidR="00564E5C">
        <w:t xml:space="preserve">Table </w:t>
      </w:r>
      <w:r w:rsidR="00564E5C">
        <w:rPr>
          <w:noProof/>
        </w:rPr>
        <w:t>37</w:t>
      </w:r>
      <w:r>
        <w:rPr>
          <w:lang w:eastAsia="x-none"/>
        </w:rPr>
        <w:fldChar w:fldCharType="end"/>
      </w:r>
      <w:r>
        <w:rPr>
          <w:lang w:eastAsia="x-none"/>
        </w:rPr>
        <w:t xml:space="preserve"> achieves this end by presenting the study results in terms of a standardised one tonne of material recovered.</w:t>
      </w:r>
    </w:p>
    <w:p w14:paraId="5D8896A4" w14:textId="39D31E2A" w:rsidR="006D587E" w:rsidRDefault="006D587E" w:rsidP="006D587E">
      <w:pPr>
        <w:pStyle w:val="Caption"/>
        <w:keepNext/>
      </w:pPr>
      <w:bookmarkStart w:id="172" w:name="_Ref360533424"/>
      <w:r>
        <w:t xml:space="preserve">Table </w:t>
      </w:r>
      <w:r w:rsidR="00FC7DE2">
        <w:fldChar w:fldCharType="begin"/>
      </w:r>
      <w:r w:rsidR="00FC7DE2">
        <w:instrText xml:space="preserve"> SEQ Table \* ARABIC </w:instrText>
      </w:r>
      <w:r w:rsidR="00FC7DE2">
        <w:fldChar w:fldCharType="separate"/>
      </w:r>
      <w:r w:rsidR="00564E5C">
        <w:rPr>
          <w:noProof/>
        </w:rPr>
        <w:t>37</w:t>
      </w:r>
      <w:r w:rsidR="00FC7DE2">
        <w:rPr>
          <w:noProof/>
        </w:rPr>
        <w:fldChar w:fldCharType="end"/>
      </w:r>
      <w:bookmarkEnd w:id="172"/>
      <w:r>
        <w:rPr>
          <w:lang w:val="en-AU"/>
        </w:rPr>
        <w:t xml:space="preserve"> Characterisation for 1 </w:t>
      </w:r>
      <w:r w:rsidR="00E82F90">
        <w:rPr>
          <w:lang w:val="en-AU"/>
        </w:rPr>
        <w:t>t</w:t>
      </w:r>
      <w:r>
        <w:rPr>
          <w:lang w:val="en-AU"/>
        </w:rPr>
        <w:t xml:space="preserve"> of each material collected (rounded to 2 significant figures).</w:t>
      </w:r>
    </w:p>
    <w:p w14:paraId="4170D1EE" w14:textId="0CB51D3C" w:rsidR="006D587E" w:rsidRDefault="00834360" w:rsidP="007A26F2">
      <w:pPr>
        <w:rPr>
          <w:lang w:eastAsia="x-none"/>
        </w:rPr>
      </w:pPr>
      <w:r w:rsidRPr="00834360">
        <w:rPr>
          <w:noProof/>
        </w:rPr>
        <w:drawing>
          <wp:inline distT="0" distB="0" distL="0" distR="0" wp14:anchorId="63036C86" wp14:editId="7E47BE02">
            <wp:extent cx="5731510" cy="141512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415120"/>
                    </a:xfrm>
                    <a:prstGeom prst="rect">
                      <a:avLst/>
                    </a:prstGeom>
                    <a:noFill/>
                    <a:ln>
                      <a:noFill/>
                    </a:ln>
                  </pic:spPr>
                </pic:pic>
              </a:graphicData>
            </a:graphic>
          </wp:inline>
        </w:drawing>
      </w:r>
    </w:p>
    <w:p w14:paraId="15A91B52" w14:textId="701B4894" w:rsidR="006D587E" w:rsidRDefault="00BC5C43" w:rsidP="007A26F2">
      <w:pPr>
        <w:rPr>
          <w:lang w:eastAsia="x-none"/>
        </w:rPr>
      </w:pPr>
      <w:r>
        <w:rPr>
          <w:lang w:eastAsia="x-none"/>
        </w:rPr>
        <w:t xml:space="preserve">It is also useful to present results in terms of the key processes that contribute to the study outcomes. Using the key processes described in Section </w:t>
      </w:r>
      <w:r>
        <w:rPr>
          <w:lang w:eastAsia="x-none"/>
        </w:rPr>
        <w:fldChar w:fldCharType="begin"/>
      </w:r>
      <w:r>
        <w:rPr>
          <w:lang w:eastAsia="x-none"/>
        </w:rPr>
        <w:instrText xml:space="preserve"> REF _Ref360533919 \r \h </w:instrText>
      </w:r>
      <w:r>
        <w:rPr>
          <w:lang w:eastAsia="x-none"/>
        </w:rPr>
      </w:r>
      <w:r>
        <w:rPr>
          <w:lang w:eastAsia="x-none"/>
        </w:rPr>
        <w:fldChar w:fldCharType="separate"/>
      </w:r>
      <w:r w:rsidR="00564E5C">
        <w:rPr>
          <w:lang w:eastAsia="x-none"/>
        </w:rPr>
        <w:t>8</w:t>
      </w:r>
      <w:r>
        <w:rPr>
          <w:lang w:eastAsia="x-none"/>
        </w:rPr>
        <w:fldChar w:fldCharType="end"/>
      </w:r>
      <w:r>
        <w:rPr>
          <w:lang w:eastAsia="x-none"/>
        </w:rPr>
        <w:t xml:space="preserve"> as a framework, </w:t>
      </w:r>
      <w:r>
        <w:rPr>
          <w:lang w:eastAsia="x-none"/>
        </w:rPr>
        <w:fldChar w:fldCharType="begin"/>
      </w:r>
      <w:r>
        <w:rPr>
          <w:lang w:eastAsia="x-none"/>
        </w:rPr>
        <w:instrText xml:space="preserve"> REF _Ref360534018 \h </w:instrText>
      </w:r>
      <w:r>
        <w:rPr>
          <w:lang w:eastAsia="x-none"/>
        </w:rPr>
      </w:r>
      <w:r>
        <w:rPr>
          <w:lang w:eastAsia="x-none"/>
        </w:rPr>
        <w:fldChar w:fldCharType="separate"/>
      </w:r>
      <w:r w:rsidR="00564E5C">
        <w:t xml:space="preserve">Table </w:t>
      </w:r>
      <w:r w:rsidR="00564E5C">
        <w:rPr>
          <w:noProof/>
        </w:rPr>
        <w:t>38</w:t>
      </w:r>
      <w:r>
        <w:rPr>
          <w:lang w:eastAsia="x-none"/>
        </w:rPr>
        <w:fldChar w:fldCharType="end"/>
      </w:r>
      <w:r>
        <w:rPr>
          <w:lang w:eastAsia="x-none"/>
        </w:rPr>
        <w:t xml:space="preserve"> describes the contributions of processes to the overall result. A more detailed breakdown for all processes and materials is shown in </w:t>
      </w:r>
      <w:r>
        <w:rPr>
          <w:lang w:eastAsia="x-none"/>
        </w:rPr>
        <w:fldChar w:fldCharType="begin"/>
      </w:r>
      <w:r>
        <w:rPr>
          <w:lang w:eastAsia="x-none"/>
        </w:rPr>
        <w:instrText xml:space="preserve"> REF _Ref360534108 \h </w:instrText>
      </w:r>
      <w:r>
        <w:rPr>
          <w:lang w:eastAsia="x-none"/>
        </w:rPr>
      </w:r>
      <w:r>
        <w:rPr>
          <w:lang w:eastAsia="x-none"/>
        </w:rPr>
        <w:fldChar w:fldCharType="separate"/>
      </w:r>
      <w:r w:rsidR="00564E5C">
        <w:t>Appendix C – Detailed Results by Material</w:t>
      </w:r>
      <w:r>
        <w:rPr>
          <w:lang w:eastAsia="x-none"/>
        </w:rPr>
        <w:fldChar w:fldCharType="end"/>
      </w:r>
      <w:r>
        <w:rPr>
          <w:lang w:eastAsia="x-none"/>
        </w:rPr>
        <w:t>.</w:t>
      </w:r>
    </w:p>
    <w:p w14:paraId="543218C9" w14:textId="29798A02" w:rsidR="00BC5C43" w:rsidRDefault="00BC5C43" w:rsidP="00BC5C43">
      <w:pPr>
        <w:pStyle w:val="Caption"/>
        <w:keepNext/>
      </w:pPr>
      <w:bookmarkStart w:id="173" w:name="_Ref360534018"/>
      <w:r>
        <w:t xml:space="preserve">Table </w:t>
      </w:r>
      <w:r w:rsidR="00FC7DE2">
        <w:fldChar w:fldCharType="begin"/>
      </w:r>
      <w:r w:rsidR="00FC7DE2">
        <w:instrText xml:space="preserve"> SEQ Table \* ARABIC </w:instrText>
      </w:r>
      <w:r w:rsidR="00FC7DE2">
        <w:fldChar w:fldCharType="separate"/>
      </w:r>
      <w:r w:rsidR="00564E5C">
        <w:rPr>
          <w:noProof/>
        </w:rPr>
        <w:t>38</w:t>
      </w:r>
      <w:r w:rsidR="00FC7DE2">
        <w:rPr>
          <w:noProof/>
        </w:rPr>
        <w:fldChar w:fldCharType="end"/>
      </w:r>
      <w:bookmarkEnd w:id="173"/>
      <w:r>
        <w:rPr>
          <w:lang w:val="en-AU"/>
        </w:rPr>
        <w:t xml:space="preserve"> </w:t>
      </w:r>
      <w:r w:rsidRPr="00582D46">
        <w:rPr>
          <w:lang w:val="en-AU"/>
        </w:rPr>
        <w:t>Characterisation result, broken down by key process,  for 1 functional unit (rounded to 2 significant figures).</w:t>
      </w:r>
    </w:p>
    <w:p w14:paraId="3723C549" w14:textId="4D18B0FC" w:rsidR="00F837BE" w:rsidRDefault="00834360" w:rsidP="007A26F2">
      <w:pPr>
        <w:rPr>
          <w:lang w:eastAsia="x-none"/>
        </w:rPr>
      </w:pPr>
      <w:r w:rsidRPr="00834360">
        <w:rPr>
          <w:noProof/>
        </w:rPr>
        <w:drawing>
          <wp:inline distT="0" distB="0" distL="0" distR="0" wp14:anchorId="176DB4F7" wp14:editId="4B63713E">
            <wp:extent cx="5731510" cy="1276224"/>
            <wp:effectExtent l="0" t="0" r="254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276224"/>
                    </a:xfrm>
                    <a:prstGeom prst="rect">
                      <a:avLst/>
                    </a:prstGeom>
                    <a:noFill/>
                    <a:ln>
                      <a:noFill/>
                    </a:ln>
                  </pic:spPr>
                </pic:pic>
              </a:graphicData>
            </a:graphic>
          </wp:inline>
        </w:drawing>
      </w:r>
    </w:p>
    <w:p w14:paraId="2E11A568" w14:textId="77777777" w:rsidR="00B22D00" w:rsidRDefault="00B22D00" w:rsidP="007A26F2">
      <w:pPr>
        <w:rPr>
          <w:lang w:eastAsia="x-none"/>
        </w:rPr>
      </w:pPr>
    </w:p>
    <w:p w14:paraId="0D494419" w14:textId="77777777" w:rsidR="00067334" w:rsidRPr="00067334" w:rsidRDefault="00067334" w:rsidP="00067334">
      <w:pPr>
        <w:rPr>
          <w:lang w:eastAsia="x-none"/>
        </w:rPr>
      </w:pPr>
    </w:p>
    <w:p w14:paraId="0D49441A" w14:textId="77777777" w:rsidR="00383B0E" w:rsidRDefault="00383B0E" w:rsidP="00383B0E">
      <w:pPr>
        <w:pStyle w:val="Heading1"/>
        <w:rPr>
          <w:lang w:val="en-AU"/>
        </w:rPr>
      </w:pPr>
      <w:bookmarkStart w:id="174" w:name="_Ref362988940"/>
      <w:bookmarkStart w:id="175" w:name="_Ref363048001"/>
      <w:bookmarkStart w:id="176" w:name="_Ref363070319"/>
      <w:bookmarkStart w:id="177" w:name="_Ref363070326"/>
      <w:bookmarkStart w:id="178" w:name="_Toc433964563"/>
      <w:r>
        <w:rPr>
          <w:lang w:val="en-AU"/>
        </w:rPr>
        <w:lastRenderedPageBreak/>
        <w:t>Discussion</w:t>
      </w:r>
      <w:bookmarkEnd w:id="174"/>
      <w:bookmarkEnd w:id="175"/>
      <w:bookmarkEnd w:id="176"/>
      <w:bookmarkEnd w:id="177"/>
      <w:bookmarkEnd w:id="178"/>
    </w:p>
    <w:p w14:paraId="0D49441B" w14:textId="116E1287" w:rsidR="002E3472" w:rsidRDefault="002E3472" w:rsidP="007A26F2">
      <w:pPr>
        <w:rPr>
          <w:lang w:eastAsia="x-none"/>
        </w:rPr>
      </w:pPr>
      <w:r>
        <w:rPr>
          <w:lang w:eastAsia="x-none"/>
        </w:rPr>
        <w:t xml:space="preserve">The results 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xml:space="preserve"> </w:t>
      </w:r>
      <w:r w:rsidR="003A0E8E">
        <w:rPr>
          <w:lang w:eastAsia="x-none"/>
        </w:rPr>
        <w:t>show</w:t>
      </w:r>
      <w:r>
        <w:rPr>
          <w:lang w:eastAsia="x-none"/>
        </w:rPr>
        <w:t xml:space="preserve"> that in terms of all indicators considered, the Recycling System generates a preferable outcome versus the Alternative System. The </w:t>
      </w:r>
      <w:r w:rsidR="00393297">
        <w:rPr>
          <w:lang w:eastAsia="x-none"/>
        </w:rPr>
        <w:t xml:space="preserve">Alternative System, one where nearly </w:t>
      </w:r>
      <w:r>
        <w:rPr>
          <w:lang w:eastAsia="x-none"/>
        </w:rPr>
        <w:t>all waste is interred in landfill, is inferior with respect to the indicators considered.</w:t>
      </w:r>
    </w:p>
    <w:p w14:paraId="1A64D20E" w14:textId="61DC4949" w:rsidR="00AE2695" w:rsidRDefault="00AE2695" w:rsidP="00AE2695">
      <w:pPr>
        <w:pStyle w:val="Heading2"/>
      </w:pPr>
      <w:bookmarkStart w:id="179" w:name="_Toc433964564"/>
      <w:r>
        <w:t>Directional conclusions</w:t>
      </w:r>
      <w:bookmarkEnd w:id="179"/>
    </w:p>
    <w:p w14:paraId="2BA084C3" w14:textId="27779AA6" w:rsidR="003A0E8E" w:rsidRDefault="00481F34" w:rsidP="007A26F2">
      <w:pPr>
        <w:rPr>
          <w:lang w:eastAsia="x-none"/>
        </w:rPr>
      </w:pPr>
      <w:r>
        <w:rPr>
          <w:lang w:eastAsia="x-none"/>
        </w:rPr>
        <w:t xml:space="preserve">Uncertainty ranges 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xml:space="preserve"> are favourable for most of the indicators considered. This outcome makes it possible to conclude that the Recycling System is preferable to the Alternative System, even when data uncertainty is taken</w:t>
      </w:r>
      <w:r w:rsidR="001E07C1">
        <w:rPr>
          <w:lang w:eastAsia="x-none"/>
        </w:rPr>
        <w:t xml:space="preserve"> into account. The uncertainty ranges</w:t>
      </w:r>
      <w:r>
        <w:rPr>
          <w:lang w:eastAsia="x-none"/>
        </w:rPr>
        <w:t xml:space="preserve"> also indicate the limitations of the study when it comes </w:t>
      </w:r>
      <w:r w:rsidR="00D41F22">
        <w:rPr>
          <w:lang w:eastAsia="x-none"/>
        </w:rPr>
        <w:t>to exact findings, and comparison to other studies.</w:t>
      </w:r>
    </w:p>
    <w:p w14:paraId="076D07A1" w14:textId="0714033F" w:rsidR="00482AF0" w:rsidRDefault="00482AF0" w:rsidP="007A26F2">
      <w:pPr>
        <w:rPr>
          <w:lang w:eastAsia="x-none"/>
        </w:rPr>
      </w:pPr>
      <w:r>
        <w:rPr>
          <w:lang w:eastAsia="x-none"/>
        </w:rPr>
        <w:t xml:space="preserve">Two indicators where conclusions change under the uncertainty analysis are fossil fuels depletion and cumulative energy demand. Fossil fuel depletion in this study is hard to assess because it is significantly influenced by transportation fuel use, which itself is relatively uncertain. A review of transportation data quality indicates that significant uncertainty exists in processes from waste collection through to shipment of material for international reprocessing. Although best available information is used to estimate transportation distances, other factors such as vehicle utilisation and fuel efficiency make transport impacts difficult to estimate. In recognition of this, the pedigree matrix used to assess data quality allocates a higher basic uncertainty to transport data points </w:t>
      </w:r>
      <w:r w:rsidR="00FA1D74">
        <w:rPr>
          <w:lang w:eastAsia="x-none"/>
        </w:rPr>
        <w:t>versus</w:t>
      </w:r>
      <w:r w:rsidR="00885000">
        <w:rPr>
          <w:lang w:eastAsia="x-none"/>
        </w:rPr>
        <w:t xml:space="preserve"> other process data </w:t>
      </w:r>
      <w:r w:rsidR="004B1F75">
        <w:rPr>
          <w:lang w:eastAsia="x-none"/>
        </w:rPr>
        <w:fldChar w:fldCharType="begin"/>
      </w:r>
      <w:r w:rsidR="00F40CE2">
        <w:rPr>
          <w:lang w:eastAsia="x-none"/>
        </w:rPr>
        <w:instrText xml:space="preserve"> ADDIN EN.CITE &lt;EndNote&gt;&lt;Cite&gt;&lt;Author&gt;Frischknecht&lt;/Author&gt;&lt;Year&gt;2004&lt;/Year&gt;&lt;RecNum&gt;260&lt;/RecNum&gt;&lt;DisplayText&gt;(Frischknecht and Jungbluth, 2004)&lt;/DisplayText&gt;&lt;record&gt;&lt;rec-number&gt;260&lt;/rec-number&gt;&lt;foreign-keys&gt;&lt;key app="EN" db-id="tfpv5staxsvs2nexzpp5taewzsvpx0er5fap"&gt;260&lt;/key&gt;&lt;/foreign-keys&gt;&lt;ref-type name="Report"&gt;27&lt;/ref-type&gt;&lt;contributors&gt;&lt;authors&gt;&lt;author&gt;Frischknecht, R&lt;/author&gt;&lt;author&gt;Jungbluth, N&lt;/author&gt;&lt;/authors&gt;&lt;/contributors&gt;&lt;titles&gt;&lt;title&gt;Ecoinvent Report No. 1 - Overview and Methodology&lt;/title&gt;&lt;/titles&gt;&lt;dates&gt;&lt;year&gt;2004&lt;/year&gt;&lt;/dates&gt;&lt;pub-location&gt;Dübendorf&lt;/pub-location&gt;&lt;publisher&gt;Swiss Centre for Life Cycle Inventories&lt;/publisher&gt;&lt;urls&gt;&lt;/urls&gt;&lt;/record&gt;&lt;/Cite&gt;&lt;/EndNote&gt;</w:instrText>
      </w:r>
      <w:r w:rsidR="004B1F75">
        <w:rPr>
          <w:lang w:eastAsia="x-none"/>
        </w:rPr>
        <w:fldChar w:fldCharType="separate"/>
      </w:r>
      <w:r w:rsidR="00F40CE2">
        <w:rPr>
          <w:noProof/>
          <w:lang w:eastAsia="x-none"/>
        </w:rPr>
        <w:t>(</w:t>
      </w:r>
      <w:hyperlink w:anchor="_ENREF_30" w:tooltip="Frischknecht, 2004 #260" w:history="1">
        <w:r w:rsidR="00F40CE2">
          <w:rPr>
            <w:noProof/>
            <w:lang w:eastAsia="x-none"/>
          </w:rPr>
          <w:t>Frischknecht and Jungbluth, 2004</w:t>
        </w:r>
      </w:hyperlink>
      <w:r w:rsidR="00F40CE2">
        <w:rPr>
          <w:noProof/>
          <w:lang w:eastAsia="x-none"/>
        </w:rPr>
        <w:t>)</w:t>
      </w:r>
      <w:r w:rsidR="004B1F75">
        <w:rPr>
          <w:lang w:eastAsia="x-none"/>
        </w:rPr>
        <w:fldChar w:fldCharType="end"/>
      </w:r>
      <w:r w:rsidR="00885000">
        <w:rPr>
          <w:lang w:eastAsia="x-none"/>
        </w:rPr>
        <w:t>.</w:t>
      </w:r>
    </w:p>
    <w:p w14:paraId="00A20D16" w14:textId="4729E7AF" w:rsidR="00885000" w:rsidRDefault="00885000" w:rsidP="007A26F2">
      <w:pPr>
        <w:rPr>
          <w:lang w:eastAsia="x-none"/>
        </w:rPr>
      </w:pPr>
      <w:r>
        <w:rPr>
          <w:lang w:eastAsia="x-none"/>
        </w:rPr>
        <w:t>Cumulative</w:t>
      </w:r>
      <w:r w:rsidR="00AE2695">
        <w:rPr>
          <w:lang w:eastAsia="x-none"/>
        </w:rPr>
        <w:t xml:space="preserve"> energy </w:t>
      </w:r>
      <w:r w:rsidR="000D6AC5">
        <w:rPr>
          <w:lang w:eastAsia="x-none"/>
        </w:rPr>
        <w:t xml:space="preserve">demand </w:t>
      </w:r>
      <w:r w:rsidR="00AE2695">
        <w:rPr>
          <w:lang w:eastAsia="x-none"/>
        </w:rPr>
        <w:t xml:space="preserve">outcomes also change directionally within the range, however this is largely due to a skewed simulation outcome. </w:t>
      </w:r>
      <w:r w:rsidR="00AE2695">
        <w:rPr>
          <w:lang w:eastAsia="x-none"/>
        </w:rPr>
        <w:fldChar w:fldCharType="begin"/>
      </w:r>
      <w:r w:rsidR="00AE2695">
        <w:rPr>
          <w:lang w:eastAsia="x-none"/>
        </w:rPr>
        <w:instrText xml:space="preserve"> REF _Ref360538950 \h </w:instrText>
      </w:r>
      <w:r w:rsidR="00AE2695">
        <w:rPr>
          <w:lang w:eastAsia="x-none"/>
        </w:rPr>
      </w:r>
      <w:r w:rsidR="00AE2695">
        <w:rPr>
          <w:lang w:eastAsia="x-none"/>
        </w:rPr>
        <w:fldChar w:fldCharType="separate"/>
      </w:r>
      <w:r w:rsidR="00564E5C">
        <w:t xml:space="preserve">Figure </w:t>
      </w:r>
      <w:r w:rsidR="00564E5C">
        <w:rPr>
          <w:noProof/>
        </w:rPr>
        <w:t>16</w:t>
      </w:r>
      <w:r w:rsidR="00AE2695">
        <w:rPr>
          <w:lang w:eastAsia="x-none"/>
        </w:rPr>
        <w:fldChar w:fldCharType="end"/>
      </w:r>
      <w:r w:rsidR="00AE2695">
        <w:rPr>
          <w:lang w:eastAsia="x-none"/>
        </w:rPr>
        <w:t xml:space="preserve"> highlights the skewed nature of the distribution, indicating that only a small fraction of runs resulted in unfavourable outcomes.</w:t>
      </w:r>
    </w:p>
    <w:p w14:paraId="0D65ED5C" w14:textId="1DAF43C6" w:rsidR="00AE2695" w:rsidRDefault="00834360" w:rsidP="00AE2695">
      <w:pPr>
        <w:keepNext/>
      </w:pPr>
      <w:r>
        <w:rPr>
          <w:noProof/>
        </w:rPr>
        <w:drawing>
          <wp:inline distT="0" distB="0" distL="0" distR="0" wp14:anchorId="67C7B235" wp14:editId="7EC32FB6">
            <wp:extent cx="5505450" cy="2695575"/>
            <wp:effectExtent l="0" t="0" r="0" b="9525"/>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1993" r="1993" b="15964"/>
                    <a:stretch/>
                  </pic:blipFill>
                  <pic:spPr bwMode="auto">
                    <a:xfrm>
                      <a:off x="0" y="0"/>
                      <a:ext cx="5503012" cy="2694381"/>
                    </a:xfrm>
                    <a:prstGeom prst="rect">
                      <a:avLst/>
                    </a:prstGeom>
                    <a:noFill/>
                    <a:ln>
                      <a:noFill/>
                    </a:ln>
                    <a:extLst>
                      <a:ext uri="{53640926-AAD7-44D8-BBD7-CCE9431645EC}">
                        <a14:shadowObscured xmlns:a14="http://schemas.microsoft.com/office/drawing/2010/main"/>
                      </a:ext>
                    </a:extLst>
                  </pic:spPr>
                </pic:pic>
              </a:graphicData>
            </a:graphic>
          </wp:inline>
        </w:drawing>
      </w:r>
    </w:p>
    <w:p w14:paraId="3589A48E" w14:textId="7B8B68FA" w:rsidR="00885000" w:rsidRDefault="00AE2695" w:rsidP="00AE2695">
      <w:pPr>
        <w:pStyle w:val="Caption"/>
      </w:pPr>
      <w:bookmarkStart w:id="180" w:name="_Ref360538950"/>
      <w:r>
        <w:t xml:space="preserve">Figure </w:t>
      </w:r>
      <w:r w:rsidR="00FC7DE2">
        <w:fldChar w:fldCharType="begin"/>
      </w:r>
      <w:r w:rsidR="00FC7DE2">
        <w:instrText xml:space="preserve"> SEQ Figure \* ARABIC </w:instrText>
      </w:r>
      <w:r w:rsidR="00FC7DE2">
        <w:fldChar w:fldCharType="separate"/>
      </w:r>
      <w:r w:rsidR="00564E5C">
        <w:rPr>
          <w:noProof/>
        </w:rPr>
        <w:t>16</w:t>
      </w:r>
      <w:r w:rsidR="00FC7DE2">
        <w:rPr>
          <w:noProof/>
        </w:rPr>
        <w:fldChar w:fldCharType="end"/>
      </w:r>
      <w:bookmarkEnd w:id="180"/>
      <w:r>
        <w:rPr>
          <w:lang w:val="en-AU"/>
        </w:rPr>
        <w:t xml:space="preserve"> Histogram of simulation outcomes for cumulative energy demand.</w:t>
      </w:r>
    </w:p>
    <w:p w14:paraId="33F0B1BA" w14:textId="0ECD90C3" w:rsidR="00AE2695" w:rsidRDefault="00AE2695" w:rsidP="007A26F2">
      <w:pPr>
        <w:rPr>
          <w:lang w:eastAsia="x-none"/>
        </w:rPr>
      </w:pPr>
      <w:r>
        <w:rPr>
          <w:lang w:eastAsia="x-none"/>
        </w:rPr>
        <w:t xml:space="preserve">An exact cause for the simulation outcome shown in </w:t>
      </w:r>
      <w:r>
        <w:rPr>
          <w:lang w:eastAsia="x-none"/>
        </w:rPr>
        <w:fldChar w:fldCharType="begin"/>
      </w:r>
      <w:r>
        <w:rPr>
          <w:lang w:eastAsia="x-none"/>
        </w:rPr>
        <w:instrText xml:space="preserve"> REF _Ref360538950 \h </w:instrText>
      </w:r>
      <w:r>
        <w:rPr>
          <w:lang w:eastAsia="x-none"/>
        </w:rPr>
      </w:r>
      <w:r>
        <w:rPr>
          <w:lang w:eastAsia="x-none"/>
        </w:rPr>
        <w:fldChar w:fldCharType="separate"/>
      </w:r>
      <w:r w:rsidR="00564E5C">
        <w:t xml:space="preserve">Figure </w:t>
      </w:r>
      <w:r w:rsidR="00564E5C">
        <w:rPr>
          <w:noProof/>
        </w:rPr>
        <w:t>16</w:t>
      </w:r>
      <w:r>
        <w:rPr>
          <w:lang w:eastAsia="x-none"/>
        </w:rPr>
        <w:fldChar w:fldCharType="end"/>
      </w:r>
      <w:r>
        <w:rPr>
          <w:lang w:eastAsia="x-none"/>
        </w:rPr>
        <w:t xml:space="preserve"> is hard to pin down as it is the cumulative result of many random events. Areas within the study where cumulative energy demand is likely to be sensitive to data uncertainty relate to coal, particularly quantities and qualities of coal used in China to generate a unit of heat output.</w:t>
      </w:r>
      <w:r w:rsidR="000D6AC5">
        <w:rPr>
          <w:lang w:eastAsia="x-none"/>
        </w:rPr>
        <w:t xml:space="preserve"> Energy in biomass, used in paper production is also uncertain.</w:t>
      </w:r>
    </w:p>
    <w:p w14:paraId="65E232D3" w14:textId="7F374D05" w:rsidR="00BC5C43" w:rsidRDefault="00AE2695" w:rsidP="00BC5C43">
      <w:pPr>
        <w:rPr>
          <w:lang w:eastAsia="x-none"/>
        </w:rPr>
      </w:pPr>
      <w:r>
        <w:rPr>
          <w:lang w:eastAsia="x-none"/>
        </w:rPr>
        <w:t>Overall, situations where study</w:t>
      </w:r>
      <w:r w:rsidR="00BC5C43">
        <w:rPr>
          <w:lang w:eastAsia="x-none"/>
        </w:rPr>
        <w:t xml:space="preserve"> directional conclusions alter under the uncertainty analysis were very few, suggesting conclusions are directionally robust.</w:t>
      </w:r>
    </w:p>
    <w:p w14:paraId="247BF743" w14:textId="77777777" w:rsidR="00834360" w:rsidRDefault="00834360">
      <w:pPr>
        <w:widowControl/>
        <w:spacing w:after="0"/>
        <w:jc w:val="left"/>
        <w:rPr>
          <w:rFonts w:eastAsia="Times New Roman" w:cs="Times New Roman"/>
          <w:b/>
          <w:iCs/>
          <w:kern w:val="32"/>
          <w:sz w:val="28"/>
          <w:szCs w:val="28"/>
          <w:lang w:eastAsia="x-none"/>
        </w:rPr>
      </w:pPr>
      <w:r>
        <w:br w:type="page"/>
      </w:r>
    </w:p>
    <w:p w14:paraId="0D49441D" w14:textId="210A556D" w:rsidR="00115C42" w:rsidRDefault="002E3472" w:rsidP="002E3472">
      <w:pPr>
        <w:pStyle w:val="Heading2"/>
        <w:rPr>
          <w:lang w:val="en-AU"/>
        </w:rPr>
      </w:pPr>
      <w:bookmarkStart w:id="181" w:name="_Toc433964565"/>
      <w:r>
        <w:rPr>
          <w:lang w:val="en-AU"/>
        </w:rPr>
        <w:lastRenderedPageBreak/>
        <w:t>Global warming</w:t>
      </w:r>
      <w:bookmarkEnd w:id="181"/>
    </w:p>
    <w:p w14:paraId="0D49441E" w14:textId="3C8417E8" w:rsidR="00726989" w:rsidRDefault="000D6AC5" w:rsidP="00726989">
      <w:pPr>
        <w:rPr>
          <w:lang w:eastAsia="x-none"/>
        </w:rPr>
      </w:pPr>
      <w:r>
        <w:rPr>
          <w:lang w:eastAsia="x-none"/>
        </w:rPr>
        <w:t>A</w:t>
      </w:r>
      <w:r w:rsidR="0047775A">
        <w:rPr>
          <w:lang w:eastAsia="x-none"/>
        </w:rPr>
        <w:t xml:space="preserve">voided </w:t>
      </w:r>
      <w:r w:rsidR="0026200B">
        <w:rPr>
          <w:lang w:eastAsia="x-none"/>
        </w:rPr>
        <w:t>waste disposal</w:t>
      </w:r>
      <w:r w:rsidR="0047775A">
        <w:rPr>
          <w:lang w:eastAsia="x-none"/>
        </w:rPr>
        <w:t xml:space="preserve"> </w:t>
      </w:r>
      <w:r w:rsidR="0026200B">
        <w:rPr>
          <w:lang w:eastAsia="x-none"/>
        </w:rPr>
        <w:t xml:space="preserve">(landfill predominantly) </w:t>
      </w:r>
      <w:r w:rsidR="0047775A">
        <w:rPr>
          <w:lang w:eastAsia="x-none"/>
        </w:rPr>
        <w:t xml:space="preserve">emissions are the largest beneficial contributor to the net global warming benefit of </w:t>
      </w:r>
      <w:r w:rsidR="00834360">
        <w:rPr>
          <w:lang w:eastAsia="x-none"/>
        </w:rPr>
        <w:t>25</w:t>
      </w:r>
      <w:r w:rsidR="0026200B">
        <w:rPr>
          <w:lang w:eastAsia="x-none"/>
        </w:rPr>
        <w:t>0</w:t>
      </w:r>
      <w:r w:rsidR="0047775A">
        <w:rPr>
          <w:lang w:eastAsia="x-none"/>
        </w:rPr>
        <w:t xml:space="preserve"> kg CO2e</w:t>
      </w:r>
      <w:r w:rsidR="00CC44C2">
        <w:rPr>
          <w:lang w:eastAsia="x-none"/>
        </w:rPr>
        <w:t xml:space="preserve"> (</w:t>
      </w:r>
      <w:r w:rsidR="00CC44C2">
        <w:rPr>
          <w:lang w:eastAsia="x-none"/>
        </w:rPr>
        <w:fldChar w:fldCharType="begin"/>
      </w:r>
      <w:r w:rsidR="00CC44C2">
        <w:rPr>
          <w:lang w:eastAsia="x-none"/>
        </w:rPr>
        <w:instrText xml:space="preserve"> REF _Ref358495893 \h </w:instrText>
      </w:r>
      <w:r w:rsidR="00CC44C2">
        <w:rPr>
          <w:lang w:eastAsia="x-none"/>
        </w:rPr>
      </w:r>
      <w:r w:rsidR="00CC44C2">
        <w:rPr>
          <w:lang w:eastAsia="x-none"/>
        </w:rPr>
        <w:fldChar w:fldCharType="separate"/>
      </w:r>
      <w:r w:rsidR="00564E5C">
        <w:t xml:space="preserve">Figure </w:t>
      </w:r>
      <w:r w:rsidR="00564E5C">
        <w:rPr>
          <w:noProof/>
        </w:rPr>
        <w:t>17</w:t>
      </w:r>
      <w:r w:rsidR="00CC44C2">
        <w:rPr>
          <w:lang w:eastAsia="x-none"/>
        </w:rPr>
        <w:fldChar w:fldCharType="end"/>
      </w:r>
      <w:r w:rsidR="00CC44C2">
        <w:rPr>
          <w:lang w:eastAsia="x-none"/>
        </w:rPr>
        <w:t>)</w:t>
      </w:r>
      <w:r w:rsidR="005B58B6">
        <w:rPr>
          <w:lang w:eastAsia="x-none"/>
        </w:rPr>
        <w:t xml:space="preserve"> associated with the Recycling System</w:t>
      </w:r>
      <w:r w:rsidR="0047775A">
        <w:rPr>
          <w:lang w:eastAsia="x-none"/>
        </w:rPr>
        <w:t>.</w:t>
      </w:r>
      <w:r w:rsidR="0026200B">
        <w:rPr>
          <w:lang w:eastAsia="x-none"/>
        </w:rPr>
        <w:t xml:space="preserve"> Disposal</w:t>
      </w:r>
      <w:r w:rsidR="0047775A">
        <w:rPr>
          <w:lang w:eastAsia="x-none"/>
        </w:rPr>
        <w:t xml:space="preserve"> emissions are avoided from garden and green waste (</w:t>
      </w:r>
      <w:r w:rsidR="0026200B">
        <w:rPr>
          <w:lang w:eastAsia="x-none"/>
        </w:rPr>
        <w:t>111</w:t>
      </w:r>
      <w:r w:rsidR="0047775A">
        <w:rPr>
          <w:lang w:eastAsia="x-none"/>
        </w:rPr>
        <w:t xml:space="preserve"> kg CO2e), mixed paper (</w:t>
      </w:r>
      <w:r w:rsidR="0026200B">
        <w:rPr>
          <w:lang w:eastAsia="x-none"/>
        </w:rPr>
        <w:t>124</w:t>
      </w:r>
      <w:r w:rsidR="0047775A">
        <w:rPr>
          <w:lang w:eastAsia="x-none"/>
        </w:rPr>
        <w:t xml:space="preserve"> kg CO2e) and </w:t>
      </w:r>
      <w:r w:rsidR="0026200B">
        <w:rPr>
          <w:lang w:eastAsia="x-none"/>
        </w:rPr>
        <w:t>cardboard</w:t>
      </w:r>
      <w:r w:rsidR="0047775A">
        <w:rPr>
          <w:lang w:eastAsia="x-none"/>
        </w:rPr>
        <w:t xml:space="preserve"> (</w:t>
      </w:r>
      <w:r w:rsidR="0026200B">
        <w:rPr>
          <w:lang w:eastAsia="x-none"/>
        </w:rPr>
        <w:t>47</w:t>
      </w:r>
      <w:r w:rsidR="0047775A">
        <w:rPr>
          <w:lang w:eastAsia="x-none"/>
        </w:rPr>
        <w:t xml:space="preserve"> kg CO2e). These emissions account for </w:t>
      </w:r>
      <w:r w:rsidR="0026200B">
        <w:rPr>
          <w:lang w:eastAsia="x-none"/>
        </w:rPr>
        <w:t>the bulk</w:t>
      </w:r>
      <w:r w:rsidR="0047775A">
        <w:rPr>
          <w:lang w:eastAsia="x-none"/>
        </w:rPr>
        <w:t xml:space="preserve"> of the avoided landfill impact. Reprocessing of paper accounts for </w:t>
      </w:r>
      <w:r w:rsidR="00891BBE">
        <w:rPr>
          <w:lang w:eastAsia="x-none"/>
        </w:rPr>
        <w:t>65</w:t>
      </w:r>
      <w:r w:rsidR="0047775A">
        <w:rPr>
          <w:lang w:eastAsia="x-none"/>
        </w:rPr>
        <w:t xml:space="preserve">% of the combined local and international reprocessing </w:t>
      </w:r>
      <w:r w:rsidR="0047775A" w:rsidRPr="00B2608F">
        <w:rPr>
          <w:lang w:eastAsia="x-none"/>
        </w:rPr>
        <w:t>burden</w:t>
      </w:r>
      <w:r w:rsidR="0026200B">
        <w:rPr>
          <w:lang w:eastAsia="x-none"/>
        </w:rPr>
        <w:t xml:space="preserve">, and garden and green waste accounts for </w:t>
      </w:r>
      <w:r w:rsidR="00891BBE">
        <w:rPr>
          <w:lang w:eastAsia="x-none"/>
        </w:rPr>
        <w:t>13</w:t>
      </w:r>
      <w:r w:rsidR="0026200B">
        <w:rPr>
          <w:lang w:eastAsia="x-none"/>
        </w:rPr>
        <w:t xml:space="preserve">% </w:t>
      </w:r>
      <w:r w:rsidR="00CC44C2" w:rsidRPr="00B2608F">
        <w:rPr>
          <w:lang w:eastAsia="x-none"/>
        </w:rPr>
        <w:t>(</w:t>
      </w:r>
      <w:r w:rsidR="0026200B">
        <w:rPr>
          <w:lang w:eastAsia="x-none"/>
        </w:rPr>
        <w:t xml:space="preserve">from </w:t>
      </w:r>
      <w:r w:rsidR="00CC44C2" w:rsidRPr="00B2608F">
        <w:rPr>
          <w:lang w:eastAsia="x-none"/>
        </w:rPr>
        <w:fldChar w:fldCharType="begin"/>
      </w:r>
      <w:r w:rsidR="00CC44C2" w:rsidRPr="00B2608F">
        <w:rPr>
          <w:lang w:eastAsia="x-none"/>
        </w:rPr>
        <w:instrText xml:space="preserve"> REF _Ref358472354 \h </w:instrText>
      </w:r>
      <w:r w:rsidR="00B2608F">
        <w:rPr>
          <w:lang w:eastAsia="x-none"/>
        </w:rPr>
        <w:instrText xml:space="preserve"> \* MERGEFORMAT </w:instrText>
      </w:r>
      <w:r w:rsidR="00CC44C2" w:rsidRPr="00B2608F">
        <w:rPr>
          <w:lang w:eastAsia="x-none"/>
        </w:rPr>
      </w:r>
      <w:r w:rsidR="00CC44C2" w:rsidRPr="00B2608F">
        <w:rPr>
          <w:lang w:eastAsia="x-none"/>
        </w:rPr>
        <w:fldChar w:fldCharType="separate"/>
      </w:r>
      <w:r w:rsidR="00564E5C">
        <w:t xml:space="preserve">Table </w:t>
      </w:r>
      <w:r w:rsidR="00564E5C">
        <w:rPr>
          <w:noProof/>
        </w:rPr>
        <w:t>57</w:t>
      </w:r>
      <w:r w:rsidR="00CC44C2" w:rsidRPr="00B2608F">
        <w:rPr>
          <w:lang w:eastAsia="x-none"/>
        </w:rPr>
        <w:fldChar w:fldCharType="end"/>
      </w:r>
      <w:r w:rsidR="00CC44C2" w:rsidRPr="00B2608F">
        <w:rPr>
          <w:lang w:eastAsia="x-none"/>
        </w:rPr>
        <w:t>)</w:t>
      </w:r>
      <w:r w:rsidR="0047775A" w:rsidRPr="00B2608F">
        <w:rPr>
          <w:lang w:eastAsia="x-none"/>
        </w:rPr>
        <w:t xml:space="preserve">. </w:t>
      </w:r>
    </w:p>
    <w:p w14:paraId="0D49441F" w14:textId="013ABCB8" w:rsidR="00CC44C2" w:rsidRDefault="0026200B" w:rsidP="00726989">
      <w:pPr>
        <w:rPr>
          <w:lang w:eastAsia="x-none"/>
        </w:rPr>
      </w:pPr>
      <w:r>
        <w:rPr>
          <w:lang w:eastAsia="x-none"/>
        </w:rPr>
        <w:t xml:space="preserve">Moderate </w:t>
      </w:r>
      <w:r w:rsidR="00CC44C2">
        <w:rPr>
          <w:lang w:eastAsia="x-none"/>
        </w:rPr>
        <w:t>reprocessing burdens (</w:t>
      </w:r>
      <w:r w:rsidR="00891BBE">
        <w:rPr>
          <w:lang w:eastAsia="x-none"/>
        </w:rPr>
        <w:t>39</w:t>
      </w:r>
      <w:r w:rsidR="00CC44C2">
        <w:rPr>
          <w:lang w:eastAsia="x-none"/>
        </w:rPr>
        <w:t xml:space="preserve"> kg CO2e) yet large avoided landfill emissions (</w:t>
      </w:r>
      <w:r>
        <w:rPr>
          <w:lang w:eastAsia="x-none"/>
        </w:rPr>
        <w:t>111</w:t>
      </w:r>
      <w:r w:rsidR="00CC44C2">
        <w:rPr>
          <w:lang w:eastAsia="x-none"/>
        </w:rPr>
        <w:t xml:space="preserve"> kg CO2e) </w:t>
      </w:r>
      <w:r w:rsidR="00BB1A1A">
        <w:rPr>
          <w:lang w:eastAsia="x-none"/>
        </w:rPr>
        <w:t>and avoided production emissions (</w:t>
      </w:r>
      <w:r w:rsidR="00891BBE">
        <w:rPr>
          <w:lang w:eastAsia="x-none"/>
        </w:rPr>
        <w:t>12</w:t>
      </w:r>
      <w:r w:rsidR="00BB1A1A">
        <w:rPr>
          <w:lang w:eastAsia="x-none"/>
        </w:rPr>
        <w:t xml:space="preserve"> kg CO2e) </w:t>
      </w:r>
      <w:r w:rsidR="00CC44C2">
        <w:rPr>
          <w:lang w:eastAsia="x-none"/>
        </w:rPr>
        <w:t>make garden and green waste recycling the largest contributor to the overall outcome (</w:t>
      </w:r>
      <w:r w:rsidR="00CC44C2">
        <w:rPr>
          <w:lang w:eastAsia="x-none"/>
        </w:rPr>
        <w:fldChar w:fldCharType="begin"/>
      </w:r>
      <w:r w:rsidR="00CC44C2">
        <w:rPr>
          <w:lang w:eastAsia="x-none"/>
        </w:rPr>
        <w:instrText xml:space="preserve"> REF _Ref358497042 \h </w:instrText>
      </w:r>
      <w:r w:rsidR="00CC44C2">
        <w:rPr>
          <w:lang w:eastAsia="x-none"/>
        </w:rPr>
      </w:r>
      <w:r w:rsidR="00CC44C2">
        <w:rPr>
          <w:lang w:eastAsia="x-none"/>
        </w:rPr>
        <w:fldChar w:fldCharType="separate"/>
      </w:r>
      <w:r w:rsidR="00564E5C">
        <w:t xml:space="preserve">Figure </w:t>
      </w:r>
      <w:r w:rsidR="00564E5C">
        <w:rPr>
          <w:noProof/>
        </w:rPr>
        <w:t>18</w:t>
      </w:r>
      <w:r w:rsidR="00CC44C2">
        <w:rPr>
          <w:lang w:eastAsia="x-none"/>
        </w:rPr>
        <w:fldChar w:fldCharType="end"/>
      </w:r>
      <w:r w:rsidR="00CC44C2">
        <w:rPr>
          <w:lang w:eastAsia="x-none"/>
        </w:rPr>
        <w:t xml:space="preserve">). </w:t>
      </w:r>
    </w:p>
    <w:p w14:paraId="0D494421" w14:textId="3990FA02" w:rsidR="00726989" w:rsidRDefault="00834360" w:rsidP="00CC44C2">
      <w:r>
        <w:rPr>
          <w:noProof/>
        </w:rPr>
        <w:drawing>
          <wp:inline distT="0" distB="0" distL="0" distR="0" wp14:anchorId="09D3FE30" wp14:editId="1AA7293B">
            <wp:extent cx="5731510" cy="2712057"/>
            <wp:effectExtent l="0" t="0" r="254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494422" w14:textId="77777777" w:rsidR="00726989" w:rsidRDefault="00726989" w:rsidP="00726989">
      <w:pPr>
        <w:pStyle w:val="Caption"/>
        <w:rPr>
          <w:lang w:val="en-AU"/>
        </w:rPr>
      </w:pPr>
      <w:bookmarkStart w:id="182" w:name="_Ref358495893"/>
      <w:r>
        <w:t xml:space="preserve">Figure </w:t>
      </w:r>
      <w:r w:rsidR="00FC7DE2">
        <w:fldChar w:fldCharType="begin"/>
      </w:r>
      <w:r w:rsidR="00FC7DE2">
        <w:instrText xml:space="preserve"> SEQ Figure \* ARABIC </w:instrText>
      </w:r>
      <w:r w:rsidR="00FC7DE2">
        <w:fldChar w:fldCharType="separate"/>
      </w:r>
      <w:r w:rsidR="00564E5C">
        <w:rPr>
          <w:noProof/>
        </w:rPr>
        <w:t>17</w:t>
      </w:r>
      <w:r w:rsidR="00FC7DE2">
        <w:rPr>
          <w:noProof/>
        </w:rPr>
        <w:fldChar w:fldCharType="end"/>
      </w:r>
      <w:bookmarkEnd w:id="182"/>
      <w:r>
        <w:rPr>
          <w:lang w:val="en-AU"/>
        </w:rPr>
        <w:t xml:space="preserve"> global warming impact by process (1 functional unit).</w:t>
      </w:r>
    </w:p>
    <w:p w14:paraId="6B942A47" w14:textId="7588BB15" w:rsidR="00BB1A1A" w:rsidRDefault="00D41F22" w:rsidP="00BB1A1A">
      <w:pPr>
        <w:rPr>
          <w:lang w:eastAsia="x-none"/>
        </w:rPr>
      </w:pPr>
      <w:r>
        <w:rPr>
          <w:lang w:eastAsia="x-none"/>
        </w:rPr>
        <w:t xml:space="preserve">From a </w:t>
      </w:r>
      <w:r w:rsidR="00BB1A1A">
        <w:rPr>
          <w:lang w:eastAsia="x-none"/>
        </w:rPr>
        <w:t>global warmin</w:t>
      </w:r>
      <w:r w:rsidR="005B58B6">
        <w:rPr>
          <w:lang w:eastAsia="x-none"/>
        </w:rPr>
        <w:t xml:space="preserve">g standpoint, aluminium is one </w:t>
      </w:r>
      <w:r>
        <w:rPr>
          <w:lang w:eastAsia="x-none"/>
        </w:rPr>
        <w:t xml:space="preserve">of </w:t>
      </w:r>
      <w:r w:rsidR="00BB1A1A">
        <w:rPr>
          <w:lang w:eastAsia="x-none"/>
        </w:rPr>
        <w:t>the most beneficial materials to recycle on a unit mass basis</w:t>
      </w:r>
      <w:r>
        <w:rPr>
          <w:lang w:eastAsia="x-none"/>
        </w:rPr>
        <w:t xml:space="preserve">. For every tonne recovered 17 t CO2e of greenhouse gas emissions are avoided </w:t>
      </w:r>
      <w:r w:rsidR="00BB1A1A">
        <w:rPr>
          <w:lang w:eastAsia="x-none"/>
        </w:rPr>
        <w:t>(</w:t>
      </w:r>
      <w:r w:rsidR="00BB1A1A">
        <w:rPr>
          <w:lang w:eastAsia="x-none"/>
        </w:rPr>
        <w:fldChar w:fldCharType="begin"/>
      </w:r>
      <w:r w:rsidR="00BB1A1A">
        <w:rPr>
          <w:lang w:eastAsia="x-none"/>
        </w:rPr>
        <w:instrText xml:space="preserve"> REF _Ref360533424 \h </w:instrText>
      </w:r>
      <w:r w:rsidR="00BB1A1A">
        <w:rPr>
          <w:lang w:eastAsia="x-none"/>
        </w:rPr>
      </w:r>
      <w:r w:rsidR="00BB1A1A">
        <w:rPr>
          <w:lang w:eastAsia="x-none"/>
        </w:rPr>
        <w:fldChar w:fldCharType="separate"/>
      </w:r>
      <w:r w:rsidR="00564E5C">
        <w:t xml:space="preserve">Table </w:t>
      </w:r>
      <w:r w:rsidR="00564E5C">
        <w:rPr>
          <w:noProof/>
        </w:rPr>
        <w:t>37</w:t>
      </w:r>
      <w:r w:rsidR="00BB1A1A">
        <w:rPr>
          <w:lang w:eastAsia="x-none"/>
        </w:rPr>
        <w:fldChar w:fldCharType="end"/>
      </w:r>
      <w:r w:rsidR="00BB1A1A">
        <w:rPr>
          <w:lang w:eastAsia="x-none"/>
        </w:rPr>
        <w:t>). Although aluminium is recovered in small quantities (3 kg p.a.</w:t>
      </w:r>
      <w:r>
        <w:rPr>
          <w:lang w:eastAsia="x-none"/>
        </w:rPr>
        <w:t xml:space="preserve"> per household</w:t>
      </w:r>
      <w:r w:rsidR="00BB1A1A">
        <w:rPr>
          <w:lang w:eastAsia="x-none"/>
        </w:rPr>
        <w:t>) the material contributes significantly to the global warming benefits of the Recycling System. Other materials, such as glass, paper and garden and green waste are collected in large quantities yet deliver smaller global warming benefits per tonne collected (</w:t>
      </w:r>
      <w:r w:rsidR="00BB1A1A">
        <w:rPr>
          <w:lang w:eastAsia="x-none"/>
        </w:rPr>
        <w:fldChar w:fldCharType="begin"/>
      </w:r>
      <w:r w:rsidR="00BB1A1A">
        <w:rPr>
          <w:lang w:eastAsia="x-none"/>
        </w:rPr>
        <w:instrText xml:space="preserve"> REF _Ref360533424 \h </w:instrText>
      </w:r>
      <w:r w:rsidR="00BB1A1A">
        <w:rPr>
          <w:lang w:eastAsia="x-none"/>
        </w:rPr>
      </w:r>
      <w:r w:rsidR="00BB1A1A">
        <w:rPr>
          <w:lang w:eastAsia="x-none"/>
        </w:rPr>
        <w:fldChar w:fldCharType="separate"/>
      </w:r>
      <w:r w:rsidR="00564E5C">
        <w:t xml:space="preserve">Table </w:t>
      </w:r>
      <w:r w:rsidR="00564E5C">
        <w:rPr>
          <w:noProof/>
        </w:rPr>
        <w:t>37</w:t>
      </w:r>
      <w:r w:rsidR="00BB1A1A">
        <w:rPr>
          <w:lang w:eastAsia="x-none"/>
        </w:rPr>
        <w:fldChar w:fldCharType="end"/>
      </w:r>
      <w:r w:rsidR="00BB1A1A">
        <w:rPr>
          <w:lang w:eastAsia="x-none"/>
        </w:rPr>
        <w:t>). Overall, glass, aluminium, mixed paper and</w:t>
      </w:r>
      <w:r w:rsidR="00660C49">
        <w:rPr>
          <w:lang w:eastAsia="x-none"/>
        </w:rPr>
        <w:t xml:space="preserve"> garden and green waste drive 82</w:t>
      </w:r>
      <w:r w:rsidR="00BB1A1A">
        <w:rPr>
          <w:lang w:eastAsia="x-none"/>
        </w:rPr>
        <w:t>% of the global warming benefits of the Recycling System.</w:t>
      </w:r>
    </w:p>
    <w:p w14:paraId="0D494423" w14:textId="5436BA04" w:rsidR="000F2646" w:rsidRDefault="00891BBE" w:rsidP="000F2646">
      <w:pPr>
        <w:keepNext/>
      </w:pPr>
      <w:r>
        <w:rPr>
          <w:noProof/>
        </w:rPr>
        <w:drawing>
          <wp:inline distT="0" distB="0" distL="0" distR="0" wp14:anchorId="528B1A45" wp14:editId="33C61D3E">
            <wp:extent cx="5731510" cy="2181572"/>
            <wp:effectExtent l="0" t="0" r="254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494424" w14:textId="77777777" w:rsidR="002E3472" w:rsidRDefault="000F2646" w:rsidP="000F2646">
      <w:pPr>
        <w:pStyle w:val="Caption"/>
      </w:pPr>
      <w:bookmarkStart w:id="183" w:name="_Ref358497042"/>
      <w:bookmarkStart w:id="184" w:name="_Ref358497016"/>
      <w:r>
        <w:t xml:space="preserve">Figure </w:t>
      </w:r>
      <w:r w:rsidR="00FC7DE2">
        <w:fldChar w:fldCharType="begin"/>
      </w:r>
      <w:r w:rsidR="00FC7DE2">
        <w:instrText xml:space="preserve"> SEQ Figure \* ARABIC </w:instrText>
      </w:r>
      <w:r w:rsidR="00FC7DE2">
        <w:fldChar w:fldCharType="separate"/>
      </w:r>
      <w:r w:rsidR="00564E5C">
        <w:rPr>
          <w:noProof/>
        </w:rPr>
        <w:t>18</w:t>
      </w:r>
      <w:r w:rsidR="00FC7DE2">
        <w:rPr>
          <w:noProof/>
        </w:rPr>
        <w:fldChar w:fldCharType="end"/>
      </w:r>
      <w:bookmarkEnd w:id="183"/>
      <w:r>
        <w:rPr>
          <w:lang w:val="en-AU"/>
        </w:rPr>
        <w:t xml:space="preserve"> </w:t>
      </w:r>
      <w:r w:rsidRPr="00B6530D">
        <w:rPr>
          <w:lang w:val="en-AU"/>
        </w:rPr>
        <w:t>Global warming impact by material</w:t>
      </w:r>
      <w:r w:rsidR="00726989">
        <w:rPr>
          <w:lang w:val="en-AU"/>
        </w:rPr>
        <w:t xml:space="preserve"> (1 functional unit)</w:t>
      </w:r>
      <w:r w:rsidRPr="00B6530D">
        <w:rPr>
          <w:lang w:val="en-AU"/>
        </w:rPr>
        <w:t>.</w:t>
      </w:r>
      <w:bookmarkEnd w:id="184"/>
    </w:p>
    <w:p w14:paraId="0D494425" w14:textId="77777777" w:rsidR="00602C02" w:rsidRDefault="00602C02" w:rsidP="002E3472">
      <w:pPr>
        <w:rPr>
          <w:lang w:eastAsia="x-none"/>
        </w:rPr>
      </w:pPr>
    </w:p>
    <w:p w14:paraId="0D494426" w14:textId="77777777" w:rsidR="00EA55CB" w:rsidRDefault="00EA55CB" w:rsidP="00EA55CB">
      <w:pPr>
        <w:pStyle w:val="Heading2"/>
        <w:rPr>
          <w:lang w:val="en-AU"/>
        </w:rPr>
      </w:pPr>
      <w:bookmarkStart w:id="185" w:name="_Toc433964566"/>
      <w:r>
        <w:rPr>
          <w:lang w:val="en-AU"/>
        </w:rPr>
        <w:t>Eutrophication</w:t>
      </w:r>
      <w:bookmarkEnd w:id="185"/>
    </w:p>
    <w:p w14:paraId="0D494427" w14:textId="1ADA4BB3" w:rsidR="00726989" w:rsidRDefault="00471E82" w:rsidP="00726989">
      <w:pPr>
        <w:rPr>
          <w:lang w:eastAsia="x-none"/>
        </w:rPr>
      </w:pPr>
      <w:r>
        <w:rPr>
          <w:lang w:eastAsia="x-none"/>
        </w:rPr>
        <w:t>The e</w:t>
      </w:r>
      <w:r w:rsidR="004D49DF">
        <w:rPr>
          <w:lang w:eastAsia="x-none"/>
        </w:rPr>
        <w:t xml:space="preserve">utrophication </w:t>
      </w:r>
      <w:r w:rsidR="00BB1A1A">
        <w:rPr>
          <w:lang w:eastAsia="x-none"/>
        </w:rPr>
        <w:t xml:space="preserve">benefit </w:t>
      </w:r>
      <w:r w:rsidR="00D41F22">
        <w:rPr>
          <w:lang w:eastAsia="x-none"/>
        </w:rPr>
        <w:t xml:space="preserve">of the Recycling System </w:t>
      </w:r>
      <w:r w:rsidR="00660C49">
        <w:rPr>
          <w:lang w:eastAsia="x-none"/>
        </w:rPr>
        <w:t>of 0.38</w:t>
      </w:r>
      <w:r>
        <w:rPr>
          <w:lang w:eastAsia="x-none"/>
        </w:rPr>
        <w:t xml:space="preserve"> kg PO4</w:t>
      </w:r>
      <w:r w:rsidR="00D41F22">
        <w:rPr>
          <w:lang w:eastAsia="x-none"/>
        </w:rPr>
        <w:t>---eq.</w:t>
      </w:r>
      <w:r>
        <w:rPr>
          <w:lang w:eastAsia="x-none"/>
        </w:rPr>
        <w:t xml:space="preserve"> </w:t>
      </w:r>
      <w:r w:rsidR="004D49DF">
        <w:rPr>
          <w:lang w:eastAsia="x-none"/>
        </w:rPr>
        <w:t xml:space="preserve">is largely driven by the avoidance of </w:t>
      </w:r>
      <w:r w:rsidR="00BB1A1A">
        <w:rPr>
          <w:lang w:eastAsia="x-none"/>
        </w:rPr>
        <w:t xml:space="preserve">waste disposal (predominantly </w:t>
      </w:r>
      <w:r w:rsidR="00D41F22">
        <w:rPr>
          <w:lang w:eastAsia="x-none"/>
        </w:rPr>
        <w:t xml:space="preserve">to </w:t>
      </w:r>
      <w:r w:rsidR="00BB1A1A">
        <w:rPr>
          <w:lang w:eastAsia="x-none"/>
        </w:rPr>
        <w:t>landfill)</w:t>
      </w:r>
      <w:r>
        <w:rPr>
          <w:lang w:eastAsia="x-none"/>
        </w:rPr>
        <w:t xml:space="preserve"> (</w:t>
      </w:r>
      <w:r w:rsidR="00BB1A1A">
        <w:rPr>
          <w:lang w:eastAsia="x-none"/>
        </w:rPr>
        <w:fldChar w:fldCharType="begin"/>
      </w:r>
      <w:r w:rsidR="00BB1A1A">
        <w:rPr>
          <w:lang w:eastAsia="x-none"/>
        </w:rPr>
        <w:instrText xml:space="preserve"> REF _Ref360542275 \h </w:instrText>
      </w:r>
      <w:r w:rsidR="00BB1A1A">
        <w:rPr>
          <w:lang w:eastAsia="x-none"/>
        </w:rPr>
      </w:r>
      <w:r w:rsidR="00BB1A1A">
        <w:rPr>
          <w:lang w:eastAsia="x-none"/>
        </w:rPr>
        <w:fldChar w:fldCharType="separate"/>
      </w:r>
      <w:r w:rsidR="00564E5C">
        <w:t xml:space="preserve">Figure </w:t>
      </w:r>
      <w:r w:rsidR="00564E5C">
        <w:rPr>
          <w:noProof/>
        </w:rPr>
        <w:t>19</w:t>
      </w:r>
      <w:r w:rsidR="00BB1A1A">
        <w:rPr>
          <w:lang w:eastAsia="x-none"/>
        </w:rPr>
        <w:fldChar w:fldCharType="end"/>
      </w:r>
      <w:r>
        <w:rPr>
          <w:lang w:eastAsia="x-none"/>
        </w:rPr>
        <w:t>)</w:t>
      </w:r>
      <w:r w:rsidR="004D49DF">
        <w:rPr>
          <w:lang w:eastAsia="x-none"/>
        </w:rPr>
        <w:t xml:space="preserve">. Within the landfill, </w:t>
      </w:r>
      <w:r>
        <w:rPr>
          <w:lang w:eastAsia="x-none"/>
        </w:rPr>
        <w:t xml:space="preserve">the </w:t>
      </w:r>
      <w:r w:rsidR="004D49DF">
        <w:rPr>
          <w:lang w:eastAsia="x-none"/>
        </w:rPr>
        <w:t>disposal of paper causes the largest eutrophication impacts due to the emission of nitrates and phosphates to landfill leachate</w:t>
      </w:r>
      <w:r w:rsidR="00BB1A1A">
        <w:rPr>
          <w:lang w:eastAsia="x-none"/>
        </w:rPr>
        <w:t xml:space="preserve"> (0.3</w:t>
      </w:r>
      <w:r w:rsidR="00777348">
        <w:rPr>
          <w:lang w:eastAsia="x-none"/>
        </w:rPr>
        <w:t xml:space="preserve"> kg PO4</w:t>
      </w:r>
      <w:r w:rsidR="00D41F22">
        <w:rPr>
          <w:lang w:eastAsia="x-none"/>
        </w:rPr>
        <w:t>---eq.</w:t>
      </w:r>
      <w:r w:rsidR="00777348">
        <w:rPr>
          <w:lang w:eastAsia="x-none"/>
        </w:rPr>
        <w:t>)</w:t>
      </w:r>
      <w:r w:rsidR="004D49DF">
        <w:rPr>
          <w:lang w:eastAsia="x-none"/>
        </w:rPr>
        <w:t xml:space="preserve">. </w:t>
      </w:r>
      <w:r w:rsidR="00D41F22">
        <w:rPr>
          <w:lang w:eastAsia="x-none"/>
        </w:rPr>
        <w:t>Although, l</w:t>
      </w:r>
      <w:r w:rsidR="004D49DF">
        <w:rPr>
          <w:lang w:eastAsia="x-none"/>
        </w:rPr>
        <w:t xml:space="preserve">eachate from the landfill passes through a treatment process, a portion of the phosphates and nitrates are </w:t>
      </w:r>
      <w:r>
        <w:rPr>
          <w:lang w:eastAsia="x-none"/>
        </w:rPr>
        <w:t>emitted to the environment as the paper degrades.</w:t>
      </w:r>
      <w:r w:rsidR="00940B82">
        <w:rPr>
          <w:lang w:eastAsia="x-none"/>
        </w:rPr>
        <w:t xml:space="preserve"> As this outcome is based on modelled results </w:t>
      </w:r>
      <w:r w:rsidR="004B1F75">
        <w:rPr>
          <w:lang w:eastAsia="x-none"/>
        </w:rPr>
        <w:fldChar w:fldCharType="begin"/>
      </w:r>
      <w:r w:rsidR="00F40CE2">
        <w:rPr>
          <w:lang w:eastAsia="x-none"/>
        </w:rPr>
        <w:instrText xml:space="preserve"> ADDIN EN.CITE &lt;EndNote&gt;&lt;Cite&gt;&lt;Author&gt;Doka&lt;/Author&gt;&lt;Year&gt;2009&lt;/Year&gt;&lt;RecNum&gt;577&lt;/RecNum&gt;&lt;DisplayText&gt;(Doka, 2009)&lt;/DisplayText&gt;&lt;record&gt;&lt;rec-number&gt;577&lt;/rec-number&gt;&lt;foreign-keys&gt;&lt;key app="EN" db-id="tfpv5staxsvs2nexzpp5taewzsvpx0er5fap"&gt;577&lt;/key&gt;&lt;/foreign-keys&gt;&lt;ref-type name="Report"&gt;27&lt;/ref-type&gt;&lt;contributors&gt;&lt;authors&gt;&lt;author&gt;Gabor Doka&lt;/author&gt;&lt;/authors&gt;&lt;/contributors&gt;&lt;titles&gt;&lt;title&gt;Life Cycle Inventories of Waste Treatment Services - Part II Landfills, Underground Deposits, Landfarming&lt;/title&gt;&lt;secondary-title&gt;Ecoinvent report number 13&lt;/secondary-title&gt;&lt;/titles&gt;&lt;dates&gt;&lt;year&gt;2009&lt;/year&gt;&lt;/dates&gt;&lt;publisher&gt;Swiss Centre for Life Cycle Inventories&lt;/publisher&gt;&lt;urls&gt;&lt;/urls&gt;&lt;/record&gt;&lt;/Cite&gt;&lt;/EndNote&gt;</w:instrText>
      </w:r>
      <w:r w:rsidR="004B1F75">
        <w:rPr>
          <w:lang w:eastAsia="x-none"/>
        </w:rPr>
        <w:fldChar w:fldCharType="separate"/>
      </w:r>
      <w:r w:rsidR="00F40CE2">
        <w:rPr>
          <w:noProof/>
          <w:lang w:eastAsia="x-none"/>
        </w:rPr>
        <w:t>(</w:t>
      </w:r>
      <w:hyperlink w:anchor="_ENREF_18" w:tooltip="Doka, 2009 #577" w:history="1">
        <w:r w:rsidR="00F40CE2">
          <w:rPr>
            <w:noProof/>
            <w:lang w:eastAsia="x-none"/>
          </w:rPr>
          <w:t>Doka, 2009</w:t>
        </w:r>
      </w:hyperlink>
      <w:r w:rsidR="00F40CE2">
        <w:rPr>
          <w:noProof/>
          <w:lang w:eastAsia="x-none"/>
        </w:rPr>
        <w:t>)</w:t>
      </w:r>
      <w:r w:rsidR="004B1F75">
        <w:rPr>
          <w:lang w:eastAsia="x-none"/>
        </w:rPr>
        <w:fldChar w:fldCharType="end"/>
      </w:r>
      <w:r w:rsidR="00940B82">
        <w:rPr>
          <w:lang w:eastAsia="x-none"/>
        </w:rPr>
        <w:t>, it is highly uncertain, so must be interpreted with care.</w:t>
      </w:r>
    </w:p>
    <w:p w14:paraId="0D494428" w14:textId="28C69C7E" w:rsidR="004E5744" w:rsidRDefault="00471E82" w:rsidP="00726989">
      <w:pPr>
        <w:rPr>
          <w:lang w:eastAsia="x-none"/>
        </w:rPr>
      </w:pPr>
      <w:r>
        <w:rPr>
          <w:lang w:eastAsia="x-none"/>
        </w:rPr>
        <w:t>Eutrophication impacts associated with reprocessing and the avoided impacts associated with production are primarily driven by atmospheric emissions of nitrogen oxides. These nitrogen oxide emissions (NO</w:t>
      </w:r>
      <w:r w:rsidRPr="00471E82">
        <w:rPr>
          <w:vertAlign w:val="subscript"/>
          <w:lang w:eastAsia="x-none"/>
        </w:rPr>
        <w:t>x</w:t>
      </w:r>
      <w:r>
        <w:rPr>
          <w:lang w:eastAsia="x-none"/>
        </w:rPr>
        <w:t>) occur during combustion of fuels in internal combustion engines so are linked to transport in many cases. The connection between environmental eutrophication outcomes and nitrogen oxide emissions in Au</w:t>
      </w:r>
      <w:r w:rsidR="00940B82">
        <w:rPr>
          <w:lang w:eastAsia="x-none"/>
        </w:rPr>
        <w:t xml:space="preserve">stralia is not straightforward </w:t>
      </w:r>
      <w:r w:rsidR="004B1F75">
        <w:rPr>
          <w:lang w:eastAsia="x-none"/>
        </w:rPr>
        <w:fldChar w:fldCharType="begin"/>
      </w:r>
      <w:r w:rsidR="00F40CE2">
        <w:rPr>
          <w:lang w:eastAsia="x-none"/>
        </w:rPr>
        <w:instrText xml:space="preserve"> ADDIN EN.CITE &lt;EndNote&gt;&lt;Cite&gt;&lt;Author&gt;Grant&lt;/Author&gt;&lt;Year&gt;2008&lt;/Year&gt;&lt;RecNum&gt;277&lt;/RecNum&gt;&lt;DisplayText&gt;(Grant and Peters, 2008)&lt;/DisplayText&gt;&lt;record&gt;&lt;rec-number&gt;277&lt;/rec-number&gt;&lt;foreign-keys&gt;&lt;key app="EN" db-id="tfpv5staxsvs2nexzpp5taewzsvpx0er5fap"&gt;277&lt;/key&gt;&lt;/foreign-keys&gt;&lt;ref-type name="Unpublished Work"&gt;34&lt;/ref-type&gt;&lt;contributors&gt;&lt;authors&gt;&lt;author&gt;Grant, T.&lt;/author&gt;&lt;author&gt;Peters, G.&lt;/author&gt;&lt;/authors&gt;&lt;/contributors&gt;&lt;titles&gt;&lt;title&gt;Best Practice Guide to Life Cycle Assessment in Australia&lt;/title&gt;&lt;/titles&gt;&lt;number&gt;Draft V3&lt;/number&gt;&lt;dates&gt;&lt;year&gt;2008&lt;/year&gt;&lt;/dates&gt;&lt;publisher&gt;Australian Life Cycle Assessment Society&lt;/publisher&gt;&lt;urls&gt;&lt;/urls&gt;&lt;/record&gt;&lt;/Cite&gt;&lt;/EndNote&gt;</w:instrText>
      </w:r>
      <w:r w:rsidR="004B1F75">
        <w:rPr>
          <w:lang w:eastAsia="x-none"/>
        </w:rPr>
        <w:fldChar w:fldCharType="separate"/>
      </w:r>
      <w:r w:rsidR="00F40CE2">
        <w:rPr>
          <w:noProof/>
          <w:lang w:eastAsia="x-none"/>
        </w:rPr>
        <w:t>(</w:t>
      </w:r>
      <w:hyperlink w:anchor="_ENREF_39" w:tooltip="Grant, 2008 #14" w:history="1">
        <w:r w:rsidR="00F40CE2">
          <w:rPr>
            <w:noProof/>
            <w:lang w:eastAsia="x-none"/>
          </w:rPr>
          <w:t>Grant and Peters, 2008</w:t>
        </w:r>
      </w:hyperlink>
      <w:r w:rsidR="00F40CE2">
        <w:rPr>
          <w:noProof/>
          <w:lang w:eastAsia="x-none"/>
        </w:rPr>
        <w:t>)</w:t>
      </w:r>
      <w:r w:rsidR="004B1F75">
        <w:rPr>
          <w:lang w:eastAsia="x-none"/>
        </w:rPr>
        <w:fldChar w:fldCharType="end"/>
      </w:r>
      <w:r>
        <w:rPr>
          <w:lang w:eastAsia="x-none"/>
        </w:rPr>
        <w:t>, and may be overestimated by the impact assessment model employed. As the impact of this form of eutrophication is evenly balanced between recyclate reprocessing and avoided production, any overstatement of impact is likely to minimal.</w:t>
      </w:r>
    </w:p>
    <w:p w14:paraId="0D494429" w14:textId="7B6ECE79" w:rsidR="00777348" w:rsidRDefault="00777348" w:rsidP="00726989">
      <w:pPr>
        <w:rPr>
          <w:lang w:eastAsia="x-none"/>
        </w:rPr>
      </w:pPr>
      <w:r>
        <w:rPr>
          <w:lang w:eastAsia="x-none"/>
        </w:rPr>
        <w:t>From a materials standpoint, the recycling of paper generates the largest eutropication benefit (</w:t>
      </w:r>
      <w:r w:rsidR="004B1F75">
        <w:rPr>
          <w:lang w:eastAsia="x-none"/>
        </w:rPr>
        <w:fldChar w:fldCharType="begin"/>
      </w:r>
      <w:r w:rsidR="004B1F75">
        <w:rPr>
          <w:lang w:eastAsia="x-none"/>
        </w:rPr>
        <w:instrText xml:space="preserve"> REF _Ref360542688 \h </w:instrText>
      </w:r>
      <w:r w:rsidR="004B1F75">
        <w:rPr>
          <w:lang w:eastAsia="x-none"/>
        </w:rPr>
      </w:r>
      <w:r w:rsidR="004B1F75">
        <w:rPr>
          <w:lang w:eastAsia="x-none"/>
        </w:rPr>
        <w:fldChar w:fldCharType="separate"/>
      </w:r>
      <w:r w:rsidR="00564E5C">
        <w:t xml:space="preserve">Figure </w:t>
      </w:r>
      <w:r w:rsidR="00564E5C">
        <w:rPr>
          <w:noProof/>
        </w:rPr>
        <w:t>20</w:t>
      </w:r>
      <w:r w:rsidR="004B1F75">
        <w:rPr>
          <w:lang w:eastAsia="x-none"/>
        </w:rPr>
        <w:fldChar w:fldCharType="end"/>
      </w:r>
      <w:r>
        <w:rPr>
          <w:lang w:eastAsia="x-none"/>
        </w:rPr>
        <w:t xml:space="preserve">) followed by garden and green waste. </w:t>
      </w:r>
    </w:p>
    <w:p w14:paraId="0D49442A" w14:textId="28D3600E" w:rsidR="00726989" w:rsidRDefault="00660C49" w:rsidP="00726989">
      <w:pPr>
        <w:keepNext/>
      </w:pPr>
      <w:r>
        <w:rPr>
          <w:noProof/>
        </w:rPr>
        <w:drawing>
          <wp:inline distT="0" distB="0" distL="0" distR="0" wp14:anchorId="5018D28D" wp14:editId="5F53F7E2">
            <wp:extent cx="5731510" cy="2735326"/>
            <wp:effectExtent l="0" t="0" r="2540" b="825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D49442B" w14:textId="77777777" w:rsidR="00726989" w:rsidRDefault="00726989" w:rsidP="00726989">
      <w:pPr>
        <w:pStyle w:val="Caption"/>
      </w:pPr>
      <w:bookmarkStart w:id="186" w:name="_Ref360542275"/>
      <w:r>
        <w:t xml:space="preserve">Figure </w:t>
      </w:r>
      <w:r w:rsidR="00FC7DE2">
        <w:fldChar w:fldCharType="begin"/>
      </w:r>
      <w:r w:rsidR="00FC7DE2">
        <w:instrText xml:space="preserve"> SEQ Figure \* ARABIC </w:instrText>
      </w:r>
      <w:r w:rsidR="00FC7DE2">
        <w:fldChar w:fldCharType="separate"/>
      </w:r>
      <w:r w:rsidR="00564E5C">
        <w:rPr>
          <w:noProof/>
        </w:rPr>
        <w:t>19</w:t>
      </w:r>
      <w:r w:rsidR="00FC7DE2">
        <w:rPr>
          <w:noProof/>
        </w:rPr>
        <w:fldChar w:fldCharType="end"/>
      </w:r>
      <w:bookmarkEnd w:id="186"/>
      <w:r>
        <w:rPr>
          <w:lang w:val="en-AU"/>
        </w:rPr>
        <w:t xml:space="preserve"> Eutrophication impact by process (1 functional unit).</w:t>
      </w:r>
    </w:p>
    <w:p w14:paraId="0D49442C" w14:textId="77777777" w:rsidR="00726989" w:rsidRPr="00726989" w:rsidRDefault="00726989" w:rsidP="00726989">
      <w:pPr>
        <w:rPr>
          <w:lang w:eastAsia="x-none"/>
        </w:rPr>
      </w:pPr>
    </w:p>
    <w:p w14:paraId="0D49442D" w14:textId="1789E806" w:rsidR="000F2646" w:rsidRDefault="00660C49" w:rsidP="000F2646">
      <w:pPr>
        <w:keepNext/>
      </w:pPr>
      <w:r>
        <w:rPr>
          <w:noProof/>
        </w:rPr>
        <w:lastRenderedPageBreak/>
        <w:drawing>
          <wp:inline distT="0" distB="0" distL="0" distR="0" wp14:anchorId="2096E148" wp14:editId="74F2EF00">
            <wp:extent cx="5731510" cy="2181572"/>
            <wp:effectExtent l="0" t="0" r="254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49442E" w14:textId="77777777" w:rsidR="000F2646" w:rsidRDefault="000F2646" w:rsidP="000F2646">
      <w:pPr>
        <w:pStyle w:val="Caption"/>
      </w:pPr>
      <w:bookmarkStart w:id="187" w:name="_Ref360542688"/>
      <w:r>
        <w:t xml:space="preserve">Figure </w:t>
      </w:r>
      <w:r w:rsidR="00FC7DE2">
        <w:fldChar w:fldCharType="begin"/>
      </w:r>
      <w:r w:rsidR="00FC7DE2">
        <w:instrText xml:space="preserve"> SEQ Figure \* ARABIC </w:instrText>
      </w:r>
      <w:r w:rsidR="00FC7DE2">
        <w:fldChar w:fldCharType="separate"/>
      </w:r>
      <w:r w:rsidR="00564E5C">
        <w:rPr>
          <w:noProof/>
        </w:rPr>
        <w:t>20</w:t>
      </w:r>
      <w:r w:rsidR="00FC7DE2">
        <w:rPr>
          <w:noProof/>
        </w:rPr>
        <w:fldChar w:fldCharType="end"/>
      </w:r>
      <w:bookmarkEnd w:id="187"/>
      <w:r>
        <w:rPr>
          <w:lang w:val="en-AU"/>
        </w:rPr>
        <w:t xml:space="preserve"> Eutrophication impact by material</w:t>
      </w:r>
      <w:r w:rsidR="00726989">
        <w:rPr>
          <w:lang w:val="en-AU"/>
        </w:rPr>
        <w:t xml:space="preserve"> (1 functional unit)</w:t>
      </w:r>
      <w:r>
        <w:rPr>
          <w:lang w:val="en-AU"/>
        </w:rPr>
        <w:t>.</w:t>
      </w:r>
    </w:p>
    <w:p w14:paraId="0D49442F" w14:textId="77777777" w:rsidR="000F2646" w:rsidRDefault="000F2646" w:rsidP="000F2646">
      <w:pPr>
        <w:rPr>
          <w:lang w:eastAsia="x-none"/>
        </w:rPr>
      </w:pPr>
    </w:p>
    <w:p w14:paraId="0D494430" w14:textId="77777777" w:rsidR="00EA55CB" w:rsidRDefault="00EA55CB" w:rsidP="00EA55CB">
      <w:pPr>
        <w:pStyle w:val="Heading2"/>
        <w:rPr>
          <w:lang w:val="en-AU"/>
        </w:rPr>
      </w:pPr>
      <w:bookmarkStart w:id="188" w:name="_Toc433964567"/>
      <w:r>
        <w:rPr>
          <w:lang w:val="en-AU"/>
        </w:rPr>
        <w:t>Photochemical Oxidation</w:t>
      </w:r>
      <w:bookmarkEnd w:id="188"/>
    </w:p>
    <w:p w14:paraId="21BDFD1B" w14:textId="5B931DFD" w:rsidR="00EF4D4C" w:rsidRDefault="00241C32" w:rsidP="00726989">
      <w:pPr>
        <w:rPr>
          <w:lang w:eastAsia="x-none"/>
        </w:rPr>
      </w:pPr>
      <w:r>
        <w:rPr>
          <w:lang w:eastAsia="x-none"/>
        </w:rPr>
        <w:t>In this study, p</w:t>
      </w:r>
      <w:r w:rsidR="009C20CF">
        <w:rPr>
          <w:lang w:eastAsia="x-none"/>
        </w:rPr>
        <w:t xml:space="preserve">hotochemical oxidation (smog) is </w:t>
      </w:r>
      <w:r w:rsidR="004B1F75">
        <w:rPr>
          <w:lang w:eastAsia="x-none"/>
        </w:rPr>
        <w:t>mainly</w:t>
      </w:r>
      <w:r w:rsidR="009C20CF">
        <w:rPr>
          <w:lang w:eastAsia="x-none"/>
        </w:rPr>
        <w:t xml:space="preserve"> caused by </w:t>
      </w:r>
      <w:r w:rsidR="0093716A">
        <w:rPr>
          <w:lang w:eastAsia="x-none"/>
        </w:rPr>
        <w:t xml:space="preserve">the emission </w:t>
      </w:r>
      <w:r w:rsidR="00F15EEC">
        <w:rPr>
          <w:lang w:eastAsia="x-none"/>
        </w:rPr>
        <w:t>of nitrogen oxides</w:t>
      </w:r>
      <w:r>
        <w:rPr>
          <w:lang w:eastAsia="x-none"/>
        </w:rPr>
        <w:t xml:space="preserve">, </w:t>
      </w:r>
      <w:r w:rsidR="006C564F">
        <w:rPr>
          <w:lang w:eastAsia="x-none"/>
        </w:rPr>
        <w:t xml:space="preserve">Non Methanic </w:t>
      </w:r>
      <w:r w:rsidR="009C20CF">
        <w:rPr>
          <w:lang w:eastAsia="x-none"/>
        </w:rPr>
        <w:t>Volatile Organic Compound</w:t>
      </w:r>
      <w:r w:rsidR="00F15EEC">
        <w:rPr>
          <w:lang w:eastAsia="x-none"/>
        </w:rPr>
        <w:t>s</w:t>
      </w:r>
      <w:r w:rsidR="009C20CF">
        <w:rPr>
          <w:lang w:eastAsia="x-none"/>
        </w:rPr>
        <w:t xml:space="preserve"> (</w:t>
      </w:r>
      <w:r w:rsidR="006C564F">
        <w:rPr>
          <w:lang w:eastAsia="x-none"/>
        </w:rPr>
        <w:t>NM</w:t>
      </w:r>
      <w:r w:rsidR="009C20CF">
        <w:rPr>
          <w:lang w:eastAsia="x-none"/>
        </w:rPr>
        <w:t>VOC</w:t>
      </w:r>
      <w:r w:rsidR="00F15EEC">
        <w:rPr>
          <w:lang w:eastAsia="x-none"/>
        </w:rPr>
        <w:t>s</w:t>
      </w:r>
      <w:r w:rsidR="009C20CF">
        <w:rPr>
          <w:lang w:eastAsia="x-none"/>
        </w:rPr>
        <w:t xml:space="preserve">) </w:t>
      </w:r>
      <w:r w:rsidR="006C564F">
        <w:rPr>
          <w:lang w:eastAsia="x-none"/>
        </w:rPr>
        <w:t xml:space="preserve">and carbon monoxide </w:t>
      </w:r>
      <w:r w:rsidR="009C20CF">
        <w:rPr>
          <w:lang w:eastAsia="x-none"/>
        </w:rPr>
        <w:t>emissions</w:t>
      </w:r>
      <w:r w:rsidR="006C564F">
        <w:rPr>
          <w:lang w:eastAsia="x-none"/>
        </w:rPr>
        <w:t xml:space="preserve"> (together </w:t>
      </w:r>
      <w:r w:rsidR="00660C49">
        <w:rPr>
          <w:lang w:eastAsia="x-none"/>
        </w:rPr>
        <w:t>approximately 90</w:t>
      </w:r>
      <w:r w:rsidR="006C564F">
        <w:rPr>
          <w:lang w:eastAsia="x-none"/>
        </w:rPr>
        <w:t>% of total impact)</w:t>
      </w:r>
      <w:r w:rsidR="009C20CF">
        <w:rPr>
          <w:lang w:eastAsia="x-none"/>
        </w:rPr>
        <w:t xml:space="preserve">. </w:t>
      </w:r>
      <w:r w:rsidR="00EF4D4C">
        <w:rPr>
          <w:lang w:eastAsia="x-none"/>
        </w:rPr>
        <w:t xml:space="preserve">Photochemical oxidation is caused by material reprocessing processes </w:t>
      </w:r>
      <w:r w:rsidR="00F47716">
        <w:rPr>
          <w:lang w:eastAsia="x-none"/>
        </w:rPr>
        <w:t>within</w:t>
      </w:r>
      <w:r w:rsidR="00EF4D4C">
        <w:rPr>
          <w:lang w:eastAsia="x-none"/>
        </w:rPr>
        <w:t xml:space="preserve"> </w:t>
      </w:r>
      <w:r w:rsidR="00EF4D4C" w:rsidRPr="007C164A">
        <w:rPr>
          <w:lang w:eastAsia="x-none"/>
        </w:rPr>
        <w:t>the Recycling System and material manufacturing processes under the Alternative System, in roughly even</w:t>
      </w:r>
      <w:r w:rsidR="00F15EEC" w:rsidRPr="007C164A">
        <w:rPr>
          <w:lang w:eastAsia="x-none"/>
        </w:rPr>
        <w:t>, offsetting</w:t>
      </w:r>
      <w:r w:rsidR="00EF4D4C" w:rsidRPr="007C164A">
        <w:rPr>
          <w:lang w:eastAsia="x-none"/>
        </w:rPr>
        <w:t xml:space="preserve"> quantities (</w:t>
      </w:r>
      <w:r w:rsidR="00EF4D4C" w:rsidRPr="007C164A">
        <w:rPr>
          <w:lang w:eastAsia="x-none"/>
        </w:rPr>
        <w:fldChar w:fldCharType="begin"/>
      </w:r>
      <w:r w:rsidR="00EF4D4C" w:rsidRPr="007C164A">
        <w:rPr>
          <w:lang w:eastAsia="x-none"/>
        </w:rPr>
        <w:instrText xml:space="preserve"> REF _Ref358575010 \h </w:instrText>
      </w:r>
      <w:r w:rsidR="007C164A" w:rsidRPr="007C164A">
        <w:rPr>
          <w:lang w:eastAsia="x-none"/>
        </w:rPr>
        <w:instrText xml:space="preserve"> \* MERGEFORMAT </w:instrText>
      </w:r>
      <w:r w:rsidR="00EF4D4C" w:rsidRPr="007C164A">
        <w:rPr>
          <w:lang w:eastAsia="x-none"/>
        </w:rPr>
      </w:r>
      <w:r w:rsidR="00EF4D4C" w:rsidRPr="007C164A">
        <w:rPr>
          <w:lang w:eastAsia="x-none"/>
        </w:rPr>
        <w:fldChar w:fldCharType="separate"/>
      </w:r>
      <w:r w:rsidR="00564E5C">
        <w:t xml:space="preserve">Figure </w:t>
      </w:r>
      <w:r w:rsidR="00564E5C">
        <w:rPr>
          <w:noProof/>
        </w:rPr>
        <w:t>21</w:t>
      </w:r>
      <w:r w:rsidR="00EF4D4C" w:rsidRPr="007C164A">
        <w:rPr>
          <w:lang w:eastAsia="x-none"/>
        </w:rPr>
        <w:fldChar w:fldCharType="end"/>
      </w:r>
      <w:r w:rsidR="00EF4D4C" w:rsidRPr="007C164A">
        <w:rPr>
          <w:lang w:eastAsia="x-none"/>
        </w:rPr>
        <w:t xml:space="preserve">). The </w:t>
      </w:r>
      <w:r w:rsidR="0093716A" w:rsidRPr="007C164A">
        <w:rPr>
          <w:lang w:eastAsia="x-none"/>
        </w:rPr>
        <w:t>benefit of recycling</w:t>
      </w:r>
      <w:r w:rsidR="00EF4D4C" w:rsidRPr="007C164A">
        <w:rPr>
          <w:lang w:eastAsia="x-none"/>
        </w:rPr>
        <w:t xml:space="preserve"> is therefore driven by </w:t>
      </w:r>
      <w:r w:rsidR="003D41E9" w:rsidRPr="007C164A">
        <w:rPr>
          <w:lang w:eastAsia="x-none"/>
        </w:rPr>
        <w:t>a</w:t>
      </w:r>
      <w:r w:rsidR="00F15EEC" w:rsidRPr="007C164A">
        <w:rPr>
          <w:lang w:eastAsia="x-none"/>
        </w:rPr>
        <w:t xml:space="preserve">voided emissions </w:t>
      </w:r>
      <w:r w:rsidR="003D41E9" w:rsidRPr="007C164A">
        <w:rPr>
          <w:lang w:eastAsia="x-none"/>
        </w:rPr>
        <w:t xml:space="preserve">caused by the </w:t>
      </w:r>
      <w:r w:rsidR="006C564F" w:rsidRPr="007C164A">
        <w:rPr>
          <w:lang w:eastAsia="x-none"/>
        </w:rPr>
        <w:t>combustion of landfill gas for electricity generation at the landfill site</w:t>
      </w:r>
      <w:r w:rsidR="00F15EEC" w:rsidRPr="007C164A">
        <w:rPr>
          <w:lang w:eastAsia="x-none"/>
        </w:rPr>
        <w:t xml:space="preserve"> under the Alternative System.</w:t>
      </w:r>
    </w:p>
    <w:p w14:paraId="12EE9B8C" w14:textId="08583571" w:rsidR="00F15EEC" w:rsidRDefault="00F15EEC" w:rsidP="00726989">
      <w:pPr>
        <w:rPr>
          <w:lang w:eastAsia="x-none"/>
        </w:rPr>
      </w:pPr>
      <w:r>
        <w:rPr>
          <w:lang w:eastAsia="x-none"/>
        </w:rPr>
        <w:t xml:space="preserve">When </w:t>
      </w:r>
      <w:r w:rsidR="00241C32">
        <w:rPr>
          <w:lang w:eastAsia="x-none"/>
        </w:rPr>
        <w:t xml:space="preserve">individual </w:t>
      </w:r>
      <w:r>
        <w:rPr>
          <w:lang w:eastAsia="x-none"/>
        </w:rPr>
        <w:t>materials are considered, the greatest photochemical smog benefits are caused by recycling glass, aluminium, paper and garden and green wastes (</w:t>
      </w:r>
      <w:r>
        <w:rPr>
          <w:lang w:eastAsia="x-none"/>
        </w:rPr>
        <w:fldChar w:fldCharType="begin"/>
      </w:r>
      <w:r>
        <w:rPr>
          <w:lang w:eastAsia="x-none"/>
        </w:rPr>
        <w:instrText xml:space="preserve"> REF _Ref358575672 \h </w:instrText>
      </w:r>
      <w:r>
        <w:rPr>
          <w:lang w:eastAsia="x-none"/>
        </w:rPr>
      </w:r>
      <w:r>
        <w:rPr>
          <w:lang w:eastAsia="x-none"/>
        </w:rPr>
        <w:fldChar w:fldCharType="separate"/>
      </w:r>
      <w:r w:rsidR="00564E5C">
        <w:t xml:space="preserve">Figure </w:t>
      </w:r>
      <w:r w:rsidR="00564E5C">
        <w:rPr>
          <w:noProof/>
        </w:rPr>
        <w:t>22</w:t>
      </w:r>
      <w:r>
        <w:rPr>
          <w:lang w:eastAsia="x-none"/>
        </w:rPr>
        <w:fldChar w:fldCharType="end"/>
      </w:r>
      <w:r>
        <w:rPr>
          <w:lang w:eastAsia="x-none"/>
        </w:rPr>
        <w:t xml:space="preserve">). Glass and aluminium recycling avoid nitrogen oxides emitted during production of these materials from virgin resources. Paper and garden </w:t>
      </w:r>
      <w:r w:rsidR="00241C32">
        <w:rPr>
          <w:lang w:eastAsia="x-none"/>
        </w:rPr>
        <w:t xml:space="preserve">and </w:t>
      </w:r>
      <w:r>
        <w:rPr>
          <w:lang w:eastAsia="x-none"/>
        </w:rPr>
        <w:t xml:space="preserve">green waste recycling largely avoids smog causing emissions due to combustion </w:t>
      </w:r>
      <w:r w:rsidR="00546217">
        <w:rPr>
          <w:lang w:eastAsia="x-none"/>
        </w:rPr>
        <w:t xml:space="preserve">of landfill gas </w:t>
      </w:r>
      <w:r>
        <w:rPr>
          <w:lang w:eastAsia="x-none"/>
        </w:rPr>
        <w:t>at the landfill, although production emissions too are avoided.</w:t>
      </w:r>
    </w:p>
    <w:p w14:paraId="0D494433" w14:textId="3597B2AD" w:rsidR="00726989" w:rsidRDefault="00660C49" w:rsidP="00726989">
      <w:pPr>
        <w:keepNext/>
      </w:pPr>
      <w:r>
        <w:rPr>
          <w:noProof/>
        </w:rPr>
        <w:drawing>
          <wp:inline distT="0" distB="0" distL="0" distR="0" wp14:anchorId="17AE5DCF" wp14:editId="6791AB98">
            <wp:extent cx="5731510" cy="2560197"/>
            <wp:effectExtent l="0" t="0" r="254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494434" w14:textId="77777777" w:rsidR="00726989" w:rsidRDefault="00726989" w:rsidP="00726989">
      <w:pPr>
        <w:pStyle w:val="Caption"/>
      </w:pPr>
      <w:bookmarkStart w:id="189" w:name="_Ref358575010"/>
      <w:r>
        <w:t xml:space="preserve">Figure </w:t>
      </w:r>
      <w:r w:rsidR="00FC7DE2">
        <w:fldChar w:fldCharType="begin"/>
      </w:r>
      <w:r w:rsidR="00FC7DE2">
        <w:instrText xml:space="preserve"> SEQ Figure \* ARABIC </w:instrText>
      </w:r>
      <w:r w:rsidR="00FC7DE2">
        <w:fldChar w:fldCharType="separate"/>
      </w:r>
      <w:r w:rsidR="00564E5C">
        <w:rPr>
          <w:noProof/>
        </w:rPr>
        <w:t>21</w:t>
      </w:r>
      <w:r w:rsidR="00FC7DE2">
        <w:rPr>
          <w:noProof/>
        </w:rPr>
        <w:fldChar w:fldCharType="end"/>
      </w:r>
      <w:bookmarkEnd w:id="189"/>
      <w:r>
        <w:rPr>
          <w:lang w:val="en-AU"/>
        </w:rPr>
        <w:t xml:space="preserve"> Photochemical oxidation impact by process (1 functional unit).</w:t>
      </w:r>
    </w:p>
    <w:p w14:paraId="0D494435" w14:textId="3E53E7B7" w:rsidR="000F2646" w:rsidRDefault="00660C49" w:rsidP="000F2646">
      <w:pPr>
        <w:keepNext/>
      </w:pPr>
      <w:r>
        <w:rPr>
          <w:noProof/>
        </w:rPr>
        <w:lastRenderedPageBreak/>
        <w:drawing>
          <wp:inline distT="0" distB="0" distL="0" distR="0" wp14:anchorId="33ED1A51" wp14:editId="254499A5">
            <wp:extent cx="5731510" cy="2181572"/>
            <wp:effectExtent l="0" t="0" r="254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D494436" w14:textId="77777777" w:rsidR="000F2646" w:rsidRDefault="000F2646" w:rsidP="000F2646">
      <w:pPr>
        <w:pStyle w:val="Caption"/>
      </w:pPr>
      <w:bookmarkStart w:id="190" w:name="_Ref358575672"/>
      <w:r>
        <w:t xml:space="preserve">Figure </w:t>
      </w:r>
      <w:r w:rsidR="00FC7DE2">
        <w:fldChar w:fldCharType="begin"/>
      </w:r>
      <w:r w:rsidR="00FC7DE2">
        <w:instrText xml:space="preserve"> SEQ Figure \* ARABIC </w:instrText>
      </w:r>
      <w:r w:rsidR="00FC7DE2">
        <w:fldChar w:fldCharType="separate"/>
      </w:r>
      <w:r w:rsidR="00564E5C">
        <w:rPr>
          <w:noProof/>
        </w:rPr>
        <w:t>22</w:t>
      </w:r>
      <w:r w:rsidR="00FC7DE2">
        <w:rPr>
          <w:noProof/>
        </w:rPr>
        <w:fldChar w:fldCharType="end"/>
      </w:r>
      <w:bookmarkEnd w:id="190"/>
      <w:r>
        <w:rPr>
          <w:lang w:val="en-AU"/>
        </w:rPr>
        <w:t xml:space="preserve"> Photochemical oxidation impact by material</w:t>
      </w:r>
      <w:r w:rsidR="00726989">
        <w:rPr>
          <w:lang w:val="en-AU"/>
        </w:rPr>
        <w:t xml:space="preserve"> (1 functional unit)</w:t>
      </w:r>
      <w:r>
        <w:rPr>
          <w:lang w:val="en-AU"/>
        </w:rPr>
        <w:t>.</w:t>
      </w:r>
    </w:p>
    <w:p w14:paraId="0D494437" w14:textId="77777777" w:rsidR="000F2646" w:rsidRPr="000F2646" w:rsidRDefault="000F2646" w:rsidP="000F2646">
      <w:pPr>
        <w:rPr>
          <w:lang w:eastAsia="x-none"/>
        </w:rPr>
      </w:pPr>
    </w:p>
    <w:p w14:paraId="0D494438" w14:textId="77777777" w:rsidR="00EA55CB" w:rsidRDefault="00EA55CB" w:rsidP="00EA55CB">
      <w:pPr>
        <w:pStyle w:val="Heading2"/>
        <w:rPr>
          <w:lang w:val="en-AU"/>
        </w:rPr>
      </w:pPr>
      <w:bookmarkStart w:id="191" w:name="_Toc433964568"/>
      <w:r>
        <w:rPr>
          <w:lang w:val="en-AU"/>
        </w:rPr>
        <w:t>Minerals Depletion</w:t>
      </w:r>
      <w:bookmarkEnd w:id="191"/>
    </w:p>
    <w:p w14:paraId="0D494439" w14:textId="563FA58A" w:rsidR="0019097B" w:rsidRDefault="0019097B" w:rsidP="0019097B">
      <w:pPr>
        <w:rPr>
          <w:lang w:eastAsia="x-none"/>
        </w:rPr>
      </w:pPr>
      <w:r>
        <w:rPr>
          <w:lang w:eastAsia="x-none"/>
        </w:rPr>
        <w:t>The net minerals depletion outcome of $</w:t>
      </w:r>
      <w:r w:rsidR="0093716A">
        <w:rPr>
          <w:lang w:eastAsia="x-none"/>
        </w:rPr>
        <w:t xml:space="preserve">0.94 </w:t>
      </w:r>
      <w:r>
        <w:rPr>
          <w:lang w:eastAsia="x-none"/>
        </w:rPr>
        <w:t>is caused by</w:t>
      </w:r>
      <w:r w:rsidR="0093716A">
        <w:rPr>
          <w:lang w:eastAsia="x-none"/>
        </w:rPr>
        <w:t xml:space="preserve"> </w:t>
      </w:r>
      <w:r>
        <w:rPr>
          <w:lang w:eastAsia="x-none"/>
        </w:rPr>
        <w:t xml:space="preserve">steel </w:t>
      </w:r>
      <w:r w:rsidR="0093716A">
        <w:rPr>
          <w:lang w:eastAsia="x-none"/>
        </w:rPr>
        <w:t xml:space="preserve">recycling </w:t>
      </w:r>
      <w:r>
        <w:rPr>
          <w:lang w:eastAsia="x-none"/>
        </w:rPr>
        <w:t>(</w:t>
      </w:r>
      <w:r>
        <w:rPr>
          <w:lang w:eastAsia="x-none"/>
        </w:rPr>
        <w:fldChar w:fldCharType="begin"/>
      </w:r>
      <w:r>
        <w:rPr>
          <w:lang w:eastAsia="x-none"/>
        </w:rPr>
        <w:instrText xml:space="preserve"> REF _Ref358579959 \h </w:instrText>
      </w:r>
      <w:r>
        <w:rPr>
          <w:lang w:eastAsia="x-none"/>
        </w:rPr>
      </w:r>
      <w:r>
        <w:rPr>
          <w:lang w:eastAsia="x-none"/>
        </w:rPr>
        <w:fldChar w:fldCharType="separate"/>
      </w:r>
      <w:r w:rsidR="00564E5C">
        <w:t xml:space="preserve">Figure </w:t>
      </w:r>
      <w:r w:rsidR="00564E5C">
        <w:rPr>
          <w:noProof/>
        </w:rPr>
        <w:t>24</w:t>
      </w:r>
      <w:r>
        <w:rPr>
          <w:lang w:eastAsia="x-none"/>
        </w:rPr>
        <w:fldChar w:fldCharType="end"/>
      </w:r>
      <w:r>
        <w:rPr>
          <w:lang w:eastAsia="x-none"/>
        </w:rPr>
        <w:t xml:space="preserve">). By recycling steel, </w:t>
      </w:r>
      <w:r w:rsidR="0081241F">
        <w:rPr>
          <w:lang w:eastAsia="x-none"/>
        </w:rPr>
        <w:t xml:space="preserve">iron ore does not need to be mined from the earth </w:t>
      </w:r>
      <w:r w:rsidR="00241C32">
        <w:rPr>
          <w:lang w:eastAsia="x-none"/>
        </w:rPr>
        <w:t xml:space="preserve">thus </w:t>
      </w:r>
      <w:r w:rsidR="0081241F">
        <w:rPr>
          <w:lang w:eastAsia="x-none"/>
        </w:rPr>
        <w:t xml:space="preserve">preserving </w:t>
      </w:r>
      <w:r w:rsidR="00241C32">
        <w:rPr>
          <w:lang w:eastAsia="x-none"/>
        </w:rPr>
        <w:t>resources for future use</w:t>
      </w:r>
      <w:r w:rsidR="0081241F">
        <w:rPr>
          <w:lang w:eastAsia="x-none"/>
        </w:rPr>
        <w:t>.</w:t>
      </w:r>
      <w:r>
        <w:rPr>
          <w:lang w:eastAsia="x-none"/>
        </w:rPr>
        <w:t xml:space="preserve"> The benefit of avoiding production </w:t>
      </w:r>
      <w:r w:rsidR="0081241F">
        <w:rPr>
          <w:lang w:eastAsia="x-none"/>
        </w:rPr>
        <w:t xml:space="preserve">of steel from iron ore </w:t>
      </w:r>
      <w:r>
        <w:rPr>
          <w:lang w:eastAsia="x-none"/>
        </w:rPr>
        <w:t xml:space="preserve">is illustrated in </w:t>
      </w:r>
      <w:r>
        <w:rPr>
          <w:lang w:eastAsia="x-none"/>
        </w:rPr>
        <w:fldChar w:fldCharType="begin"/>
      </w:r>
      <w:r>
        <w:rPr>
          <w:lang w:eastAsia="x-none"/>
        </w:rPr>
        <w:instrText xml:space="preserve"> REF _Ref358580157 \h </w:instrText>
      </w:r>
      <w:r>
        <w:rPr>
          <w:lang w:eastAsia="x-none"/>
        </w:rPr>
      </w:r>
      <w:r>
        <w:rPr>
          <w:lang w:eastAsia="x-none"/>
        </w:rPr>
        <w:fldChar w:fldCharType="separate"/>
      </w:r>
      <w:r w:rsidR="00564E5C">
        <w:t xml:space="preserve">Figure </w:t>
      </w:r>
      <w:r w:rsidR="00564E5C">
        <w:rPr>
          <w:noProof/>
        </w:rPr>
        <w:t>23</w:t>
      </w:r>
      <w:r>
        <w:rPr>
          <w:lang w:eastAsia="x-none"/>
        </w:rPr>
        <w:fldChar w:fldCharType="end"/>
      </w:r>
      <w:r>
        <w:rPr>
          <w:lang w:eastAsia="x-none"/>
        </w:rPr>
        <w:t>.</w:t>
      </w:r>
    </w:p>
    <w:p w14:paraId="0D49443B" w14:textId="77777777" w:rsidR="0019097B" w:rsidRPr="0019097B" w:rsidRDefault="0019097B" w:rsidP="0019097B">
      <w:pPr>
        <w:rPr>
          <w:lang w:eastAsia="x-none"/>
        </w:rPr>
      </w:pPr>
      <w:r>
        <w:rPr>
          <w:lang w:eastAsia="x-none"/>
        </w:rPr>
        <w:t>Notably,</w:t>
      </w:r>
      <w:r w:rsidR="005E2536">
        <w:rPr>
          <w:lang w:eastAsia="x-none"/>
        </w:rPr>
        <w:t xml:space="preserve"> aluminium and glass are not seen to contribute to this indicator. This is partially because aluminium is collected in relatively small quantities, but also because both these materials are primarily made from relatively abundant minerals, bauxite and sand respectively. The energy intensity of production for both materials is apparent in other indicators, such as global warming and cumulative energy demand.</w:t>
      </w:r>
    </w:p>
    <w:p w14:paraId="0D49443C" w14:textId="76F8CC79" w:rsidR="00726989" w:rsidRDefault="00660C49" w:rsidP="00726989">
      <w:pPr>
        <w:keepNext/>
      </w:pPr>
      <w:r>
        <w:rPr>
          <w:noProof/>
        </w:rPr>
        <w:drawing>
          <wp:inline distT="0" distB="0" distL="0" distR="0" wp14:anchorId="41C93013" wp14:editId="12B651ED">
            <wp:extent cx="5731510" cy="2661846"/>
            <wp:effectExtent l="0" t="0" r="2540" b="571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49443D" w14:textId="77777777" w:rsidR="00726989" w:rsidRPr="00726989" w:rsidRDefault="00726989" w:rsidP="00726989">
      <w:pPr>
        <w:pStyle w:val="Caption"/>
      </w:pPr>
      <w:bookmarkStart w:id="192" w:name="_Ref358580157"/>
      <w:r>
        <w:t xml:space="preserve">Figure </w:t>
      </w:r>
      <w:r w:rsidR="00FC7DE2">
        <w:fldChar w:fldCharType="begin"/>
      </w:r>
      <w:r w:rsidR="00FC7DE2">
        <w:instrText xml:space="preserve"> SEQ Figure \* ARABIC </w:instrText>
      </w:r>
      <w:r w:rsidR="00FC7DE2">
        <w:fldChar w:fldCharType="separate"/>
      </w:r>
      <w:r w:rsidR="00564E5C">
        <w:rPr>
          <w:noProof/>
        </w:rPr>
        <w:t>23</w:t>
      </w:r>
      <w:r w:rsidR="00FC7DE2">
        <w:rPr>
          <w:noProof/>
        </w:rPr>
        <w:fldChar w:fldCharType="end"/>
      </w:r>
      <w:bookmarkEnd w:id="192"/>
      <w:r>
        <w:rPr>
          <w:lang w:val="en-AU"/>
        </w:rPr>
        <w:t xml:space="preserve"> Minerals depletion impact by process (1 functional unit).</w:t>
      </w:r>
    </w:p>
    <w:p w14:paraId="0D49443E" w14:textId="5EFB2AEA" w:rsidR="000F2646" w:rsidRDefault="00660C49" w:rsidP="000F2646">
      <w:pPr>
        <w:keepNext/>
      </w:pPr>
      <w:r>
        <w:rPr>
          <w:noProof/>
        </w:rPr>
        <w:lastRenderedPageBreak/>
        <w:drawing>
          <wp:inline distT="0" distB="0" distL="0" distR="0" wp14:anchorId="64AA3C81" wp14:editId="37D17559">
            <wp:extent cx="5731510" cy="2181572"/>
            <wp:effectExtent l="0" t="0" r="254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D49443F" w14:textId="77777777" w:rsidR="000F2646" w:rsidRDefault="000F2646" w:rsidP="000F2646">
      <w:pPr>
        <w:pStyle w:val="Caption"/>
      </w:pPr>
      <w:bookmarkStart w:id="193" w:name="_Ref358579959"/>
      <w:r>
        <w:t xml:space="preserve">Figure </w:t>
      </w:r>
      <w:r w:rsidR="00FC7DE2">
        <w:fldChar w:fldCharType="begin"/>
      </w:r>
      <w:r w:rsidR="00FC7DE2">
        <w:instrText xml:space="preserve"> SEQ Figure \* ARABIC </w:instrText>
      </w:r>
      <w:r w:rsidR="00FC7DE2">
        <w:fldChar w:fldCharType="separate"/>
      </w:r>
      <w:r w:rsidR="00564E5C">
        <w:rPr>
          <w:noProof/>
        </w:rPr>
        <w:t>24</w:t>
      </w:r>
      <w:r w:rsidR="00FC7DE2">
        <w:rPr>
          <w:noProof/>
        </w:rPr>
        <w:fldChar w:fldCharType="end"/>
      </w:r>
      <w:bookmarkEnd w:id="193"/>
      <w:r>
        <w:rPr>
          <w:lang w:val="en-AU"/>
        </w:rPr>
        <w:t xml:space="preserve"> Minerals depletion impact by material</w:t>
      </w:r>
      <w:r w:rsidR="00726989">
        <w:rPr>
          <w:lang w:val="en-AU"/>
        </w:rPr>
        <w:t xml:space="preserve"> (1 functional unit)</w:t>
      </w:r>
      <w:r>
        <w:rPr>
          <w:lang w:val="en-AU"/>
        </w:rPr>
        <w:t>.</w:t>
      </w:r>
    </w:p>
    <w:p w14:paraId="0D494440" w14:textId="77777777" w:rsidR="000F2646" w:rsidRPr="000F2646" w:rsidRDefault="000F2646" w:rsidP="000F2646">
      <w:pPr>
        <w:rPr>
          <w:lang w:eastAsia="x-none"/>
        </w:rPr>
      </w:pPr>
    </w:p>
    <w:p w14:paraId="0D494441" w14:textId="77777777" w:rsidR="00EA55CB" w:rsidRDefault="00EA55CB" w:rsidP="00EA55CB">
      <w:pPr>
        <w:pStyle w:val="Heading2"/>
        <w:rPr>
          <w:lang w:val="en-AU"/>
        </w:rPr>
      </w:pPr>
      <w:bookmarkStart w:id="194" w:name="_Toc433964569"/>
      <w:r>
        <w:rPr>
          <w:lang w:val="en-AU"/>
        </w:rPr>
        <w:t>Fossil Fuels Depletion</w:t>
      </w:r>
      <w:bookmarkEnd w:id="194"/>
    </w:p>
    <w:p w14:paraId="0D494442" w14:textId="27461E52" w:rsidR="006B4150" w:rsidRDefault="006B4150" w:rsidP="006B4150">
      <w:pPr>
        <w:rPr>
          <w:lang w:eastAsia="x-none"/>
        </w:rPr>
      </w:pPr>
      <w:r>
        <w:rPr>
          <w:lang w:eastAsia="x-none"/>
        </w:rPr>
        <w:t xml:space="preserve">The </w:t>
      </w:r>
      <w:r w:rsidR="0093716A">
        <w:rPr>
          <w:lang w:eastAsia="x-none"/>
        </w:rPr>
        <w:t xml:space="preserve">Recycling System’s </w:t>
      </w:r>
      <w:r>
        <w:rPr>
          <w:lang w:eastAsia="x-none"/>
        </w:rPr>
        <w:t>$0.</w:t>
      </w:r>
      <w:r w:rsidR="00660C49">
        <w:rPr>
          <w:lang w:eastAsia="x-none"/>
        </w:rPr>
        <w:t>72</w:t>
      </w:r>
      <w:r w:rsidR="0093716A">
        <w:rPr>
          <w:lang w:eastAsia="x-none"/>
        </w:rPr>
        <w:t xml:space="preserve"> </w:t>
      </w:r>
      <w:r>
        <w:rPr>
          <w:lang w:eastAsia="x-none"/>
        </w:rPr>
        <w:t xml:space="preserve">net benefit for fossil fuels depletion incorporates a range of offsetting impacts amongst both processes and materials. </w:t>
      </w:r>
      <w:r w:rsidR="0093716A">
        <w:rPr>
          <w:lang w:eastAsia="x-none"/>
        </w:rPr>
        <w:t>From a process standpoint, the Recycling S</w:t>
      </w:r>
      <w:r>
        <w:rPr>
          <w:lang w:eastAsia="x-none"/>
        </w:rPr>
        <w:t xml:space="preserve">ystem depletes fossil fuels in operation as it requires energy to operate collection, sorting and reprocessing processes, the majority of which </w:t>
      </w:r>
      <w:r w:rsidR="0093716A">
        <w:rPr>
          <w:lang w:eastAsia="x-none"/>
        </w:rPr>
        <w:t>is</w:t>
      </w:r>
      <w:r>
        <w:rPr>
          <w:lang w:eastAsia="x-none"/>
        </w:rPr>
        <w:t xml:space="preserve"> derived from fossil fuels. The </w:t>
      </w:r>
      <w:r w:rsidR="0093716A">
        <w:rPr>
          <w:lang w:eastAsia="x-none"/>
        </w:rPr>
        <w:t xml:space="preserve">overall </w:t>
      </w:r>
      <w:r>
        <w:rPr>
          <w:lang w:eastAsia="x-none"/>
        </w:rPr>
        <w:t xml:space="preserve">net benefit is brought about by virtue of the </w:t>
      </w:r>
      <w:r w:rsidR="0093716A">
        <w:rPr>
          <w:lang w:eastAsia="x-none"/>
        </w:rPr>
        <w:t xml:space="preserve">avoided production of materials, which require more fossil fuels to produce from primary resources than </w:t>
      </w:r>
      <w:r w:rsidR="006C564F">
        <w:rPr>
          <w:lang w:eastAsia="x-none"/>
        </w:rPr>
        <w:t xml:space="preserve">they do to </w:t>
      </w:r>
      <w:r w:rsidR="0093716A">
        <w:rPr>
          <w:lang w:eastAsia="x-none"/>
        </w:rPr>
        <w:t>reprocess</w:t>
      </w:r>
      <w:r w:rsidR="006C564F">
        <w:rPr>
          <w:lang w:eastAsia="x-none"/>
        </w:rPr>
        <w:t xml:space="preserve"> under the Recycling System</w:t>
      </w:r>
      <w:r w:rsidR="0093716A">
        <w:rPr>
          <w:lang w:eastAsia="x-none"/>
        </w:rPr>
        <w:t xml:space="preserve"> </w:t>
      </w:r>
      <w:r>
        <w:rPr>
          <w:lang w:eastAsia="x-none"/>
        </w:rPr>
        <w:t>(</w:t>
      </w:r>
      <w:r>
        <w:rPr>
          <w:lang w:eastAsia="x-none"/>
        </w:rPr>
        <w:fldChar w:fldCharType="begin"/>
      </w:r>
      <w:r>
        <w:rPr>
          <w:lang w:eastAsia="x-none"/>
        </w:rPr>
        <w:instrText xml:space="preserve"> REF _Ref358581202 \h </w:instrText>
      </w:r>
      <w:r>
        <w:rPr>
          <w:lang w:eastAsia="x-none"/>
        </w:rPr>
      </w:r>
      <w:r>
        <w:rPr>
          <w:lang w:eastAsia="x-none"/>
        </w:rPr>
        <w:fldChar w:fldCharType="separate"/>
      </w:r>
      <w:r w:rsidR="00564E5C">
        <w:t xml:space="preserve">Figure </w:t>
      </w:r>
      <w:r w:rsidR="00564E5C">
        <w:rPr>
          <w:noProof/>
        </w:rPr>
        <w:t>25</w:t>
      </w:r>
      <w:r>
        <w:rPr>
          <w:lang w:eastAsia="x-none"/>
        </w:rPr>
        <w:fldChar w:fldCharType="end"/>
      </w:r>
      <w:r>
        <w:rPr>
          <w:lang w:eastAsia="x-none"/>
        </w:rPr>
        <w:t xml:space="preserve">). </w:t>
      </w:r>
      <w:r w:rsidR="00E91AFE">
        <w:rPr>
          <w:lang w:eastAsia="x-none"/>
        </w:rPr>
        <w:t>An exception to the pattern seen in other indicators is that the avoidance of landfill operation actually has an adverse impact upon fossil fuels depletion as it also avoids the generation of electricity from landfill, which must there</w:t>
      </w:r>
      <w:r w:rsidR="002765CE">
        <w:rPr>
          <w:lang w:eastAsia="x-none"/>
        </w:rPr>
        <w:t>fore</w:t>
      </w:r>
      <w:r w:rsidR="00E91AFE">
        <w:rPr>
          <w:lang w:eastAsia="x-none"/>
        </w:rPr>
        <w:t xml:space="preserve"> be supplied from fossil sources under the Recycling System scenario.</w:t>
      </w:r>
    </w:p>
    <w:p w14:paraId="0D494443" w14:textId="0DEBBE11" w:rsidR="00E0584C" w:rsidRDefault="00E91AFE" w:rsidP="006B4150">
      <w:pPr>
        <w:rPr>
          <w:lang w:eastAsia="x-none"/>
        </w:rPr>
      </w:pPr>
      <w:r>
        <w:rPr>
          <w:lang w:eastAsia="x-none"/>
        </w:rPr>
        <w:t>Fossil fuels depletion is one of the few indicators where some materia</w:t>
      </w:r>
      <w:r w:rsidR="00546217">
        <w:rPr>
          <w:lang w:eastAsia="x-none"/>
        </w:rPr>
        <w:t>ls contribute adversely to the Net O</w:t>
      </w:r>
      <w:r>
        <w:rPr>
          <w:lang w:eastAsia="x-none"/>
        </w:rPr>
        <w:t>utcome. In this indicator the recycling of paper and green and garden waste both deliver worse outcomes than the Alternative System</w:t>
      </w:r>
      <w:r w:rsidR="00E0584C">
        <w:rPr>
          <w:lang w:eastAsia="x-none"/>
        </w:rPr>
        <w:t xml:space="preserve"> (</w:t>
      </w:r>
      <w:r w:rsidR="00E0584C">
        <w:rPr>
          <w:lang w:eastAsia="x-none"/>
        </w:rPr>
        <w:fldChar w:fldCharType="begin"/>
      </w:r>
      <w:r w:rsidR="00E0584C">
        <w:rPr>
          <w:lang w:eastAsia="x-none"/>
        </w:rPr>
        <w:instrText xml:space="preserve"> REF _Ref358581942 \h </w:instrText>
      </w:r>
      <w:r w:rsidR="00E0584C">
        <w:rPr>
          <w:lang w:eastAsia="x-none"/>
        </w:rPr>
      </w:r>
      <w:r w:rsidR="00E0584C">
        <w:rPr>
          <w:lang w:eastAsia="x-none"/>
        </w:rPr>
        <w:fldChar w:fldCharType="separate"/>
      </w:r>
      <w:r w:rsidR="00564E5C">
        <w:t xml:space="preserve">Figure </w:t>
      </w:r>
      <w:r w:rsidR="00564E5C">
        <w:rPr>
          <w:noProof/>
        </w:rPr>
        <w:t>26</w:t>
      </w:r>
      <w:r w:rsidR="00E0584C">
        <w:rPr>
          <w:lang w:eastAsia="x-none"/>
        </w:rPr>
        <w:fldChar w:fldCharType="end"/>
      </w:r>
      <w:r w:rsidR="00E0584C">
        <w:rPr>
          <w:lang w:eastAsia="x-none"/>
        </w:rPr>
        <w:t>)</w:t>
      </w:r>
      <w:r>
        <w:rPr>
          <w:lang w:eastAsia="x-none"/>
        </w:rPr>
        <w:t xml:space="preserve">. </w:t>
      </w:r>
    </w:p>
    <w:p w14:paraId="0D494444" w14:textId="3B3264A7" w:rsidR="00E91AFE" w:rsidRDefault="00E91AFE" w:rsidP="006B4150">
      <w:pPr>
        <w:rPr>
          <w:lang w:eastAsia="x-none"/>
        </w:rPr>
      </w:pPr>
      <w:r>
        <w:rPr>
          <w:lang w:eastAsia="x-none"/>
        </w:rPr>
        <w:t xml:space="preserve">For paper this outcome is partially caused by the avoided electricity generation from landfill, discussed above, but mostly by reprocessing which is more fossil fuel intensive than production from </w:t>
      </w:r>
      <w:r w:rsidR="002765CE">
        <w:rPr>
          <w:lang w:eastAsia="x-none"/>
        </w:rPr>
        <w:t>fibre sourced from trees</w:t>
      </w:r>
      <w:r>
        <w:rPr>
          <w:lang w:eastAsia="x-none"/>
        </w:rPr>
        <w:t xml:space="preserve">. This is because much of the energy used in </w:t>
      </w:r>
      <w:r w:rsidR="0081241F">
        <w:rPr>
          <w:lang w:eastAsia="x-none"/>
        </w:rPr>
        <w:t xml:space="preserve">kraft </w:t>
      </w:r>
      <w:r>
        <w:rPr>
          <w:lang w:eastAsia="x-none"/>
        </w:rPr>
        <w:t>paper production from forest sources is supplied by the combustion of forest residues and pulp manufacturing by-products such as black liquor.</w:t>
      </w:r>
      <w:r w:rsidR="00E0584C">
        <w:rPr>
          <w:lang w:eastAsia="x-none"/>
        </w:rPr>
        <w:t xml:space="preserve"> When paper is reprocessed from kerbside waste, most of the energy used in the process is supplied from fossil sources. The fossil fuels depletion intensity of paper produced from forest sources (locally) is $</w:t>
      </w:r>
      <w:r w:rsidR="0081241F">
        <w:rPr>
          <w:lang w:eastAsia="x-none"/>
        </w:rPr>
        <w:t xml:space="preserve">3.97 </w:t>
      </w:r>
      <w:r w:rsidR="00E0584C">
        <w:rPr>
          <w:lang w:eastAsia="x-none"/>
        </w:rPr>
        <w:t xml:space="preserve">per tonne, whereas the </w:t>
      </w:r>
      <w:r w:rsidR="0081241F">
        <w:rPr>
          <w:lang w:eastAsia="x-none"/>
        </w:rPr>
        <w:t xml:space="preserve">local </w:t>
      </w:r>
      <w:r w:rsidR="00E0584C">
        <w:rPr>
          <w:lang w:eastAsia="x-none"/>
        </w:rPr>
        <w:t>reprocessing intensity is $</w:t>
      </w:r>
      <w:r w:rsidR="0081241F">
        <w:rPr>
          <w:lang w:eastAsia="x-none"/>
        </w:rPr>
        <w:t>6.07</w:t>
      </w:r>
      <w:r w:rsidR="00E0584C">
        <w:rPr>
          <w:lang w:eastAsia="x-none"/>
        </w:rPr>
        <w:t xml:space="preserve"> per tonne</w:t>
      </w:r>
      <w:r w:rsidR="0081241F">
        <w:rPr>
          <w:lang w:eastAsia="x-none"/>
        </w:rPr>
        <w:t xml:space="preserve"> (</w:t>
      </w:r>
      <w:r w:rsidR="0081241F">
        <w:rPr>
          <w:lang w:eastAsia="x-none"/>
        </w:rPr>
        <w:fldChar w:fldCharType="begin"/>
      </w:r>
      <w:r w:rsidR="0081241F">
        <w:rPr>
          <w:lang w:eastAsia="x-none"/>
        </w:rPr>
        <w:instrText xml:space="preserve"> REF _Ref358488456 \h </w:instrText>
      </w:r>
      <w:r w:rsidR="0081241F">
        <w:rPr>
          <w:lang w:eastAsia="x-none"/>
        </w:rPr>
      </w:r>
      <w:r w:rsidR="0081241F">
        <w:rPr>
          <w:lang w:eastAsia="x-none"/>
        </w:rPr>
        <w:fldChar w:fldCharType="separate"/>
      </w:r>
      <w:r w:rsidR="00564E5C">
        <w:t xml:space="preserve">Table </w:t>
      </w:r>
      <w:r w:rsidR="00564E5C">
        <w:rPr>
          <w:noProof/>
        </w:rPr>
        <w:t>58</w:t>
      </w:r>
      <w:r w:rsidR="0081241F">
        <w:rPr>
          <w:lang w:eastAsia="x-none"/>
        </w:rPr>
        <w:fldChar w:fldCharType="end"/>
      </w:r>
      <w:r w:rsidR="0081241F">
        <w:rPr>
          <w:lang w:eastAsia="x-none"/>
        </w:rPr>
        <w:t>)</w:t>
      </w:r>
      <w:r w:rsidR="00E0584C">
        <w:rPr>
          <w:lang w:eastAsia="x-none"/>
        </w:rPr>
        <w:t>.</w:t>
      </w:r>
    </w:p>
    <w:p w14:paraId="0D494445" w14:textId="77777777" w:rsidR="00E0584C" w:rsidRPr="006B4150" w:rsidRDefault="00E0584C" w:rsidP="006B4150">
      <w:pPr>
        <w:rPr>
          <w:lang w:eastAsia="x-none"/>
        </w:rPr>
      </w:pPr>
      <w:r>
        <w:rPr>
          <w:lang w:eastAsia="x-none"/>
        </w:rPr>
        <w:t xml:space="preserve">For garden and green waste, the adverse fossil fuels depletion outcome stems solely from the loss of electricity generation from landfill, which must be supplied from fossil sources under the Recycling System. </w:t>
      </w:r>
    </w:p>
    <w:p w14:paraId="0D494446" w14:textId="6D041935" w:rsidR="00726989" w:rsidRDefault="00660C49" w:rsidP="00726989">
      <w:pPr>
        <w:keepNext/>
      </w:pPr>
      <w:r>
        <w:rPr>
          <w:noProof/>
        </w:rPr>
        <w:lastRenderedPageBreak/>
        <w:drawing>
          <wp:inline distT="0" distB="0" distL="0" distR="0" wp14:anchorId="5147E8DC" wp14:editId="64849F46">
            <wp:extent cx="5731510" cy="2567545"/>
            <wp:effectExtent l="0" t="0" r="2540" b="444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D494447" w14:textId="77777777" w:rsidR="000F2646" w:rsidRDefault="00726989" w:rsidP="00726989">
      <w:pPr>
        <w:pStyle w:val="Caption"/>
      </w:pPr>
      <w:bookmarkStart w:id="195" w:name="_Ref358581202"/>
      <w:r>
        <w:t xml:space="preserve">Figure </w:t>
      </w:r>
      <w:r w:rsidR="00FC7DE2">
        <w:fldChar w:fldCharType="begin"/>
      </w:r>
      <w:r w:rsidR="00FC7DE2">
        <w:instrText xml:space="preserve"> SEQ Figure \* ARABIC </w:instrText>
      </w:r>
      <w:r w:rsidR="00FC7DE2">
        <w:fldChar w:fldCharType="separate"/>
      </w:r>
      <w:r w:rsidR="00564E5C">
        <w:rPr>
          <w:noProof/>
        </w:rPr>
        <w:t>25</w:t>
      </w:r>
      <w:r w:rsidR="00FC7DE2">
        <w:rPr>
          <w:noProof/>
        </w:rPr>
        <w:fldChar w:fldCharType="end"/>
      </w:r>
      <w:bookmarkEnd w:id="195"/>
      <w:r>
        <w:rPr>
          <w:lang w:val="en-AU"/>
        </w:rPr>
        <w:t xml:space="preserve"> Fossil fuels depletion by process (1 functional unit).</w:t>
      </w:r>
    </w:p>
    <w:p w14:paraId="0D494448" w14:textId="481A7154" w:rsidR="000F2646" w:rsidRDefault="00660C49" w:rsidP="000F2646">
      <w:pPr>
        <w:keepNext/>
      </w:pPr>
      <w:r>
        <w:rPr>
          <w:noProof/>
        </w:rPr>
        <w:drawing>
          <wp:inline distT="0" distB="0" distL="0" distR="0" wp14:anchorId="397A7138" wp14:editId="05F47F69">
            <wp:extent cx="5731510" cy="2181572"/>
            <wp:effectExtent l="0" t="0" r="254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494449" w14:textId="77777777" w:rsidR="000F2646" w:rsidRDefault="000F2646" w:rsidP="000F2646">
      <w:pPr>
        <w:pStyle w:val="Caption"/>
      </w:pPr>
      <w:bookmarkStart w:id="196" w:name="_Ref358581942"/>
      <w:r>
        <w:t xml:space="preserve">Figure </w:t>
      </w:r>
      <w:r w:rsidR="00FC7DE2">
        <w:fldChar w:fldCharType="begin"/>
      </w:r>
      <w:r w:rsidR="00FC7DE2">
        <w:instrText xml:space="preserve"> SEQ Figure \* ARABIC </w:instrText>
      </w:r>
      <w:r w:rsidR="00FC7DE2">
        <w:fldChar w:fldCharType="separate"/>
      </w:r>
      <w:r w:rsidR="00564E5C">
        <w:rPr>
          <w:noProof/>
        </w:rPr>
        <w:t>26</w:t>
      </w:r>
      <w:r w:rsidR="00FC7DE2">
        <w:rPr>
          <w:noProof/>
        </w:rPr>
        <w:fldChar w:fldCharType="end"/>
      </w:r>
      <w:bookmarkEnd w:id="196"/>
      <w:r>
        <w:rPr>
          <w:lang w:val="en-AU"/>
        </w:rPr>
        <w:t xml:space="preserve"> Fossil fuels depletion by material</w:t>
      </w:r>
      <w:r w:rsidR="00726989">
        <w:rPr>
          <w:lang w:val="en-AU"/>
        </w:rPr>
        <w:t xml:space="preserve"> (1 functional unit)</w:t>
      </w:r>
      <w:r>
        <w:rPr>
          <w:lang w:val="en-AU"/>
        </w:rPr>
        <w:t>.</w:t>
      </w:r>
    </w:p>
    <w:p w14:paraId="0D49444A" w14:textId="77777777" w:rsidR="000F2646" w:rsidRPr="000F2646" w:rsidRDefault="000F2646" w:rsidP="000F2646">
      <w:pPr>
        <w:rPr>
          <w:lang w:eastAsia="x-none"/>
        </w:rPr>
      </w:pPr>
    </w:p>
    <w:p w14:paraId="0D49444B" w14:textId="77777777" w:rsidR="00EA55CB" w:rsidRDefault="00EA55CB" w:rsidP="00EA55CB">
      <w:pPr>
        <w:pStyle w:val="Heading2"/>
        <w:rPr>
          <w:lang w:val="en-AU"/>
        </w:rPr>
      </w:pPr>
      <w:bookmarkStart w:id="197" w:name="_Toc433964570"/>
      <w:r>
        <w:rPr>
          <w:lang w:val="en-AU"/>
        </w:rPr>
        <w:t>Land Use</w:t>
      </w:r>
      <w:bookmarkEnd w:id="197"/>
    </w:p>
    <w:p w14:paraId="0D49444C" w14:textId="77777777" w:rsidR="000F2646" w:rsidRDefault="00E0584C" w:rsidP="000F2646">
      <w:pPr>
        <w:rPr>
          <w:lang w:eastAsia="x-none"/>
        </w:rPr>
      </w:pPr>
      <w:r>
        <w:rPr>
          <w:lang w:eastAsia="x-none"/>
        </w:rPr>
        <w:t>The net land use benefit of 0.02 Ha.a is entirely driven by avoided paper production (</w:t>
      </w:r>
      <w:r>
        <w:rPr>
          <w:lang w:eastAsia="x-none"/>
        </w:rPr>
        <w:fldChar w:fldCharType="begin"/>
      </w:r>
      <w:r>
        <w:rPr>
          <w:lang w:eastAsia="x-none"/>
        </w:rPr>
        <w:instrText xml:space="preserve"> REF _Ref358582461 \h </w:instrText>
      </w:r>
      <w:r>
        <w:rPr>
          <w:lang w:eastAsia="x-none"/>
        </w:rPr>
      </w:r>
      <w:r>
        <w:rPr>
          <w:lang w:eastAsia="x-none"/>
        </w:rPr>
        <w:fldChar w:fldCharType="separate"/>
      </w:r>
      <w:r w:rsidR="00564E5C">
        <w:t xml:space="preserve">Figure </w:t>
      </w:r>
      <w:r w:rsidR="00564E5C">
        <w:rPr>
          <w:noProof/>
        </w:rPr>
        <w:t>28</w:t>
      </w:r>
      <w:r>
        <w:rPr>
          <w:lang w:eastAsia="x-none"/>
        </w:rPr>
        <w:fldChar w:fldCharType="end"/>
      </w:r>
      <w:r>
        <w:rPr>
          <w:lang w:eastAsia="x-none"/>
        </w:rPr>
        <w:t>). By recycling paper the land area required to be occupied by forest plantations necessary to supply pulp-logs for paper production is reduced (</w:t>
      </w:r>
      <w:r>
        <w:rPr>
          <w:lang w:eastAsia="x-none"/>
        </w:rPr>
        <w:fldChar w:fldCharType="begin"/>
      </w:r>
      <w:r>
        <w:rPr>
          <w:lang w:eastAsia="x-none"/>
        </w:rPr>
        <w:instrText xml:space="preserve"> REF _Ref358582476 \h </w:instrText>
      </w:r>
      <w:r>
        <w:rPr>
          <w:lang w:eastAsia="x-none"/>
        </w:rPr>
      </w:r>
      <w:r>
        <w:rPr>
          <w:lang w:eastAsia="x-none"/>
        </w:rPr>
        <w:fldChar w:fldCharType="separate"/>
      </w:r>
      <w:r w:rsidR="00564E5C">
        <w:t xml:space="preserve">Figure </w:t>
      </w:r>
      <w:r w:rsidR="00564E5C">
        <w:rPr>
          <w:noProof/>
        </w:rPr>
        <w:t>27</w:t>
      </w:r>
      <w:r>
        <w:rPr>
          <w:lang w:eastAsia="x-none"/>
        </w:rPr>
        <w:fldChar w:fldCharType="end"/>
      </w:r>
      <w:r>
        <w:rPr>
          <w:lang w:eastAsia="x-none"/>
        </w:rPr>
        <w:t>).</w:t>
      </w:r>
    </w:p>
    <w:p w14:paraId="0D49444D" w14:textId="3A39D7BF" w:rsidR="00726989" w:rsidRDefault="00660C49" w:rsidP="00726989">
      <w:pPr>
        <w:keepNext/>
      </w:pPr>
      <w:r>
        <w:rPr>
          <w:noProof/>
        </w:rPr>
        <w:lastRenderedPageBreak/>
        <w:drawing>
          <wp:inline distT="0" distB="0" distL="0" distR="0" wp14:anchorId="58168756" wp14:editId="421B3CAF">
            <wp:extent cx="5731510" cy="2666132"/>
            <wp:effectExtent l="0" t="0" r="2540" b="127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49444E" w14:textId="77777777" w:rsidR="00726989" w:rsidRDefault="00726989" w:rsidP="00726989">
      <w:pPr>
        <w:pStyle w:val="Caption"/>
      </w:pPr>
      <w:bookmarkStart w:id="198" w:name="_Ref358582476"/>
      <w:r>
        <w:t xml:space="preserve">Figure </w:t>
      </w:r>
      <w:r w:rsidR="00FC7DE2">
        <w:fldChar w:fldCharType="begin"/>
      </w:r>
      <w:r w:rsidR="00FC7DE2">
        <w:instrText xml:space="preserve"> SEQ Figure \* ARABIC </w:instrText>
      </w:r>
      <w:r w:rsidR="00FC7DE2">
        <w:fldChar w:fldCharType="separate"/>
      </w:r>
      <w:r w:rsidR="00564E5C">
        <w:rPr>
          <w:noProof/>
        </w:rPr>
        <w:t>27</w:t>
      </w:r>
      <w:r w:rsidR="00FC7DE2">
        <w:rPr>
          <w:noProof/>
        </w:rPr>
        <w:fldChar w:fldCharType="end"/>
      </w:r>
      <w:bookmarkEnd w:id="198"/>
      <w:r>
        <w:rPr>
          <w:lang w:val="en-AU"/>
        </w:rPr>
        <w:t xml:space="preserve"> Land use by process (1 functional unit).</w:t>
      </w:r>
    </w:p>
    <w:p w14:paraId="0D49444F" w14:textId="0DC7C05E" w:rsidR="000F2646" w:rsidRDefault="00660C49" w:rsidP="000F2646">
      <w:pPr>
        <w:keepNext/>
      </w:pPr>
      <w:r>
        <w:rPr>
          <w:noProof/>
        </w:rPr>
        <w:drawing>
          <wp:inline distT="0" distB="0" distL="0" distR="0" wp14:anchorId="432B95B0" wp14:editId="7A1A5BF9">
            <wp:extent cx="5724524" cy="2233613"/>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494450" w14:textId="77777777" w:rsidR="000F2646" w:rsidRDefault="000F2646" w:rsidP="000F2646">
      <w:pPr>
        <w:pStyle w:val="Caption"/>
      </w:pPr>
      <w:bookmarkStart w:id="199" w:name="_Ref358582461"/>
      <w:r>
        <w:t xml:space="preserve">Figure </w:t>
      </w:r>
      <w:r w:rsidR="00FC7DE2">
        <w:fldChar w:fldCharType="begin"/>
      </w:r>
      <w:r w:rsidR="00FC7DE2">
        <w:instrText xml:space="preserve"> SEQ Figure \* ARABIC </w:instrText>
      </w:r>
      <w:r w:rsidR="00FC7DE2">
        <w:fldChar w:fldCharType="separate"/>
      </w:r>
      <w:r w:rsidR="00564E5C">
        <w:rPr>
          <w:noProof/>
        </w:rPr>
        <w:t>28</w:t>
      </w:r>
      <w:r w:rsidR="00FC7DE2">
        <w:rPr>
          <w:noProof/>
        </w:rPr>
        <w:fldChar w:fldCharType="end"/>
      </w:r>
      <w:bookmarkEnd w:id="199"/>
      <w:r>
        <w:rPr>
          <w:lang w:val="en-AU"/>
        </w:rPr>
        <w:t xml:space="preserve"> Land use impacts by material</w:t>
      </w:r>
      <w:r w:rsidR="00726989">
        <w:rPr>
          <w:lang w:val="en-AU"/>
        </w:rPr>
        <w:t xml:space="preserve"> (1 functional unit)</w:t>
      </w:r>
      <w:r>
        <w:rPr>
          <w:lang w:val="en-AU"/>
        </w:rPr>
        <w:t>.</w:t>
      </w:r>
    </w:p>
    <w:p w14:paraId="0D494451" w14:textId="77777777" w:rsidR="000F2646" w:rsidRPr="000F2646" w:rsidRDefault="000F2646" w:rsidP="000F2646">
      <w:pPr>
        <w:rPr>
          <w:lang w:eastAsia="x-none"/>
        </w:rPr>
      </w:pPr>
    </w:p>
    <w:p w14:paraId="0D494452" w14:textId="77777777" w:rsidR="00EA55CB" w:rsidRDefault="00EA55CB" w:rsidP="00EA55CB">
      <w:pPr>
        <w:pStyle w:val="Heading2"/>
        <w:rPr>
          <w:lang w:val="en-AU"/>
        </w:rPr>
      </w:pPr>
      <w:bookmarkStart w:id="200" w:name="_Toc433964571"/>
      <w:r>
        <w:rPr>
          <w:lang w:val="en-AU"/>
        </w:rPr>
        <w:t>Water Use</w:t>
      </w:r>
      <w:bookmarkEnd w:id="200"/>
    </w:p>
    <w:p w14:paraId="0D494453" w14:textId="6205850C" w:rsidR="00E0584C" w:rsidRPr="00E0584C" w:rsidRDefault="00017FF2" w:rsidP="00E0584C">
      <w:pPr>
        <w:rPr>
          <w:lang w:eastAsia="x-none"/>
        </w:rPr>
      </w:pPr>
      <w:r>
        <w:rPr>
          <w:lang w:eastAsia="x-none"/>
        </w:rPr>
        <w:t xml:space="preserve">Like land use, the water use benefit of </w:t>
      </w:r>
      <w:r w:rsidR="00660C49">
        <w:rPr>
          <w:lang w:eastAsia="x-none"/>
        </w:rPr>
        <w:t>4.9</w:t>
      </w:r>
      <w:r w:rsidR="00A62821">
        <w:rPr>
          <w:lang w:eastAsia="x-none"/>
        </w:rPr>
        <w:t xml:space="preserve"> </w:t>
      </w:r>
      <w:r>
        <w:rPr>
          <w:lang w:eastAsia="x-none"/>
        </w:rPr>
        <w:t>kL is caused mostly by one material, garden and green waste (</w:t>
      </w:r>
      <w:r>
        <w:rPr>
          <w:lang w:eastAsia="x-none"/>
        </w:rPr>
        <w:fldChar w:fldCharType="begin"/>
      </w:r>
      <w:r>
        <w:rPr>
          <w:lang w:eastAsia="x-none"/>
        </w:rPr>
        <w:instrText xml:space="preserve"> REF _Ref358582618 \h </w:instrText>
      </w:r>
      <w:r>
        <w:rPr>
          <w:lang w:eastAsia="x-none"/>
        </w:rPr>
      </w:r>
      <w:r>
        <w:rPr>
          <w:lang w:eastAsia="x-none"/>
        </w:rPr>
        <w:fldChar w:fldCharType="separate"/>
      </w:r>
      <w:r w:rsidR="00564E5C">
        <w:t xml:space="preserve">Figure </w:t>
      </w:r>
      <w:r w:rsidR="00564E5C">
        <w:rPr>
          <w:noProof/>
        </w:rPr>
        <w:t>30</w:t>
      </w:r>
      <w:r>
        <w:rPr>
          <w:lang w:eastAsia="x-none"/>
        </w:rPr>
        <w:fldChar w:fldCharType="end"/>
      </w:r>
      <w:r>
        <w:rPr>
          <w:lang w:eastAsia="x-none"/>
        </w:rPr>
        <w:t>). By recycling garden and green waste into compost products and applying those products in agriculture, the water needs of crops are reduc</w:t>
      </w:r>
      <w:r w:rsidR="00A62821">
        <w:rPr>
          <w:lang w:eastAsia="x-none"/>
        </w:rPr>
        <w:t>ed</w:t>
      </w:r>
      <w:r w:rsidR="00747751">
        <w:rPr>
          <w:lang w:eastAsia="x-none"/>
        </w:rPr>
        <w:t>. Although recycling other materials such as aluminium and plastics generate higher water use benefits per tonne (</w:t>
      </w:r>
      <w:r w:rsidR="00A62821">
        <w:rPr>
          <w:lang w:eastAsia="x-none"/>
        </w:rPr>
        <w:fldChar w:fldCharType="begin"/>
      </w:r>
      <w:r w:rsidR="00A62821">
        <w:rPr>
          <w:lang w:eastAsia="x-none"/>
        </w:rPr>
        <w:instrText xml:space="preserve"> REF _Ref360533424 \h </w:instrText>
      </w:r>
      <w:r w:rsidR="00A62821">
        <w:rPr>
          <w:lang w:eastAsia="x-none"/>
        </w:rPr>
      </w:r>
      <w:r w:rsidR="00A62821">
        <w:rPr>
          <w:lang w:eastAsia="x-none"/>
        </w:rPr>
        <w:fldChar w:fldCharType="separate"/>
      </w:r>
      <w:r w:rsidR="00564E5C">
        <w:t xml:space="preserve">Table </w:t>
      </w:r>
      <w:r w:rsidR="00564E5C">
        <w:rPr>
          <w:noProof/>
        </w:rPr>
        <w:t>37</w:t>
      </w:r>
      <w:r w:rsidR="00A62821">
        <w:rPr>
          <w:lang w:eastAsia="x-none"/>
        </w:rPr>
        <w:fldChar w:fldCharType="end"/>
      </w:r>
      <w:r w:rsidR="00747751">
        <w:rPr>
          <w:lang w:eastAsia="x-none"/>
        </w:rPr>
        <w:t>) the large quantity of garden and green waste (54%</w:t>
      </w:r>
      <w:r w:rsidR="00A62821">
        <w:rPr>
          <w:lang w:eastAsia="x-none"/>
        </w:rPr>
        <w:t xml:space="preserve"> of mass recovered</w:t>
      </w:r>
      <w:r w:rsidR="00747751">
        <w:rPr>
          <w:lang w:eastAsia="x-none"/>
        </w:rPr>
        <w:t>) recovered versus these materials (5%</w:t>
      </w:r>
      <w:r w:rsidR="00A62821">
        <w:rPr>
          <w:lang w:eastAsia="x-none"/>
        </w:rPr>
        <w:t xml:space="preserve"> of mass recovered</w:t>
      </w:r>
      <w:r w:rsidR="00747751">
        <w:rPr>
          <w:lang w:eastAsia="x-none"/>
        </w:rPr>
        <w:t>) causes garden and green waste to drive the outcome.</w:t>
      </w:r>
    </w:p>
    <w:p w14:paraId="0D494455" w14:textId="77777777" w:rsidR="00726989" w:rsidRPr="00726989" w:rsidRDefault="00726989" w:rsidP="00726989">
      <w:pPr>
        <w:pStyle w:val="Caption"/>
      </w:pPr>
      <w:bookmarkStart w:id="201" w:name="_Ref358583203"/>
      <w:r>
        <w:t xml:space="preserve">Figure </w:t>
      </w:r>
      <w:r w:rsidR="00FC7DE2">
        <w:fldChar w:fldCharType="begin"/>
      </w:r>
      <w:r w:rsidR="00FC7DE2">
        <w:instrText xml:space="preserve"> SEQ Figure \* ARABIC </w:instrText>
      </w:r>
      <w:r w:rsidR="00FC7DE2">
        <w:fldChar w:fldCharType="separate"/>
      </w:r>
      <w:r w:rsidR="00564E5C">
        <w:rPr>
          <w:noProof/>
        </w:rPr>
        <w:t>29</w:t>
      </w:r>
      <w:r w:rsidR="00FC7DE2">
        <w:rPr>
          <w:noProof/>
        </w:rPr>
        <w:fldChar w:fldCharType="end"/>
      </w:r>
      <w:bookmarkEnd w:id="201"/>
      <w:r>
        <w:rPr>
          <w:lang w:val="en-AU"/>
        </w:rPr>
        <w:t xml:space="preserve"> Water use by process (1 functional unit).</w:t>
      </w:r>
    </w:p>
    <w:p w14:paraId="0D494456" w14:textId="11334B54" w:rsidR="000F2646" w:rsidRDefault="00660C49" w:rsidP="000F2646">
      <w:pPr>
        <w:keepNext/>
      </w:pPr>
      <w:r>
        <w:rPr>
          <w:noProof/>
        </w:rPr>
        <w:lastRenderedPageBreak/>
        <w:drawing>
          <wp:inline distT="0" distB="0" distL="0" distR="0" wp14:anchorId="77DD8B03" wp14:editId="46C7AEE8">
            <wp:extent cx="5731510" cy="2767780"/>
            <wp:effectExtent l="0" t="0" r="254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D494457" w14:textId="77777777" w:rsidR="000F2646" w:rsidRDefault="000F2646" w:rsidP="000F2646">
      <w:pPr>
        <w:pStyle w:val="Caption"/>
      </w:pPr>
      <w:bookmarkStart w:id="202" w:name="_Ref358582618"/>
      <w:r>
        <w:t xml:space="preserve">Figure </w:t>
      </w:r>
      <w:r w:rsidR="00FC7DE2">
        <w:fldChar w:fldCharType="begin"/>
      </w:r>
      <w:r w:rsidR="00FC7DE2">
        <w:instrText xml:space="preserve"> SEQ Figure \* ARABIC </w:instrText>
      </w:r>
      <w:r w:rsidR="00FC7DE2">
        <w:fldChar w:fldCharType="separate"/>
      </w:r>
      <w:r w:rsidR="00564E5C">
        <w:rPr>
          <w:noProof/>
        </w:rPr>
        <w:t>30</w:t>
      </w:r>
      <w:r w:rsidR="00FC7DE2">
        <w:rPr>
          <w:noProof/>
        </w:rPr>
        <w:fldChar w:fldCharType="end"/>
      </w:r>
      <w:bookmarkEnd w:id="202"/>
      <w:r>
        <w:rPr>
          <w:lang w:val="en-AU"/>
        </w:rPr>
        <w:t xml:space="preserve"> Water use impacts by material (1 functional unit).</w:t>
      </w:r>
    </w:p>
    <w:p w14:paraId="0D494458" w14:textId="3AF333B8" w:rsidR="000F2646" w:rsidRPr="000F2646" w:rsidRDefault="00660C49" w:rsidP="000F2646">
      <w:pPr>
        <w:rPr>
          <w:lang w:eastAsia="x-none"/>
        </w:rPr>
      </w:pPr>
      <w:r>
        <w:rPr>
          <w:noProof/>
        </w:rPr>
        <w:drawing>
          <wp:inline distT="0" distB="0" distL="0" distR="0" wp14:anchorId="1F13F230" wp14:editId="31BDD7E4">
            <wp:extent cx="5731510" cy="2181572"/>
            <wp:effectExtent l="0" t="0" r="254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D494459" w14:textId="77777777" w:rsidR="00EA55CB" w:rsidRDefault="00EA55CB" w:rsidP="00EA55CB">
      <w:pPr>
        <w:pStyle w:val="Heading2"/>
        <w:rPr>
          <w:lang w:val="en-AU"/>
        </w:rPr>
      </w:pPr>
      <w:bookmarkStart w:id="203" w:name="_Toc433964572"/>
      <w:r>
        <w:rPr>
          <w:lang w:val="en-AU"/>
        </w:rPr>
        <w:t>Solid Waste</w:t>
      </w:r>
      <w:bookmarkEnd w:id="203"/>
    </w:p>
    <w:p w14:paraId="0D49445A" w14:textId="34624B31" w:rsidR="00726989" w:rsidRDefault="009149B2" w:rsidP="00726989">
      <w:pPr>
        <w:rPr>
          <w:lang w:eastAsia="x-none"/>
        </w:rPr>
      </w:pPr>
      <w:r>
        <w:rPr>
          <w:lang w:eastAsia="x-none"/>
        </w:rPr>
        <w:t xml:space="preserve">The solid waste outcome of </w:t>
      </w:r>
      <w:r w:rsidR="00A62821">
        <w:rPr>
          <w:lang w:eastAsia="x-none"/>
        </w:rPr>
        <w:t>280</w:t>
      </w:r>
      <w:r>
        <w:rPr>
          <w:lang w:eastAsia="x-none"/>
        </w:rPr>
        <w:t xml:space="preserve"> kg benefit is almost entirely due to the avoidance of landfill, which is one of the key reasons recycling is undertaken. The reason the avoided mass is not equal to the full 566 kg of recyclate generated is partly because some landfill is generated as the material is collected, sorted and reprocessed. </w:t>
      </w:r>
      <w:r w:rsidR="00A62821">
        <w:rPr>
          <w:lang w:eastAsia="x-none"/>
        </w:rPr>
        <w:t>It is also</w:t>
      </w:r>
      <w:r>
        <w:rPr>
          <w:lang w:eastAsia="x-none"/>
        </w:rPr>
        <w:t xml:space="preserve"> because the landfill indicator excludes the moisture present in the waste (estimated as 10% for papers and 60% for green and garden waste), and any mass lost due to material degradation in the lan</w:t>
      </w:r>
      <w:r w:rsidR="00A62821">
        <w:rPr>
          <w:lang w:eastAsia="x-none"/>
        </w:rPr>
        <w:t>dfill within a 100 year period (</w:t>
      </w:r>
      <w:r w:rsidR="00E77155">
        <w:rPr>
          <w:lang w:eastAsia="x-none"/>
        </w:rPr>
        <w:t xml:space="preserve">for example, </w:t>
      </w:r>
      <w:r>
        <w:rPr>
          <w:lang w:eastAsia="x-none"/>
        </w:rPr>
        <w:t>the mass of carbon emitted as green</w:t>
      </w:r>
      <w:r w:rsidR="00A62821">
        <w:rPr>
          <w:lang w:eastAsia="x-none"/>
        </w:rPr>
        <w:t>house gasses)</w:t>
      </w:r>
      <w:r>
        <w:rPr>
          <w:lang w:eastAsia="x-none"/>
        </w:rPr>
        <w:t>.</w:t>
      </w:r>
    </w:p>
    <w:p w14:paraId="0D49445B" w14:textId="77777777" w:rsidR="009149B2" w:rsidRDefault="009149B2" w:rsidP="00726989">
      <w:pPr>
        <w:rPr>
          <w:lang w:eastAsia="x-none"/>
        </w:rPr>
      </w:pPr>
      <w:r>
        <w:rPr>
          <w:lang w:eastAsia="x-none"/>
        </w:rPr>
        <w:t>Given that the solid waste outcome is caused by landfill avoidance, the indicator is driven by the mass flows of materials recycled (</w:t>
      </w:r>
      <w:r>
        <w:rPr>
          <w:lang w:eastAsia="x-none"/>
        </w:rPr>
        <w:fldChar w:fldCharType="begin"/>
      </w:r>
      <w:r>
        <w:rPr>
          <w:lang w:eastAsia="x-none"/>
        </w:rPr>
        <w:instrText xml:space="preserve"> REF _Ref358583888 \h </w:instrText>
      </w:r>
      <w:r>
        <w:rPr>
          <w:lang w:eastAsia="x-none"/>
        </w:rPr>
      </w:r>
      <w:r>
        <w:rPr>
          <w:lang w:eastAsia="x-none"/>
        </w:rPr>
        <w:fldChar w:fldCharType="separate"/>
      </w:r>
      <w:r w:rsidR="00564E5C">
        <w:t xml:space="preserve">Figure </w:t>
      </w:r>
      <w:r w:rsidR="00564E5C">
        <w:rPr>
          <w:noProof/>
        </w:rPr>
        <w:t>32</w:t>
      </w:r>
      <w:r>
        <w:rPr>
          <w:lang w:eastAsia="x-none"/>
        </w:rPr>
        <w:fldChar w:fldCharType="end"/>
      </w:r>
      <w:r>
        <w:rPr>
          <w:lang w:eastAsia="x-none"/>
        </w:rPr>
        <w:t>).</w:t>
      </w:r>
    </w:p>
    <w:p w14:paraId="0D49445C" w14:textId="6D7A21A0" w:rsidR="00726989" w:rsidRDefault="00660C49" w:rsidP="00726989">
      <w:pPr>
        <w:keepNext/>
      </w:pPr>
      <w:r>
        <w:rPr>
          <w:noProof/>
        </w:rPr>
        <w:lastRenderedPageBreak/>
        <w:drawing>
          <wp:inline distT="0" distB="0" distL="0" distR="0" wp14:anchorId="0168F1DD" wp14:editId="2A5207DB">
            <wp:extent cx="5731510" cy="2673480"/>
            <wp:effectExtent l="0" t="0" r="254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49445D" w14:textId="77777777" w:rsidR="00726989" w:rsidRPr="00726989" w:rsidRDefault="00726989" w:rsidP="00726989">
      <w:pPr>
        <w:pStyle w:val="Caption"/>
      </w:pPr>
      <w:r>
        <w:t xml:space="preserve">Figure </w:t>
      </w:r>
      <w:r w:rsidR="00FC7DE2">
        <w:fldChar w:fldCharType="begin"/>
      </w:r>
      <w:r w:rsidR="00FC7DE2">
        <w:instrText xml:space="preserve"> SEQ Figure \* ARABIC </w:instrText>
      </w:r>
      <w:r w:rsidR="00FC7DE2">
        <w:fldChar w:fldCharType="separate"/>
      </w:r>
      <w:r w:rsidR="00564E5C">
        <w:rPr>
          <w:noProof/>
        </w:rPr>
        <w:t>31</w:t>
      </w:r>
      <w:r w:rsidR="00FC7DE2">
        <w:rPr>
          <w:noProof/>
        </w:rPr>
        <w:fldChar w:fldCharType="end"/>
      </w:r>
      <w:r>
        <w:rPr>
          <w:lang w:val="en-AU"/>
        </w:rPr>
        <w:t xml:space="preserve"> Solid waste by process (1 functional unit).</w:t>
      </w:r>
    </w:p>
    <w:p w14:paraId="0D49445E" w14:textId="6F21F79B" w:rsidR="000F2646" w:rsidRDefault="00660C49" w:rsidP="000F2646">
      <w:pPr>
        <w:keepNext/>
      </w:pPr>
      <w:r>
        <w:rPr>
          <w:noProof/>
        </w:rPr>
        <w:drawing>
          <wp:inline distT="0" distB="0" distL="0" distR="0" wp14:anchorId="0524D8E4" wp14:editId="64F27464">
            <wp:extent cx="5731510" cy="2181572"/>
            <wp:effectExtent l="0" t="0" r="254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49445F" w14:textId="77777777" w:rsidR="000F2646" w:rsidRDefault="000F2646" w:rsidP="000F2646">
      <w:pPr>
        <w:pStyle w:val="Caption"/>
      </w:pPr>
      <w:bookmarkStart w:id="204" w:name="_Ref358583888"/>
      <w:r>
        <w:t xml:space="preserve">Figure </w:t>
      </w:r>
      <w:r w:rsidR="00FC7DE2">
        <w:fldChar w:fldCharType="begin"/>
      </w:r>
      <w:r w:rsidR="00FC7DE2">
        <w:instrText xml:space="preserve"> SEQ Figure \* ARABIC </w:instrText>
      </w:r>
      <w:r w:rsidR="00FC7DE2">
        <w:fldChar w:fldCharType="separate"/>
      </w:r>
      <w:r w:rsidR="00564E5C">
        <w:rPr>
          <w:noProof/>
        </w:rPr>
        <w:t>32</w:t>
      </w:r>
      <w:r w:rsidR="00FC7DE2">
        <w:rPr>
          <w:noProof/>
        </w:rPr>
        <w:fldChar w:fldCharType="end"/>
      </w:r>
      <w:bookmarkEnd w:id="204"/>
      <w:r>
        <w:rPr>
          <w:lang w:val="en-AU"/>
        </w:rPr>
        <w:t xml:space="preserve"> Solid waste impacts by material (1 functional unit).</w:t>
      </w:r>
    </w:p>
    <w:p w14:paraId="0D494460" w14:textId="77777777" w:rsidR="000F2646" w:rsidRPr="000F2646" w:rsidRDefault="000F2646" w:rsidP="000F2646">
      <w:pPr>
        <w:rPr>
          <w:lang w:eastAsia="x-none"/>
        </w:rPr>
      </w:pPr>
    </w:p>
    <w:p w14:paraId="0D494461" w14:textId="77777777" w:rsidR="00EA55CB" w:rsidRDefault="00EA55CB" w:rsidP="00EA55CB">
      <w:pPr>
        <w:pStyle w:val="Heading2"/>
        <w:rPr>
          <w:lang w:val="en-AU"/>
        </w:rPr>
      </w:pPr>
      <w:bookmarkStart w:id="205" w:name="_Toc433964573"/>
      <w:r>
        <w:rPr>
          <w:lang w:val="en-AU"/>
        </w:rPr>
        <w:t>Cumulative Energy Demand</w:t>
      </w:r>
      <w:bookmarkEnd w:id="205"/>
    </w:p>
    <w:p w14:paraId="21CE108F" w14:textId="15766581" w:rsidR="002D2BEF" w:rsidRDefault="00053F22" w:rsidP="001D0F83">
      <w:pPr>
        <w:rPr>
          <w:lang w:eastAsia="x-none"/>
        </w:rPr>
      </w:pPr>
      <w:r>
        <w:rPr>
          <w:lang w:eastAsia="x-none"/>
        </w:rPr>
        <w:t>The Recycling System requires energy in order to operate so must avoid a greater amount of</w:t>
      </w:r>
      <w:r w:rsidR="00A62821">
        <w:rPr>
          <w:lang w:eastAsia="x-none"/>
        </w:rPr>
        <w:t xml:space="preserve"> energy use in the Alternative S</w:t>
      </w:r>
      <w:r>
        <w:rPr>
          <w:lang w:eastAsia="x-none"/>
        </w:rPr>
        <w:t>y</w:t>
      </w:r>
      <w:r w:rsidR="002D2BEF">
        <w:rPr>
          <w:lang w:eastAsia="x-none"/>
        </w:rPr>
        <w:t>stem to generate a net benefit. This is indeed the case, as the energy requirements of the Recycling System are less than the Alternative system by 2</w:t>
      </w:r>
      <w:r w:rsidR="003B29C7">
        <w:rPr>
          <w:lang w:eastAsia="x-none"/>
        </w:rPr>
        <w:t>1</w:t>
      </w:r>
      <w:r w:rsidR="002D2BEF">
        <w:rPr>
          <w:lang w:eastAsia="x-none"/>
        </w:rPr>
        <w:t>00 MJ (LHV). The Recycling System benefit is derived from the lower energy requirements of the reprocessing system versus the materi</w:t>
      </w:r>
      <w:r w:rsidR="002765CE">
        <w:rPr>
          <w:lang w:eastAsia="x-none"/>
        </w:rPr>
        <w:t>al production processes of the Alternative S</w:t>
      </w:r>
      <w:r w:rsidR="002D2BEF">
        <w:rPr>
          <w:lang w:eastAsia="x-none"/>
        </w:rPr>
        <w:t>ystem (</w:t>
      </w:r>
      <w:r w:rsidR="002D2BEF">
        <w:rPr>
          <w:lang w:eastAsia="x-none"/>
        </w:rPr>
        <w:fldChar w:fldCharType="begin"/>
      </w:r>
      <w:r w:rsidR="002D2BEF">
        <w:rPr>
          <w:lang w:eastAsia="x-none"/>
        </w:rPr>
        <w:instrText xml:space="preserve"> REF _Ref358585748 \h </w:instrText>
      </w:r>
      <w:r w:rsidR="002D2BEF">
        <w:rPr>
          <w:lang w:eastAsia="x-none"/>
        </w:rPr>
      </w:r>
      <w:r w:rsidR="002D2BEF">
        <w:rPr>
          <w:lang w:eastAsia="x-none"/>
        </w:rPr>
        <w:fldChar w:fldCharType="separate"/>
      </w:r>
      <w:r w:rsidR="00564E5C">
        <w:t xml:space="preserve">Figure </w:t>
      </w:r>
      <w:r w:rsidR="00564E5C">
        <w:rPr>
          <w:noProof/>
        </w:rPr>
        <w:t>33</w:t>
      </w:r>
      <w:r w:rsidR="002D2BEF">
        <w:rPr>
          <w:lang w:eastAsia="x-none"/>
        </w:rPr>
        <w:fldChar w:fldCharType="end"/>
      </w:r>
      <w:r w:rsidR="002D2BEF">
        <w:rPr>
          <w:lang w:eastAsia="x-none"/>
        </w:rPr>
        <w:t>).</w:t>
      </w:r>
    </w:p>
    <w:p w14:paraId="5B60738A" w14:textId="5B0675EF" w:rsidR="002D2BEF" w:rsidRDefault="002D2BEF" w:rsidP="001D0F83">
      <w:pPr>
        <w:rPr>
          <w:lang w:eastAsia="x-none"/>
        </w:rPr>
      </w:pPr>
      <w:r>
        <w:rPr>
          <w:lang w:eastAsia="x-none"/>
        </w:rPr>
        <w:t>Materials being reprocessed that generated the greatest benefits are aluminium, glass and the plastics (</w:t>
      </w:r>
      <w:r>
        <w:rPr>
          <w:lang w:eastAsia="x-none"/>
        </w:rPr>
        <w:fldChar w:fldCharType="begin"/>
      </w:r>
      <w:r>
        <w:rPr>
          <w:lang w:eastAsia="x-none"/>
        </w:rPr>
        <w:instrText xml:space="preserve"> REF _Ref358585700 \h </w:instrText>
      </w:r>
      <w:r>
        <w:rPr>
          <w:lang w:eastAsia="x-none"/>
        </w:rPr>
      </w:r>
      <w:r>
        <w:rPr>
          <w:lang w:eastAsia="x-none"/>
        </w:rPr>
        <w:fldChar w:fldCharType="separate"/>
      </w:r>
      <w:r w:rsidR="00564E5C">
        <w:t xml:space="preserve">Figure </w:t>
      </w:r>
      <w:r w:rsidR="00564E5C">
        <w:rPr>
          <w:noProof/>
        </w:rPr>
        <w:t>34</w:t>
      </w:r>
      <w:r>
        <w:rPr>
          <w:lang w:eastAsia="x-none"/>
        </w:rPr>
        <w:fldChar w:fldCharType="end"/>
      </w:r>
      <w:r>
        <w:rPr>
          <w:lang w:eastAsia="x-none"/>
        </w:rPr>
        <w:t>). The energy intensity of aluminium production from virgin resources versus aluminium scrap reprocessing is emphasised by the significant contribution aluminium makes to the overall Recycling System benefit. Only 3 kg (1% of collected materials) of aluminium is collected yet it contributes 30% of the energy benefit of the Recycling System. There is little difference in the energy required to produce packaging paper (kraft process) from forest resources versus producing it from waste paper, so paper contributes little to the overall energy balance</w:t>
      </w:r>
      <w:r>
        <w:rPr>
          <w:rStyle w:val="FootnoteReference"/>
          <w:lang w:eastAsia="x-none"/>
        </w:rPr>
        <w:footnoteReference w:id="8"/>
      </w:r>
      <w:r>
        <w:rPr>
          <w:lang w:eastAsia="x-none"/>
        </w:rPr>
        <w:t>.</w:t>
      </w:r>
    </w:p>
    <w:p w14:paraId="0D494463" w14:textId="147C4EFA" w:rsidR="00675002" w:rsidRDefault="00675002" w:rsidP="00726989">
      <w:pPr>
        <w:rPr>
          <w:lang w:eastAsia="x-none"/>
        </w:rPr>
      </w:pPr>
      <w:r>
        <w:rPr>
          <w:lang w:eastAsia="x-none"/>
        </w:rPr>
        <w:t>It must be remembered that CED is not a measure of environmental impact, rat</w:t>
      </w:r>
      <w:r w:rsidR="00C22784">
        <w:rPr>
          <w:lang w:eastAsia="x-none"/>
        </w:rPr>
        <w:t xml:space="preserve">her a precursor </w:t>
      </w:r>
      <w:r w:rsidR="00C22784">
        <w:rPr>
          <w:lang w:eastAsia="x-none"/>
        </w:rPr>
        <w:lastRenderedPageBreak/>
        <w:t xml:space="preserve">measure that is </w:t>
      </w:r>
      <w:r>
        <w:rPr>
          <w:lang w:eastAsia="x-none"/>
        </w:rPr>
        <w:t xml:space="preserve">useful for assessing system </w:t>
      </w:r>
      <w:r w:rsidR="00C22784">
        <w:rPr>
          <w:lang w:eastAsia="x-none"/>
        </w:rPr>
        <w:t xml:space="preserve">energy </w:t>
      </w:r>
      <w:r>
        <w:rPr>
          <w:lang w:eastAsia="x-none"/>
        </w:rPr>
        <w:t xml:space="preserve">efficiency, and for comparing LCA studies as it is commonly </w:t>
      </w:r>
      <w:r w:rsidR="00C22784">
        <w:rPr>
          <w:lang w:eastAsia="x-none"/>
        </w:rPr>
        <w:t>calculated</w:t>
      </w:r>
      <w:r>
        <w:rPr>
          <w:lang w:eastAsia="x-none"/>
        </w:rPr>
        <w:t>. The finding in this study that paper recycling requires more primary energy than disposing of paper to landfill is silent as the impact this might have upon th</w:t>
      </w:r>
      <w:r w:rsidR="00C22784">
        <w:rPr>
          <w:lang w:eastAsia="x-none"/>
        </w:rPr>
        <w:t>e environment.</w:t>
      </w:r>
    </w:p>
    <w:p w14:paraId="0D494464" w14:textId="6AEECD2E" w:rsidR="00726989" w:rsidRDefault="00660C49" w:rsidP="00726989">
      <w:pPr>
        <w:keepNext/>
      </w:pPr>
      <w:r>
        <w:rPr>
          <w:noProof/>
        </w:rPr>
        <w:drawing>
          <wp:inline distT="0" distB="0" distL="0" distR="0" wp14:anchorId="664241BD" wp14:editId="353F5130">
            <wp:extent cx="5731510" cy="2661846"/>
            <wp:effectExtent l="0" t="0" r="2540" b="571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D494465" w14:textId="77777777" w:rsidR="00726989" w:rsidRPr="00726989" w:rsidRDefault="00726989" w:rsidP="00726989">
      <w:pPr>
        <w:pStyle w:val="Caption"/>
      </w:pPr>
      <w:bookmarkStart w:id="206" w:name="_Ref358585748"/>
      <w:r>
        <w:t xml:space="preserve">Figure </w:t>
      </w:r>
      <w:r w:rsidR="00FC7DE2">
        <w:fldChar w:fldCharType="begin"/>
      </w:r>
      <w:r w:rsidR="00FC7DE2">
        <w:instrText xml:space="preserve"> SEQ Figure \* ARABIC </w:instrText>
      </w:r>
      <w:r w:rsidR="00FC7DE2">
        <w:fldChar w:fldCharType="separate"/>
      </w:r>
      <w:r w:rsidR="00564E5C">
        <w:rPr>
          <w:noProof/>
        </w:rPr>
        <w:t>33</w:t>
      </w:r>
      <w:r w:rsidR="00FC7DE2">
        <w:rPr>
          <w:noProof/>
        </w:rPr>
        <w:fldChar w:fldCharType="end"/>
      </w:r>
      <w:bookmarkEnd w:id="206"/>
      <w:r>
        <w:rPr>
          <w:lang w:val="en-AU"/>
        </w:rPr>
        <w:t xml:space="preserve"> Cumulative energy demand by process (1 functional unit).</w:t>
      </w:r>
    </w:p>
    <w:p w14:paraId="0D494466" w14:textId="5A83DB86" w:rsidR="000F2646" w:rsidRDefault="00660C49" w:rsidP="000F2646">
      <w:pPr>
        <w:keepNext/>
      </w:pPr>
      <w:r>
        <w:rPr>
          <w:noProof/>
        </w:rPr>
        <w:drawing>
          <wp:inline distT="0" distB="0" distL="0" distR="0" wp14:anchorId="0F898983" wp14:editId="0D22A62B">
            <wp:extent cx="5731510" cy="2181572"/>
            <wp:effectExtent l="0" t="0" r="254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D494467" w14:textId="77777777" w:rsidR="002E3472" w:rsidRDefault="000F2646" w:rsidP="000F2646">
      <w:pPr>
        <w:pStyle w:val="Caption"/>
      </w:pPr>
      <w:bookmarkStart w:id="207" w:name="_Ref358585700"/>
      <w:r>
        <w:t xml:space="preserve">Figure </w:t>
      </w:r>
      <w:r w:rsidR="00FC7DE2">
        <w:fldChar w:fldCharType="begin"/>
      </w:r>
      <w:r w:rsidR="00FC7DE2">
        <w:instrText xml:space="preserve"> SEQ Figure \* ARABIC </w:instrText>
      </w:r>
      <w:r w:rsidR="00FC7DE2">
        <w:fldChar w:fldCharType="separate"/>
      </w:r>
      <w:r w:rsidR="00564E5C">
        <w:rPr>
          <w:noProof/>
        </w:rPr>
        <w:t>34</w:t>
      </w:r>
      <w:r w:rsidR="00FC7DE2">
        <w:rPr>
          <w:noProof/>
        </w:rPr>
        <w:fldChar w:fldCharType="end"/>
      </w:r>
      <w:bookmarkEnd w:id="207"/>
      <w:r>
        <w:rPr>
          <w:lang w:val="en-AU"/>
        </w:rPr>
        <w:t xml:space="preserve"> Cumulative energy demand impacts by material (1 functional unit).</w:t>
      </w:r>
    </w:p>
    <w:p w14:paraId="0D494468" w14:textId="77777777" w:rsidR="00115C42" w:rsidRDefault="00115C42" w:rsidP="007A26F2">
      <w:pPr>
        <w:rPr>
          <w:lang w:eastAsia="x-none"/>
        </w:rPr>
      </w:pPr>
    </w:p>
    <w:p w14:paraId="0D494469" w14:textId="77777777" w:rsidR="00FC60D8" w:rsidRDefault="00FC60D8" w:rsidP="00FC60D8">
      <w:pPr>
        <w:pStyle w:val="Heading1"/>
        <w:rPr>
          <w:lang w:val="en-AU"/>
        </w:rPr>
      </w:pPr>
      <w:bookmarkStart w:id="208" w:name="_Toc433964574"/>
      <w:r>
        <w:rPr>
          <w:lang w:val="en-AU"/>
        </w:rPr>
        <w:lastRenderedPageBreak/>
        <w:t>Validation</w:t>
      </w:r>
      <w:bookmarkEnd w:id="208"/>
    </w:p>
    <w:p w14:paraId="0D49446A" w14:textId="77777777" w:rsidR="00FC60D8" w:rsidRDefault="0011310D" w:rsidP="00942B0A">
      <w:pPr>
        <w:pStyle w:val="Heading2"/>
        <w:rPr>
          <w:lang w:val="en-AU"/>
        </w:rPr>
      </w:pPr>
      <w:bookmarkStart w:id="209" w:name="_Ref362987973"/>
      <w:bookmarkStart w:id="210" w:name="_Ref362987978"/>
      <w:bookmarkStart w:id="211" w:name="_Toc433964575"/>
      <w:r>
        <w:rPr>
          <w:lang w:val="en-AU"/>
        </w:rPr>
        <w:t>Comparison to the prior study</w:t>
      </w:r>
      <w:bookmarkEnd w:id="209"/>
      <w:bookmarkEnd w:id="210"/>
      <w:bookmarkEnd w:id="211"/>
    </w:p>
    <w:p w14:paraId="2CCCD8B9" w14:textId="158C32A8" w:rsidR="000A473A" w:rsidRDefault="000A473A" w:rsidP="000044BE">
      <w:pPr>
        <w:rPr>
          <w:lang w:eastAsia="x-none"/>
        </w:rPr>
      </w:pPr>
      <w:r>
        <w:rPr>
          <w:lang w:eastAsia="x-none"/>
        </w:rPr>
        <w:t xml:space="preserve">Since the prior LCA study of recycling in Victoria </w:t>
      </w:r>
      <w:r w:rsidR="00DD0050">
        <w:rPr>
          <w:lang w:eastAsia="x-none"/>
        </w:rPr>
        <w:fldChar w:fldCharType="begin"/>
      </w:r>
      <w:r w:rsidR="00F40CE2">
        <w:rPr>
          <w:lang w:eastAsia="x-none"/>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DD0050">
        <w:rPr>
          <w:lang w:eastAsia="x-none"/>
        </w:rPr>
        <w:fldChar w:fldCharType="separate"/>
      </w:r>
      <w:r w:rsidR="00F40CE2">
        <w:rPr>
          <w:noProof/>
          <w:lang w:eastAsia="x-none"/>
        </w:rPr>
        <w:t>(</w:t>
      </w:r>
      <w:hyperlink w:anchor="_ENREF_35" w:tooltip="Grant, 2001 #262" w:history="1">
        <w:r w:rsidR="00F40CE2">
          <w:rPr>
            <w:noProof/>
            <w:lang w:eastAsia="x-none"/>
          </w:rPr>
          <w:t>Grant et al., 2001a</w:t>
        </w:r>
      </w:hyperlink>
      <w:r w:rsidR="00F40CE2">
        <w:rPr>
          <w:noProof/>
          <w:lang w:eastAsia="x-none"/>
        </w:rPr>
        <w:t>)</w:t>
      </w:r>
      <w:r w:rsidR="00DD0050">
        <w:rPr>
          <w:lang w:eastAsia="x-none"/>
        </w:rPr>
        <w:fldChar w:fldCharType="end"/>
      </w:r>
      <w:r>
        <w:rPr>
          <w:lang w:eastAsia="x-none"/>
        </w:rPr>
        <w:t xml:space="preserve"> many aspects of the recycling system have changed. Notable amongst the changes are the following:</w:t>
      </w:r>
    </w:p>
    <w:p w14:paraId="498C66A3" w14:textId="4419A7EE" w:rsidR="000A473A" w:rsidRDefault="000A473A" w:rsidP="009E73CF">
      <w:pPr>
        <w:pStyle w:val="ListParagraph"/>
        <w:numPr>
          <w:ilvl w:val="0"/>
          <w:numId w:val="34"/>
        </w:numPr>
        <w:rPr>
          <w:lang w:eastAsia="x-none"/>
        </w:rPr>
      </w:pPr>
      <w:r>
        <w:rPr>
          <w:lang w:eastAsia="x-none"/>
        </w:rPr>
        <w:t>Move to comingled recycling bins across the state</w:t>
      </w:r>
    </w:p>
    <w:p w14:paraId="363EA727" w14:textId="3F108BAC" w:rsidR="000A473A" w:rsidRDefault="000A473A" w:rsidP="009E73CF">
      <w:pPr>
        <w:pStyle w:val="ListParagraph"/>
        <w:numPr>
          <w:ilvl w:val="0"/>
          <w:numId w:val="34"/>
        </w:numPr>
        <w:rPr>
          <w:lang w:eastAsia="x-none"/>
        </w:rPr>
      </w:pPr>
      <w:r>
        <w:rPr>
          <w:lang w:eastAsia="x-none"/>
        </w:rPr>
        <w:t>Significantly increased collection of garden and green waste</w:t>
      </w:r>
    </w:p>
    <w:p w14:paraId="0A56A238" w14:textId="243E1C29" w:rsidR="000A473A" w:rsidRDefault="000A473A" w:rsidP="009E73CF">
      <w:pPr>
        <w:pStyle w:val="ListParagraph"/>
        <w:numPr>
          <w:ilvl w:val="0"/>
          <w:numId w:val="34"/>
        </w:numPr>
        <w:rPr>
          <w:lang w:eastAsia="x-none"/>
        </w:rPr>
      </w:pPr>
      <w:r>
        <w:rPr>
          <w:lang w:eastAsia="x-none"/>
        </w:rPr>
        <w:t>Increased use of international reprocessors</w:t>
      </w:r>
    </w:p>
    <w:p w14:paraId="78CB2457" w14:textId="418E2ABB" w:rsidR="000A473A" w:rsidRDefault="000A473A" w:rsidP="009E73CF">
      <w:pPr>
        <w:pStyle w:val="ListParagraph"/>
        <w:numPr>
          <w:ilvl w:val="0"/>
          <w:numId w:val="34"/>
        </w:numPr>
        <w:rPr>
          <w:lang w:eastAsia="x-none"/>
        </w:rPr>
      </w:pPr>
      <w:r>
        <w:rPr>
          <w:lang w:eastAsia="x-none"/>
        </w:rPr>
        <w:t>Improvements in the management of landfill</w:t>
      </w:r>
    </w:p>
    <w:p w14:paraId="0614240F" w14:textId="4DB804A4" w:rsidR="000A473A" w:rsidRDefault="000A473A" w:rsidP="009E73CF">
      <w:pPr>
        <w:pStyle w:val="ListParagraph"/>
        <w:numPr>
          <w:ilvl w:val="0"/>
          <w:numId w:val="34"/>
        </w:numPr>
        <w:rPr>
          <w:lang w:eastAsia="x-none"/>
        </w:rPr>
      </w:pPr>
      <w:r>
        <w:rPr>
          <w:lang w:eastAsia="x-none"/>
        </w:rPr>
        <w:t>Increased recycling rates overall</w:t>
      </w:r>
    </w:p>
    <w:p w14:paraId="7FEE7DF8" w14:textId="127A46BF" w:rsidR="00C22784" w:rsidRDefault="00C22784" w:rsidP="009E73CF">
      <w:pPr>
        <w:pStyle w:val="ListParagraph"/>
        <w:numPr>
          <w:ilvl w:val="0"/>
          <w:numId w:val="34"/>
        </w:numPr>
        <w:rPr>
          <w:lang w:eastAsia="x-none"/>
        </w:rPr>
      </w:pPr>
      <w:r>
        <w:rPr>
          <w:lang w:eastAsia="x-none"/>
        </w:rPr>
        <w:t>Changes to reprocessing pathways</w:t>
      </w:r>
    </w:p>
    <w:p w14:paraId="5E9D29F2" w14:textId="3048CA89" w:rsidR="000A473A" w:rsidRDefault="000A473A" w:rsidP="000044BE">
      <w:r>
        <w:rPr>
          <w:lang w:eastAsia="x-none"/>
        </w:rPr>
        <w:t xml:space="preserve">The mass of material recycled has increased since the prior study as shown in </w:t>
      </w:r>
      <w:r>
        <w:rPr>
          <w:lang w:eastAsia="x-none"/>
        </w:rPr>
        <w:fldChar w:fldCharType="begin"/>
      </w:r>
      <w:r>
        <w:rPr>
          <w:lang w:eastAsia="x-none"/>
        </w:rPr>
        <w:instrText xml:space="preserve"> REF _Ref360580984 \h </w:instrText>
      </w:r>
      <w:r>
        <w:rPr>
          <w:lang w:eastAsia="x-none"/>
        </w:rPr>
      </w:r>
      <w:r>
        <w:rPr>
          <w:lang w:eastAsia="x-none"/>
        </w:rPr>
        <w:fldChar w:fldCharType="separate"/>
      </w:r>
      <w:r w:rsidR="00564E5C">
        <w:t xml:space="preserve">Table </w:t>
      </w:r>
      <w:r w:rsidR="00564E5C">
        <w:rPr>
          <w:noProof/>
        </w:rPr>
        <w:t>39</w:t>
      </w:r>
      <w:r>
        <w:rPr>
          <w:lang w:eastAsia="x-none"/>
        </w:rPr>
        <w:fldChar w:fldCharType="end"/>
      </w:r>
      <w:r>
        <w:rPr>
          <w:lang w:eastAsia="x-none"/>
        </w:rPr>
        <w:t>.</w:t>
      </w:r>
    </w:p>
    <w:p w14:paraId="4E5F0F91" w14:textId="451F24A9" w:rsidR="000A473A" w:rsidRDefault="000A473A" w:rsidP="000A473A">
      <w:pPr>
        <w:pStyle w:val="Caption"/>
        <w:keepNext/>
      </w:pPr>
      <w:bookmarkStart w:id="212" w:name="_Ref360580984"/>
      <w:r>
        <w:t xml:space="preserve">Table </w:t>
      </w:r>
      <w:r w:rsidR="00FC7DE2">
        <w:fldChar w:fldCharType="begin"/>
      </w:r>
      <w:r w:rsidR="00FC7DE2">
        <w:instrText xml:space="preserve"> SEQ Table \* ARABIC </w:instrText>
      </w:r>
      <w:r w:rsidR="00FC7DE2">
        <w:fldChar w:fldCharType="separate"/>
      </w:r>
      <w:r w:rsidR="00564E5C">
        <w:rPr>
          <w:noProof/>
        </w:rPr>
        <w:t>39</w:t>
      </w:r>
      <w:r w:rsidR="00FC7DE2">
        <w:rPr>
          <w:noProof/>
        </w:rPr>
        <w:fldChar w:fldCharType="end"/>
      </w:r>
      <w:bookmarkEnd w:id="212"/>
      <w:r>
        <w:rPr>
          <w:lang w:val="en-AU"/>
        </w:rPr>
        <w:t xml:space="preserve"> Comparison of recycling quantities (values shown in kg per household per year).</w:t>
      </w:r>
    </w:p>
    <w:p w14:paraId="3B71155A" w14:textId="5CDE7E39" w:rsidR="000A473A" w:rsidRDefault="000A473A" w:rsidP="000044BE">
      <w:pPr>
        <w:rPr>
          <w:lang w:eastAsia="x-none"/>
        </w:rPr>
      </w:pPr>
      <w:r w:rsidRPr="000A473A">
        <w:rPr>
          <w:noProof/>
        </w:rPr>
        <w:drawing>
          <wp:inline distT="0" distB="0" distL="0" distR="0" wp14:anchorId="5745C175" wp14:editId="702D4B8C">
            <wp:extent cx="2204113" cy="1753694"/>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6263" cy="1755405"/>
                    </a:xfrm>
                    <a:prstGeom prst="rect">
                      <a:avLst/>
                    </a:prstGeom>
                    <a:noFill/>
                    <a:ln>
                      <a:noFill/>
                    </a:ln>
                  </pic:spPr>
                </pic:pic>
              </a:graphicData>
            </a:graphic>
          </wp:inline>
        </w:drawing>
      </w:r>
    </w:p>
    <w:p w14:paraId="3EC0F522" w14:textId="39B2645A" w:rsidR="00F17CF5" w:rsidRDefault="000A473A" w:rsidP="007A26F2">
      <w:pPr>
        <w:rPr>
          <w:lang w:eastAsia="x-none"/>
        </w:rPr>
      </w:pPr>
      <w:r>
        <w:rPr>
          <w:lang w:eastAsia="x-none"/>
        </w:rPr>
        <w:t>A comparison of study results on a mass basis show</w:t>
      </w:r>
      <w:r w:rsidR="00C22784">
        <w:rPr>
          <w:lang w:eastAsia="x-none"/>
        </w:rPr>
        <w:t>s</w:t>
      </w:r>
      <w:r>
        <w:rPr>
          <w:lang w:eastAsia="x-none"/>
        </w:rPr>
        <w:t xml:space="preserve"> that changes beyond the quantities recycled have also </w:t>
      </w:r>
      <w:r w:rsidR="00F17CF5">
        <w:rPr>
          <w:lang w:eastAsia="x-none"/>
        </w:rPr>
        <w:t xml:space="preserve">occurred. These changes are reviewed and the differences explained in </w:t>
      </w:r>
      <w:r w:rsidR="005D2C88">
        <w:rPr>
          <w:lang w:eastAsia="x-none"/>
        </w:rPr>
        <w:fldChar w:fldCharType="begin"/>
      </w:r>
      <w:r w:rsidR="005D2C88">
        <w:rPr>
          <w:lang w:eastAsia="x-none"/>
        </w:rPr>
        <w:instrText xml:space="preserve"> REF _Ref363172893 \h </w:instrText>
      </w:r>
      <w:r w:rsidR="005D2C88">
        <w:rPr>
          <w:lang w:eastAsia="x-none"/>
        </w:rPr>
      </w:r>
      <w:r w:rsidR="005D2C88">
        <w:rPr>
          <w:lang w:eastAsia="x-none"/>
        </w:rPr>
        <w:fldChar w:fldCharType="separate"/>
      </w:r>
      <w:r w:rsidR="00564E5C">
        <w:t xml:space="preserve">Table </w:t>
      </w:r>
      <w:r w:rsidR="00564E5C">
        <w:rPr>
          <w:noProof/>
        </w:rPr>
        <w:t>40</w:t>
      </w:r>
      <w:r w:rsidR="005D2C88">
        <w:rPr>
          <w:lang w:eastAsia="x-none"/>
        </w:rPr>
        <w:fldChar w:fldCharType="end"/>
      </w:r>
      <w:r w:rsidR="005D2C88">
        <w:rPr>
          <w:lang w:eastAsia="x-none"/>
        </w:rPr>
        <w:t xml:space="preserve">, </w:t>
      </w:r>
      <w:r w:rsidR="005D2C88">
        <w:rPr>
          <w:lang w:eastAsia="x-none"/>
        </w:rPr>
        <w:fldChar w:fldCharType="begin"/>
      </w:r>
      <w:r w:rsidR="005D2C88">
        <w:rPr>
          <w:lang w:eastAsia="x-none"/>
        </w:rPr>
        <w:instrText xml:space="preserve"> REF _Ref363172900 \h </w:instrText>
      </w:r>
      <w:r w:rsidR="005D2C88">
        <w:rPr>
          <w:lang w:eastAsia="x-none"/>
        </w:rPr>
      </w:r>
      <w:r w:rsidR="005D2C88">
        <w:rPr>
          <w:lang w:eastAsia="x-none"/>
        </w:rPr>
        <w:fldChar w:fldCharType="separate"/>
      </w:r>
      <w:r w:rsidR="00564E5C">
        <w:t xml:space="preserve">Table </w:t>
      </w:r>
      <w:r w:rsidR="00564E5C">
        <w:rPr>
          <w:noProof/>
        </w:rPr>
        <w:t>41</w:t>
      </w:r>
      <w:r w:rsidR="005D2C88">
        <w:rPr>
          <w:lang w:eastAsia="x-none"/>
        </w:rPr>
        <w:fldChar w:fldCharType="end"/>
      </w:r>
      <w:r w:rsidR="005D2C88">
        <w:rPr>
          <w:lang w:eastAsia="x-none"/>
        </w:rPr>
        <w:t xml:space="preserve"> and </w:t>
      </w:r>
      <w:r w:rsidR="005D2C88">
        <w:rPr>
          <w:lang w:eastAsia="x-none"/>
        </w:rPr>
        <w:fldChar w:fldCharType="begin"/>
      </w:r>
      <w:r w:rsidR="005D2C88">
        <w:rPr>
          <w:lang w:eastAsia="x-none"/>
        </w:rPr>
        <w:instrText xml:space="preserve"> REF _Ref363172905 \h </w:instrText>
      </w:r>
      <w:r w:rsidR="005D2C88">
        <w:rPr>
          <w:lang w:eastAsia="x-none"/>
        </w:rPr>
      </w:r>
      <w:r w:rsidR="005D2C88">
        <w:rPr>
          <w:lang w:eastAsia="x-none"/>
        </w:rPr>
        <w:fldChar w:fldCharType="separate"/>
      </w:r>
      <w:r w:rsidR="00564E5C">
        <w:t xml:space="preserve">Table </w:t>
      </w:r>
      <w:r w:rsidR="00564E5C">
        <w:rPr>
          <w:noProof/>
        </w:rPr>
        <w:t>42</w:t>
      </w:r>
      <w:r w:rsidR="005D2C88">
        <w:rPr>
          <w:lang w:eastAsia="x-none"/>
        </w:rPr>
        <w:fldChar w:fldCharType="end"/>
      </w:r>
      <w:r w:rsidR="005D2C88">
        <w:rPr>
          <w:lang w:eastAsia="x-none"/>
        </w:rPr>
        <w:t>.</w:t>
      </w:r>
    </w:p>
    <w:p w14:paraId="0B88E376" w14:textId="6CBF4305" w:rsidR="00F17CF5" w:rsidRDefault="00F17CF5" w:rsidP="00F17CF5">
      <w:pPr>
        <w:pStyle w:val="Caption"/>
        <w:keepNext/>
      </w:pPr>
      <w:bookmarkStart w:id="213" w:name="_Ref363172893"/>
      <w:bookmarkStart w:id="214" w:name="_Ref363172885"/>
      <w:r>
        <w:t xml:space="preserve">Table </w:t>
      </w:r>
      <w:r w:rsidR="00FC7DE2">
        <w:fldChar w:fldCharType="begin"/>
      </w:r>
      <w:r w:rsidR="00FC7DE2">
        <w:instrText xml:space="preserve"> SEQ Table \* ARABIC </w:instrText>
      </w:r>
      <w:r w:rsidR="00FC7DE2">
        <w:fldChar w:fldCharType="separate"/>
      </w:r>
      <w:r w:rsidR="00564E5C">
        <w:rPr>
          <w:noProof/>
        </w:rPr>
        <w:t>40</w:t>
      </w:r>
      <w:r w:rsidR="00FC7DE2">
        <w:rPr>
          <w:noProof/>
        </w:rPr>
        <w:fldChar w:fldCharType="end"/>
      </w:r>
      <w:bookmarkEnd w:id="213"/>
      <w:r>
        <w:rPr>
          <w:lang w:val="en-AU"/>
        </w:rPr>
        <w:t xml:space="preserve"> Global warming impact comparison</w:t>
      </w:r>
      <w:r w:rsidR="005D2C88">
        <w:rPr>
          <w:lang w:val="en-AU"/>
        </w:rPr>
        <w:t xml:space="preserve"> (1 </w:t>
      </w:r>
      <w:r w:rsidR="00E82F90">
        <w:rPr>
          <w:lang w:val="en-AU"/>
        </w:rPr>
        <w:t>t</w:t>
      </w:r>
      <w:r w:rsidR="005D2C88">
        <w:rPr>
          <w:lang w:val="en-AU"/>
        </w:rPr>
        <w:t xml:space="preserve"> of materials recycled)</w:t>
      </w:r>
      <w:r>
        <w:rPr>
          <w:lang w:val="en-AU"/>
        </w:rPr>
        <w:t>.</w:t>
      </w:r>
      <w:bookmarkEnd w:id="214"/>
      <w:r w:rsidR="00EA17E2">
        <w:rPr>
          <w:lang w:val="en-AU"/>
        </w:rPr>
        <w:t xml:space="preserve"> Results shown in kg CO</w:t>
      </w:r>
      <w:r w:rsidR="00EA17E2" w:rsidRPr="00EA17E2">
        <w:rPr>
          <w:vertAlign w:val="subscript"/>
          <w:lang w:val="en-AU"/>
        </w:rPr>
        <w:softHyphen/>
        <w:t>2</w:t>
      </w:r>
      <w:r w:rsidR="00EA17E2">
        <w:rPr>
          <w:lang w:val="en-AU"/>
        </w:rPr>
        <w:t>e</w:t>
      </w:r>
    </w:p>
    <w:p w14:paraId="4E09A61E" w14:textId="5A932721" w:rsidR="000A473A" w:rsidRDefault="005D2C88" w:rsidP="007A26F2">
      <w:pPr>
        <w:rPr>
          <w:lang w:eastAsia="x-none"/>
        </w:rPr>
      </w:pPr>
      <w:r w:rsidRPr="005D2C88">
        <w:rPr>
          <w:noProof/>
        </w:rPr>
        <w:drawing>
          <wp:inline distT="0" distB="0" distL="0" distR="0" wp14:anchorId="4F0849A6" wp14:editId="663A6791">
            <wp:extent cx="4619767" cy="29034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1885" cy="2904771"/>
                    </a:xfrm>
                    <a:prstGeom prst="rect">
                      <a:avLst/>
                    </a:prstGeom>
                    <a:noFill/>
                    <a:ln>
                      <a:noFill/>
                    </a:ln>
                  </pic:spPr>
                </pic:pic>
              </a:graphicData>
            </a:graphic>
          </wp:inline>
        </w:drawing>
      </w:r>
    </w:p>
    <w:p w14:paraId="406424A5" w14:textId="77777777" w:rsidR="00F17CF5" w:rsidRDefault="00F17CF5" w:rsidP="007A26F2">
      <w:pPr>
        <w:rPr>
          <w:lang w:eastAsia="x-none"/>
        </w:rPr>
      </w:pPr>
    </w:p>
    <w:p w14:paraId="0031FDF3" w14:textId="0D292CD3" w:rsidR="00F17CF5" w:rsidRDefault="00F17CF5" w:rsidP="00F17CF5">
      <w:pPr>
        <w:pStyle w:val="Caption"/>
        <w:keepNext/>
      </w:pPr>
      <w:bookmarkStart w:id="215" w:name="_Ref363172900"/>
      <w:r>
        <w:lastRenderedPageBreak/>
        <w:t xml:space="preserve">Table </w:t>
      </w:r>
      <w:r w:rsidR="00FC7DE2">
        <w:fldChar w:fldCharType="begin"/>
      </w:r>
      <w:r w:rsidR="00FC7DE2">
        <w:instrText xml:space="preserve"> SEQ Table \* ARABIC </w:instrText>
      </w:r>
      <w:r w:rsidR="00FC7DE2">
        <w:fldChar w:fldCharType="separate"/>
      </w:r>
      <w:r w:rsidR="00564E5C">
        <w:rPr>
          <w:noProof/>
        </w:rPr>
        <w:t>41</w:t>
      </w:r>
      <w:r w:rsidR="00FC7DE2">
        <w:rPr>
          <w:noProof/>
        </w:rPr>
        <w:fldChar w:fldCharType="end"/>
      </w:r>
      <w:bookmarkEnd w:id="215"/>
      <w:r>
        <w:rPr>
          <w:lang w:val="en-AU"/>
        </w:rPr>
        <w:t xml:space="preserve"> Cumulative energy demand comparison</w:t>
      </w:r>
      <w:r w:rsidR="005D2C88">
        <w:rPr>
          <w:lang w:val="en-AU"/>
        </w:rPr>
        <w:t xml:space="preserve">(1 </w:t>
      </w:r>
      <w:r w:rsidR="00E82F90">
        <w:rPr>
          <w:lang w:val="en-AU"/>
        </w:rPr>
        <w:t>t</w:t>
      </w:r>
      <w:r w:rsidR="005D2C88">
        <w:rPr>
          <w:lang w:val="en-AU"/>
        </w:rPr>
        <w:t xml:space="preserve"> of materials recycled)</w:t>
      </w:r>
      <w:r>
        <w:rPr>
          <w:lang w:val="en-AU"/>
        </w:rPr>
        <w:t>.</w:t>
      </w:r>
      <w:r w:rsidR="00EA17E2">
        <w:rPr>
          <w:lang w:val="en-AU"/>
        </w:rPr>
        <w:t xml:space="preserve"> Results shown in MJ (LHV).</w:t>
      </w:r>
    </w:p>
    <w:p w14:paraId="0E7C3B12" w14:textId="61F18339" w:rsidR="00F17CF5" w:rsidRDefault="005D2C88" w:rsidP="007A26F2">
      <w:pPr>
        <w:rPr>
          <w:lang w:eastAsia="x-none"/>
        </w:rPr>
      </w:pPr>
      <w:r w:rsidRPr="005D2C88">
        <w:rPr>
          <w:noProof/>
        </w:rPr>
        <w:drawing>
          <wp:inline distT="0" distB="0" distL="0" distR="0" wp14:anchorId="36E99F9B" wp14:editId="1FE9BEDB">
            <wp:extent cx="4619767" cy="200969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9324" cy="2009498"/>
                    </a:xfrm>
                    <a:prstGeom prst="rect">
                      <a:avLst/>
                    </a:prstGeom>
                    <a:noFill/>
                    <a:ln>
                      <a:noFill/>
                    </a:ln>
                  </pic:spPr>
                </pic:pic>
              </a:graphicData>
            </a:graphic>
          </wp:inline>
        </w:drawing>
      </w:r>
    </w:p>
    <w:p w14:paraId="33FF27C1" w14:textId="1F5D6BB0" w:rsidR="00F17CF5" w:rsidRDefault="00F17CF5" w:rsidP="00F17CF5">
      <w:pPr>
        <w:pStyle w:val="Caption"/>
        <w:keepNext/>
      </w:pPr>
      <w:bookmarkStart w:id="216" w:name="_Ref363172905"/>
      <w:r>
        <w:t xml:space="preserve">Table </w:t>
      </w:r>
      <w:r w:rsidR="00FC7DE2">
        <w:fldChar w:fldCharType="begin"/>
      </w:r>
      <w:r w:rsidR="00FC7DE2">
        <w:instrText xml:space="preserve"> SEQ Table \* ARABIC </w:instrText>
      </w:r>
      <w:r w:rsidR="00FC7DE2">
        <w:fldChar w:fldCharType="separate"/>
      </w:r>
      <w:r w:rsidR="00564E5C">
        <w:rPr>
          <w:noProof/>
        </w:rPr>
        <w:t>42</w:t>
      </w:r>
      <w:r w:rsidR="00FC7DE2">
        <w:rPr>
          <w:noProof/>
        </w:rPr>
        <w:fldChar w:fldCharType="end"/>
      </w:r>
      <w:bookmarkEnd w:id="216"/>
      <w:r>
        <w:rPr>
          <w:lang w:val="en-AU"/>
        </w:rPr>
        <w:t xml:space="preserve"> Water use comparison</w:t>
      </w:r>
      <w:r w:rsidR="005D2C88">
        <w:rPr>
          <w:lang w:val="en-AU"/>
        </w:rPr>
        <w:t xml:space="preserve"> (1 </w:t>
      </w:r>
      <w:r w:rsidR="00E82F90">
        <w:rPr>
          <w:lang w:val="en-AU"/>
        </w:rPr>
        <w:t>t</w:t>
      </w:r>
      <w:r w:rsidR="005D2C88">
        <w:rPr>
          <w:lang w:val="en-AU"/>
        </w:rPr>
        <w:t xml:space="preserve"> of materials recycled).</w:t>
      </w:r>
      <w:r w:rsidR="00EA17E2">
        <w:rPr>
          <w:lang w:val="en-AU"/>
        </w:rPr>
        <w:t xml:space="preserve"> Results shown in kL.</w:t>
      </w:r>
    </w:p>
    <w:p w14:paraId="73A07366" w14:textId="472CECA6" w:rsidR="00F17CF5" w:rsidRDefault="005D2C88" w:rsidP="007A26F2">
      <w:pPr>
        <w:rPr>
          <w:lang w:eastAsia="x-none"/>
        </w:rPr>
      </w:pPr>
      <w:r w:rsidRPr="005D2C88">
        <w:rPr>
          <w:noProof/>
        </w:rPr>
        <w:drawing>
          <wp:inline distT="0" distB="0" distL="0" distR="0" wp14:anchorId="09668146" wp14:editId="2079C0F1">
            <wp:extent cx="5731510" cy="2101639"/>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101639"/>
                    </a:xfrm>
                    <a:prstGeom prst="rect">
                      <a:avLst/>
                    </a:prstGeom>
                    <a:noFill/>
                    <a:ln>
                      <a:noFill/>
                    </a:ln>
                  </pic:spPr>
                </pic:pic>
              </a:graphicData>
            </a:graphic>
          </wp:inline>
        </w:drawing>
      </w:r>
    </w:p>
    <w:p w14:paraId="7E6513B6" w14:textId="77777777" w:rsidR="005D2C88" w:rsidRDefault="005D2C88">
      <w:pPr>
        <w:widowControl/>
        <w:spacing w:after="0"/>
        <w:jc w:val="left"/>
        <w:rPr>
          <w:rFonts w:eastAsia="Times New Roman" w:cs="Times New Roman"/>
          <w:b/>
          <w:iCs/>
          <w:kern w:val="32"/>
          <w:sz w:val="28"/>
          <w:szCs w:val="28"/>
          <w:lang w:val="x-none" w:eastAsia="x-none"/>
        </w:rPr>
      </w:pPr>
      <w:bookmarkStart w:id="217" w:name="_Ref363069809"/>
      <w:r>
        <w:br w:type="page"/>
      </w:r>
    </w:p>
    <w:p w14:paraId="0D494473" w14:textId="1565D33A" w:rsidR="002E3472" w:rsidRDefault="002E3472" w:rsidP="002E3472">
      <w:pPr>
        <w:pStyle w:val="Heading2"/>
        <w:rPr>
          <w:lang w:val="en-AU"/>
        </w:rPr>
      </w:pPr>
      <w:bookmarkStart w:id="218" w:name="_Toc433964576"/>
      <w:r>
        <w:lastRenderedPageBreak/>
        <w:t>Sensitivity analysis</w:t>
      </w:r>
      <w:bookmarkEnd w:id="217"/>
      <w:bookmarkEnd w:id="218"/>
    </w:p>
    <w:p w14:paraId="032D45BC" w14:textId="3C05638B" w:rsidR="00521581" w:rsidRDefault="00327CD7" w:rsidP="00521581">
      <w:pPr>
        <w:rPr>
          <w:lang w:eastAsia="x-none"/>
        </w:rPr>
      </w:pPr>
      <w:r>
        <w:rPr>
          <w:lang w:eastAsia="x-none"/>
        </w:rPr>
        <w:t xml:space="preserve">A number of areas of uncertainty were identified throughout the study. Although uncertainty in general has been addressed through the use of the Pedigree Matrix and Monte Carlo Analysis (Section </w:t>
      </w:r>
      <w:r>
        <w:rPr>
          <w:lang w:eastAsia="x-none"/>
        </w:rPr>
        <w:fldChar w:fldCharType="begin"/>
      </w:r>
      <w:r>
        <w:rPr>
          <w:lang w:eastAsia="x-none"/>
        </w:rPr>
        <w:instrText xml:space="preserve"> REF _Ref358489433 \r \h </w:instrText>
      </w:r>
      <w:r>
        <w:rPr>
          <w:lang w:eastAsia="x-none"/>
        </w:rPr>
      </w:r>
      <w:r>
        <w:rPr>
          <w:lang w:eastAsia="x-none"/>
        </w:rPr>
        <w:fldChar w:fldCharType="separate"/>
      </w:r>
      <w:r w:rsidR="00564E5C">
        <w:rPr>
          <w:lang w:eastAsia="x-none"/>
        </w:rPr>
        <w:t>5.6</w:t>
      </w:r>
      <w:r>
        <w:rPr>
          <w:lang w:eastAsia="x-none"/>
        </w:rPr>
        <w:fldChar w:fldCharType="end"/>
      </w:r>
      <w:r>
        <w:rPr>
          <w:lang w:eastAsia="x-none"/>
        </w:rPr>
        <w:t>), it is useful to test areas of known uncertainty in order to identify areas where conclusions might be difficult or potentially misleading.</w:t>
      </w:r>
    </w:p>
    <w:p w14:paraId="0F1F3A1F" w14:textId="5A701C2F" w:rsidR="00327CD7" w:rsidRDefault="00327CD7" w:rsidP="00521581">
      <w:pPr>
        <w:rPr>
          <w:lang w:eastAsia="x-none"/>
        </w:rPr>
      </w:pPr>
      <w:r>
        <w:rPr>
          <w:lang w:eastAsia="x-none"/>
        </w:rPr>
        <w:t>Within the study the following areas involve</w:t>
      </w:r>
      <w:r w:rsidR="00EA17E2">
        <w:rPr>
          <w:lang w:eastAsia="x-none"/>
        </w:rPr>
        <w:t>d</w:t>
      </w:r>
      <w:r>
        <w:rPr>
          <w:lang w:eastAsia="x-none"/>
        </w:rPr>
        <w:t xml:space="preserve"> significant uncertainty:</w:t>
      </w:r>
    </w:p>
    <w:p w14:paraId="1B6130B3" w14:textId="308D3348" w:rsidR="00327CD7" w:rsidRPr="00327CD7" w:rsidRDefault="00327CD7" w:rsidP="00327CD7">
      <w:pPr>
        <w:pStyle w:val="ListParagraph"/>
        <w:numPr>
          <w:ilvl w:val="0"/>
          <w:numId w:val="41"/>
        </w:numPr>
        <w:rPr>
          <w:u w:val="single"/>
          <w:lang w:eastAsia="x-none"/>
        </w:rPr>
      </w:pPr>
      <w:r>
        <w:rPr>
          <w:lang w:eastAsia="x-none"/>
        </w:rPr>
        <w:t>Fuel consumption used for collection</w:t>
      </w:r>
    </w:p>
    <w:p w14:paraId="260F35BC" w14:textId="2CD26EB6" w:rsidR="00327CD7" w:rsidRPr="00327CD7" w:rsidRDefault="00327CD7" w:rsidP="00327CD7">
      <w:pPr>
        <w:pStyle w:val="ListParagraph"/>
        <w:numPr>
          <w:ilvl w:val="0"/>
          <w:numId w:val="41"/>
        </w:numPr>
        <w:rPr>
          <w:u w:val="single"/>
          <w:lang w:eastAsia="x-none"/>
        </w:rPr>
      </w:pPr>
      <w:r>
        <w:rPr>
          <w:lang w:eastAsia="x-none"/>
        </w:rPr>
        <w:t>The impact of international transport and reprocessing</w:t>
      </w:r>
    </w:p>
    <w:p w14:paraId="7EEEDE48" w14:textId="36296AAB" w:rsidR="00327CD7" w:rsidRPr="00327CD7" w:rsidRDefault="00327CD7" w:rsidP="00327CD7">
      <w:pPr>
        <w:pStyle w:val="ListParagraph"/>
        <w:numPr>
          <w:ilvl w:val="0"/>
          <w:numId w:val="41"/>
        </w:numPr>
        <w:rPr>
          <w:u w:val="single"/>
          <w:lang w:eastAsia="x-none"/>
        </w:rPr>
      </w:pPr>
      <w:r>
        <w:rPr>
          <w:lang w:eastAsia="x-none"/>
        </w:rPr>
        <w:t>Gar</w:t>
      </w:r>
      <w:r w:rsidR="00EA17E2">
        <w:rPr>
          <w:lang w:eastAsia="x-none"/>
        </w:rPr>
        <w:t>den and green waste assumptions</w:t>
      </w:r>
    </w:p>
    <w:p w14:paraId="1C0604CF" w14:textId="1EE3BBD7" w:rsidR="00327CD7" w:rsidRPr="00327CD7" w:rsidRDefault="00327CD7" w:rsidP="00327CD7">
      <w:pPr>
        <w:pStyle w:val="ListParagraph"/>
        <w:numPr>
          <w:ilvl w:val="0"/>
          <w:numId w:val="41"/>
        </w:numPr>
        <w:rPr>
          <w:u w:val="single"/>
          <w:lang w:eastAsia="x-none"/>
        </w:rPr>
      </w:pPr>
      <w:r>
        <w:rPr>
          <w:lang w:eastAsia="x-none"/>
        </w:rPr>
        <w:t>Glass cullet recovery rates</w:t>
      </w:r>
    </w:p>
    <w:p w14:paraId="36DF204E" w14:textId="77777777" w:rsidR="00327CD7" w:rsidRPr="00327CD7" w:rsidRDefault="00327CD7" w:rsidP="00327CD7">
      <w:pPr>
        <w:pStyle w:val="ListParagraph"/>
        <w:numPr>
          <w:ilvl w:val="0"/>
          <w:numId w:val="41"/>
        </w:numPr>
        <w:rPr>
          <w:u w:val="single"/>
          <w:lang w:eastAsia="x-none"/>
        </w:rPr>
      </w:pPr>
      <w:r>
        <w:rPr>
          <w:lang w:eastAsia="x-none"/>
        </w:rPr>
        <w:t>Methane capture from landfill</w:t>
      </w:r>
    </w:p>
    <w:p w14:paraId="1ED9A6E1" w14:textId="28E72708" w:rsidR="00327CD7" w:rsidRPr="00327CD7" w:rsidRDefault="00327CD7" w:rsidP="00327CD7">
      <w:pPr>
        <w:pStyle w:val="ListParagraph"/>
        <w:numPr>
          <w:ilvl w:val="0"/>
          <w:numId w:val="41"/>
        </w:numPr>
        <w:rPr>
          <w:u w:val="single"/>
          <w:lang w:eastAsia="x-none"/>
        </w:rPr>
      </w:pPr>
      <w:r>
        <w:rPr>
          <w:lang w:eastAsia="x-none"/>
        </w:rPr>
        <w:t>Carbon storage is soil</w:t>
      </w:r>
    </w:p>
    <w:p w14:paraId="0A5AC72E" w14:textId="678688A3" w:rsidR="00521581" w:rsidRDefault="00327CD7" w:rsidP="00521581">
      <w:pPr>
        <w:rPr>
          <w:lang w:eastAsia="x-none"/>
        </w:rPr>
      </w:pPr>
      <w:r>
        <w:rPr>
          <w:lang w:eastAsia="x-none"/>
        </w:rPr>
        <w:t>Each of these areas is assessed in isolation in the following sections. In each section the variable considered uncertain is altered within a reasonable range and the imp</w:t>
      </w:r>
      <w:r w:rsidR="00EA17E2">
        <w:rPr>
          <w:lang w:eastAsia="x-none"/>
        </w:rPr>
        <w:t xml:space="preserve">acts noted at a material level, </w:t>
      </w:r>
      <w:r>
        <w:rPr>
          <w:lang w:eastAsia="x-none"/>
        </w:rPr>
        <w:t>where relevant</w:t>
      </w:r>
      <w:r w:rsidR="00EA17E2">
        <w:rPr>
          <w:lang w:eastAsia="x-none"/>
        </w:rPr>
        <w:t>,</w:t>
      </w:r>
      <w:r>
        <w:rPr>
          <w:lang w:eastAsia="x-none"/>
        </w:rPr>
        <w:t xml:space="preserve"> and at a system-wide l</w:t>
      </w:r>
      <w:r w:rsidR="00EA17E2">
        <w:rPr>
          <w:lang w:eastAsia="x-none"/>
        </w:rPr>
        <w:t>evel, where relevant</w:t>
      </w:r>
      <w:r>
        <w:rPr>
          <w:lang w:eastAsia="x-none"/>
        </w:rPr>
        <w:t xml:space="preserve">. Areas where conclusions are altered </w:t>
      </w:r>
      <w:r w:rsidR="00EA17E2">
        <w:rPr>
          <w:lang w:eastAsia="x-none"/>
        </w:rPr>
        <w:t>or where results significantly change</w:t>
      </w:r>
      <w:r>
        <w:rPr>
          <w:lang w:eastAsia="x-none"/>
        </w:rPr>
        <w:t xml:space="preserve"> are noted and discussed.</w:t>
      </w:r>
    </w:p>
    <w:p w14:paraId="0D494474" w14:textId="77777777" w:rsidR="002E3472" w:rsidRDefault="002E3472" w:rsidP="002E3472">
      <w:pPr>
        <w:pStyle w:val="Heading3"/>
        <w:rPr>
          <w:lang w:val="en-AU"/>
        </w:rPr>
      </w:pPr>
      <w:bookmarkStart w:id="219" w:name="_Ref362989285"/>
      <w:bookmarkStart w:id="220" w:name="_Toc433964577"/>
      <w:r>
        <w:rPr>
          <w:lang w:val="en-AU"/>
        </w:rPr>
        <w:t>Collection system fuel consumption</w:t>
      </w:r>
      <w:bookmarkEnd w:id="219"/>
      <w:bookmarkEnd w:id="220"/>
    </w:p>
    <w:p w14:paraId="0D494475" w14:textId="7745434A" w:rsidR="002E3472" w:rsidRDefault="00C22784" w:rsidP="002E3472">
      <w:pPr>
        <w:rPr>
          <w:lang w:eastAsia="x-none"/>
        </w:rPr>
      </w:pPr>
      <w:r>
        <w:rPr>
          <w:lang w:eastAsia="x-none"/>
        </w:rPr>
        <w:t>In this study, f</w:t>
      </w:r>
      <w:r w:rsidR="00E97488">
        <w:rPr>
          <w:lang w:eastAsia="x-none"/>
        </w:rPr>
        <w:t xml:space="preserve">uel consumption for waste collection </w:t>
      </w:r>
      <w:r>
        <w:rPr>
          <w:lang w:eastAsia="x-none"/>
        </w:rPr>
        <w:t xml:space="preserve">was </w:t>
      </w:r>
      <w:r w:rsidR="00E97488">
        <w:rPr>
          <w:lang w:eastAsia="x-none"/>
        </w:rPr>
        <w:t xml:space="preserve">modelled across the state and average fuel consumption levels </w:t>
      </w:r>
      <w:r>
        <w:rPr>
          <w:lang w:eastAsia="x-none"/>
        </w:rPr>
        <w:t xml:space="preserve">were </w:t>
      </w:r>
      <w:r w:rsidR="00E97488">
        <w:rPr>
          <w:lang w:eastAsia="x-none"/>
        </w:rPr>
        <w:t>determined. It is ack</w:t>
      </w:r>
      <w:r>
        <w:rPr>
          <w:lang w:eastAsia="x-none"/>
        </w:rPr>
        <w:t xml:space="preserve">nowledged that fuel used for collection </w:t>
      </w:r>
      <w:r w:rsidR="00E97488">
        <w:rPr>
          <w:lang w:eastAsia="x-none"/>
        </w:rPr>
        <w:t xml:space="preserve">represents a source of considerable uncertainty and is likely to vary between localities, especially between urban and rural locations. Acknowledging that fuel used for collection could vary, the following study analyses the change in study results under different fuel </w:t>
      </w:r>
      <w:r w:rsidR="004B3525">
        <w:rPr>
          <w:lang w:eastAsia="x-none"/>
        </w:rPr>
        <w:t>use scenarios</w:t>
      </w:r>
      <w:r w:rsidR="00E97488">
        <w:rPr>
          <w:lang w:eastAsia="x-none"/>
        </w:rPr>
        <w:t xml:space="preserve"> (</w:t>
      </w:r>
      <w:r w:rsidR="00E97488">
        <w:rPr>
          <w:lang w:eastAsia="x-none"/>
        </w:rPr>
        <w:fldChar w:fldCharType="begin"/>
      </w:r>
      <w:r w:rsidR="00E97488">
        <w:rPr>
          <w:lang w:eastAsia="x-none"/>
        </w:rPr>
        <w:instrText xml:space="preserve"> REF _Ref358764924 \h </w:instrText>
      </w:r>
      <w:r w:rsidR="00E97488">
        <w:rPr>
          <w:lang w:eastAsia="x-none"/>
        </w:rPr>
      </w:r>
      <w:r w:rsidR="00E97488">
        <w:rPr>
          <w:lang w:eastAsia="x-none"/>
        </w:rPr>
        <w:fldChar w:fldCharType="separate"/>
      </w:r>
      <w:r w:rsidR="00564E5C">
        <w:t xml:space="preserve">Table </w:t>
      </w:r>
      <w:r w:rsidR="00564E5C">
        <w:rPr>
          <w:noProof/>
        </w:rPr>
        <w:t>43</w:t>
      </w:r>
      <w:r w:rsidR="00E97488">
        <w:rPr>
          <w:lang w:eastAsia="x-none"/>
        </w:rPr>
        <w:fldChar w:fldCharType="end"/>
      </w:r>
      <w:r w:rsidR="00E97488">
        <w:rPr>
          <w:lang w:eastAsia="x-none"/>
        </w:rPr>
        <w:t>).</w:t>
      </w:r>
    </w:p>
    <w:p w14:paraId="0D494476" w14:textId="0B195887" w:rsidR="00E97488" w:rsidRDefault="00E97488" w:rsidP="00E97488">
      <w:pPr>
        <w:pStyle w:val="Caption"/>
        <w:keepNext/>
      </w:pPr>
      <w:bookmarkStart w:id="221" w:name="_Ref358764924"/>
      <w:r>
        <w:t xml:space="preserve">Table </w:t>
      </w:r>
      <w:r w:rsidR="00FC7DE2">
        <w:fldChar w:fldCharType="begin"/>
      </w:r>
      <w:r w:rsidR="00FC7DE2">
        <w:instrText xml:space="preserve"> SEQ Table \* ARABIC </w:instrText>
      </w:r>
      <w:r w:rsidR="00FC7DE2">
        <w:fldChar w:fldCharType="separate"/>
      </w:r>
      <w:r w:rsidR="00564E5C">
        <w:rPr>
          <w:noProof/>
        </w:rPr>
        <w:t>43</w:t>
      </w:r>
      <w:r w:rsidR="00FC7DE2">
        <w:rPr>
          <w:noProof/>
        </w:rPr>
        <w:fldChar w:fldCharType="end"/>
      </w:r>
      <w:bookmarkEnd w:id="221"/>
      <w:r>
        <w:rPr>
          <w:lang w:val="en-AU"/>
        </w:rPr>
        <w:t xml:space="preserve"> Sensitivity to changes in collection fuel use.</w:t>
      </w:r>
      <w:r w:rsidR="00BC0079">
        <w:rPr>
          <w:lang w:val="en-AU"/>
        </w:rPr>
        <w:t xml:space="preserve"> Results shown to two decimal places.</w:t>
      </w:r>
    </w:p>
    <w:p w14:paraId="0D494477" w14:textId="4CE55E5E" w:rsidR="00E97488" w:rsidRDefault="009858B7" w:rsidP="002E3472">
      <w:pPr>
        <w:rPr>
          <w:lang w:eastAsia="x-none"/>
        </w:rPr>
      </w:pPr>
      <w:r w:rsidRPr="009858B7">
        <w:rPr>
          <w:noProof/>
        </w:rPr>
        <w:drawing>
          <wp:inline distT="0" distB="0" distL="0" distR="0" wp14:anchorId="61D3109E" wp14:editId="168023AD">
            <wp:extent cx="5124450" cy="34118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4450" cy="3411855"/>
                    </a:xfrm>
                    <a:prstGeom prst="rect">
                      <a:avLst/>
                    </a:prstGeom>
                    <a:noFill/>
                    <a:ln>
                      <a:noFill/>
                    </a:ln>
                  </pic:spPr>
                </pic:pic>
              </a:graphicData>
            </a:graphic>
          </wp:inline>
        </w:drawing>
      </w:r>
    </w:p>
    <w:p w14:paraId="0D494478" w14:textId="579E637A" w:rsidR="00E97488" w:rsidRPr="002E3472" w:rsidRDefault="00E97488" w:rsidP="002E3472">
      <w:pPr>
        <w:rPr>
          <w:lang w:eastAsia="x-none"/>
        </w:rPr>
      </w:pPr>
      <w:r>
        <w:rPr>
          <w:lang w:eastAsia="x-none"/>
        </w:rPr>
        <w:t xml:space="preserve">The study shows that the overall recycling result is not sensitive to changes in collection fuel use. A doubling of fuel used for collection changes the most sensitive indicator </w:t>
      </w:r>
      <w:r w:rsidR="00BD76EA">
        <w:rPr>
          <w:lang w:eastAsia="x-none"/>
        </w:rPr>
        <w:t xml:space="preserve">(fossil fuel depletion) </w:t>
      </w:r>
      <w:r>
        <w:rPr>
          <w:lang w:eastAsia="x-none"/>
        </w:rPr>
        <w:t xml:space="preserve">by only </w:t>
      </w:r>
      <w:r w:rsidR="009858B7">
        <w:rPr>
          <w:lang w:eastAsia="x-none"/>
        </w:rPr>
        <w:t>6</w:t>
      </w:r>
      <w:r>
        <w:rPr>
          <w:lang w:eastAsia="x-none"/>
        </w:rPr>
        <w:t>%. This finding is mostly due to fact that collection of waste is required under the Recyc</w:t>
      </w:r>
      <w:r w:rsidR="00BD76EA">
        <w:rPr>
          <w:lang w:eastAsia="x-none"/>
        </w:rPr>
        <w:t xml:space="preserve">ling System and the Alternative </w:t>
      </w:r>
      <w:r>
        <w:rPr>
          <w:lang w:eastAsia="x-none"/>
        </w:rPr>
        <w:t>System</w:t>
      </w:r>
      <w:r w:rsidR="00BD76EA">
        <w:rPr>
          <w:lang w:eastAsia="x-none"/>
        </w:rPr>
        <w:t>, therefore i</w:t>
      </w:r>
      <w:r>
        <w:rPr>
          <w:lang w:eastAsia="x-none"/>
        </w:rPr>
        <w:t xml:space="preserve">ncreasing the fuel used has an impact on both sides of the </w:t>
      </w:r>
      <w:r>
        <w:rPr>
          <w:lang w:eastAsia="x-none"/>
        </w:rPr>
        <w:lastRenderedPageBreak/>
        <w:t>equation leading to a minimal net change.</w:t>
      </w:r>
    </w:p>
    <w:p w14:paraId="0D494479" w14:textId="77777777" w:rsidR="002E3472" w:rsidRDefault="002E3472" w:rsidP="002E3472">
      <w:pPr>
        <w:pStyle w:val="Heading3"/>
        <w:rPr>
          <w:lang w:val="en-AU"/>
        </w:rPr>
      </w:pPr>
      <w:bookmarkStart w:id="222" w:name="_Ref362988484"/>
      <w:bookmarkStart w:id="223" w:name="_Ref362989239"/>
      <w:bookmarkStart w:id="224" w:name="_Toc433964578"/>
      <w:r>
        <w:rPr>
          <w:lang w:val="en-AU"/>
        </w:rPr>
        <w:t>International reprocessing</w:t>
      </w:r>
      <w:bookmarkEnd w:id="222"/>
      <w:bookmarkEnd w:id="223"/>
      <w:bookmarkEnd w:id="224"/>
    </w:p>
    <w:p w14:paraId="0D49447A" w14:textId="77777777" w:rsidR="002E3472" w:rsidRDefault="00E97488" w:rsidP="002E3472">
      <w:pPr>
        <w:rPr>
          <w:lang w:eastAsia="x-none"/>
        </w:rPr>
      </w:pPr>
      <w:r>
        <w:rPr>
          <w:lang w:eastAsia="x-none"/>
        </w:rPr>
        <w:t>A key finding of the study has been that the use of international reprocessing facilities does not negate the benefit of recycling. A possible future scenario is that international reprocessing will increase so it would be interesting to understand the effect this might have.</w:t>
      </w:r>
    </w:p>
    <w:p w14:paraId="0D49447B" w14:textId="77777777" w:rsidR="00E97488" w:rsidRDefault="00E97488" w:rsidP="002E3472">
      <w:pPr>
        <w:rPr>
          <w:lang w:eastAsia="x-none"/>
        </w:rPr>
      </w:pPr>
      <w:r>
        <w:rPr>
          <w:lang w:eastAsia="x-none"/>
        </w:rPr>
        <w:t>The following study increases the amount of steel, aluminium, paper and card, PET and HDPE recycling internationally from the existing levels of about 50% of total recovery (</w:t>
      </w:r>
      <w:r>
        <w:rPr>
          <w:lang w:eastAsia="x-none"/>
        </w:rPr>
        <w:fldChar w:fldCharType="begin"/>
      </w:r>
      <w:r>
        <w:rPr>
          <w:lang w:eastAsia="x-none"/>
        </w:rPr>
        <w:instrText xml:space="preserve"> REF _Ref358765324 \h </w:instrText>
      </w:r>
      <w:r>
        <w:rPr>
          <w:lang w:eastAsia="x-none"/>
        </w:rPr>
      </w:r>
      <w:r>
        <w:rPr>
          <w:lang w:eastAsia="x-none"/>
        </w:rPr>
        <w:fldChar w:fldCharType="separate"/>
      </w:r>
      <w:r w:rsidR="00564E5C">
        <w:t xml:space="preserve">Table </w:t>
      </w:r>
      <w:r w:rsidR="00564E5C">
        <w:rPr>
          <w:noProof/>
        </w:rPr>
        <w:t>44</w:t>
      </w:r>
      <w:r>
        <w:rPr>
          <w:lang w:eastAsia="x-none"/>
        </w:rPr>
        <w:fldChar w:fldCharType="end"/>
      </w:r>
      <w:r>
        <w:rPr>
          <w:lang w:eastAsia="x-none"/>
        </w:rPr>
        <w:t>).</w:t>
      </w:r>
    </w:p>
    <w:p w14:paraId="0D49447C" w14:textId="12FA0CCD" w:rsidR="00E97488" w:rsidRDefault="00E97488" w:rsidP="00E97488">
      <w:pPr>
        <w:pStyle w:val="Caption"/>
        <w:keepNext/>
      </w:pPr>
      <w:bookmarkStart w:id="225" w:name="_Ref358765324"/>
      <w:r>
        <w:t xml:space="preserve">Table </w:t>
      </w:r>
      <w:r w:rsidR="00FC7DE2">
        <w:fldChar w:fldCharType="begin"/>
      </w:r>
      <w:r w:rsidR="00FC7DE2">
        <w:instrText xml:space="preserve"> SEQ Table \* ARABIC </w:instrText>
      </w:r>
      <w:r w:rsidR="00FC7DE2">
        <w:fldChar w:fldCharType="separate"/>
      </w:r>
      <w:r w:rsidR="00564E5C">
        <w:rPr>
          <w:noProof/>
        </w:rPr>
        <w:t>44</w:t>
      </w:r>
      <w:r w:rsidR="00FC7DE2">
        <w:rPr>
          <w:noProof/>
        </w:rPr>
        <w:fldChar w:fldCharType="end"/>
      </w:r>
      <w:bookmarkEnd w:id="225"/>
      <w:r>
        <w:rPr>
          <w:lang w:val="en-AU"/>
        </w:rPr>
        <w:t xml:space="preserve"> Sensitivity to changes in reprocessing location.</w:t>
      </w:r>
      <w:r w:rsidR="00BC0079">
        <w:rPr>
          <w:lang w:val="en-AU"/>
        </w:rPr>
        <w:t xml:space="preserve"> Results shown to two decimal places.</w:t>
      </w:r>
    </w:p>
    <w:p w14:paraId="0D49447D" w14:textId="03A16CDC" w:rsidR="00E97488" w:rsidRDefault="009858B7" w:rsidP="002E3472">
      <w:pPr>
        <w:rPr>
          <w:lang w:eastAsia="x-none"/>
        </w:rPr>
      </w:pPr>
      <w:r w:rsidRPr="009858B7">
        <w:rPr>
          <w:noProof/>
        </w:rPr>
        <w:drawing>
          <wp:inline distT="0" distB="0" distL="0" distR="0" wp14:anchorId="3AD4F918" wp14:editId="74D7533E">
            <wp:extent cx="4135120" cy="382841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5120" cy="3828415"/>
                    </a:xfrm>
                    <a:prstGeom prst="rect">
                      <a:avLst/>
                    </a:prstGeom>
                    <a:noFill/>
                    <a:ln>
                      <a:noFill/>
                    </a:ln>
                  </pic:spPr>
                </pic:pic>
              </a:graphicData>
            </a:graphic>
          </wp:inline>
        </w:drawing>
      </w:r>
    </w:p>
    <w:p w14:paraId="0D49447E" w14:textId="1BE34CA6" w:rsidR="00E97488" w:rsidRDefault="00E97488" w:rsidP="002E3472">
      <w:pPr>
        <w:rPr>
          <w:lang w:eastAsia="x-none"/>
        </w:rPr>
      </w:pPr>
      <w:r>
        <w:rPr>
          <w:lang w:eastAsia="x-none"/>
        </w:rPr>
        <w:fldChar w:fldCharType="begin"/>
      </w:r>
      <w:r>
        <w:rPr>
          <w:lang w:eastAsia="x-none"/>
        </w:rPr>
        <w:instrText xml:space="preserve"> REF _Ref358765324 \h </w:instrText>
      </w:r>
      <w:r>
        <w:rPr>
          <w:lang w:eastAsia="x-none"/>
        </w:rPr>
      </w:r>
      <w:r>
        <w:rPr>
          <w:lang w:eastAsia="x-none"/>
        </w:rPr>
        <w:fldChar w:fldCharType="separate"/>
      </w:r>
      <w:r w:rsidR="00564E5C">
        <w:t xml:space="preserve">Table </w:t>
      </w:r>
      <w:r w:rsidR="00564E5C">
        <w:rPr>
          <w:noProof/>
        </w:rPr>
        <w:t>44</w:t>
      </w:r>
      <w:r>
        <w:rPr>
          <w:lang w:eastAsia="x-none"/>
        </w:rPr>
        <w:fldChar w:fldCharType="end"/>
      </w:r>
      <w:r>
        <w:rPr>
          <w:lang w:eastAsia="x-none"/>
        </w:rPr>
        <w:t xml:space="preserve"> indicates that the benefits of recycling reduce as international recycling rates are increased. This is primarily due to the added burden of transport associated with the international reprocessing. It is also notable that at a substantially increased international recycling situation, global warming impacts are reduced by only </w:t>
      </w:r>
      <w:r w:rsidR="00BD76EA">
        <w:rPr>
          <w:lang w:eastAsia="x-none"/>
        </w:rPr>
        <w:t>10</w:t>
      </w:r>
      <w:r>
        <w:rPr>
          <w:lang w:eastAsia="x-none"/>
        </w:rPr>
        <w:t>%.</w:t>
      </w:r>
      <w:r w:rsidR="00BD76EA">
        <w:rPr>
          <w:lang w:eastAsia="x-none"/>
        </w:rPr>
        <w:t xml:space="preserve"> If this increase were to occur due to an increase in recycling rates, then the added benefit of recycling more material would more than offset th</w:t>
      </w:r>
      <w:r w:rsidR="004B3525">
        <w:rPr>
          <w:lang w:eastAsia="x-none"/>
        </w:rPr>
        <w:t>e international shipping impact incurred.</w:t>
      </w:r>
    </w:p>
    <w:p w14:paraId="3A9D952D" w14:textId="0B5E0B6F" w:rsidR="00BD76EA" w:rsidRDefault="00E35C19" w:rsidP="002E3472">
      <w:pPr>
        <w:rPr>
          <w:lang w:eastAsia="x-none"/>
        </w:rPr>
      </w:pPr>
      <w:r>
        <w:rPr>
          <w:lang w:eastAsia="x-none"/>
        </w:rPr>
        <w:t xml:space="preserve">The relative importance of international transport varies depending on the benefits derived from recycling the material concerned. From a global warming perspective, transport is of lessor importance for high intensity materials like metals, but becomes significant for materials which generate </w:t>
      </w:r>
      <w:r w:rsidR="001E07C1">
        <w:rPr>
          <w:lang w:eastAsia="x-none"/>
        </w:rPr>
        <w:t>smaller</w:t>
      </w:r>
      <w:r>
        <w:rPr>
          <w:lang w:eastAsia="x-none"/>
        </w:rPr>
        <w:t xml:space="preserve"> benefits, such as mixed plastics. The global warming impacts of sea freight transport from Victoria to the Asian countries considered in this study is approximately 100 kg CO2e per t shipped. If international freight is required to recycle an incremental tonne of steel, this transport burden will reduce benefits versus a local reprocessor by about 6%. However, for </w:t>
      </w:r>
      <w:r w:rsidR="00773134">
        <w:rPr>
          <w:lang w:eastAsia="x-none"/>
        </w:rPr>
        <w:t>mixed paper reprocessing the decision to reprocess internationally might reduce global warming benefits by up to 23%.</w:t>
      </w:r>
    </w:p>
    <w:p w14:paraId="6CD52924" w14:textId="77777777" w:rsidR="009858B7" w:rsidRDefault="009858B7">
      <w:pPr>
        <w:widowControl/>
        <w:spacing w:after="0"/>
        <w:jc w:val="left"/>
        <w:rPr>
          <w:rFonts w:eastAsia="Times New Roman" w:cs="Times New Roman"/>
          <w:b/>
          <w:bCs/>
          <w:sz w:val="26"/>
          <w:szCs w:val="26"/>
          <w:lang w:eastAsia="x-none"/>
        </w:rPr>
      </w:pPr>
      <w:r>
        <w:br w:type="page"/>
      </w:r>
    </w:p>
    <w:p w14:paraId="0D49447F" w14:textId="616EA5A2" w:rsidR="002E3472" w:rsidRDefault="002E3472" w:rsidP="002E3472">
      <w:pPr>
        <w:pStyle w:val="Heading3"/>
        <w:rPr>
          <w:lang w:val="en-AU"/>
        </w:rPr>
      </w:pPr>
      <w:bookmarkStart w:id="226" w:name="_Toc433964579"/>
      <w:r>
        <w:rPr>
          <w:lang w:val="en-AU"/>
        </w:rPr>
        <w:lastRenderedPageBreak/>
        <w:t>Garden and green waste assumptions</w:t>
      </w:r>
      <w:bookmarkEnd w:id="226"/>
    </w:p>
    <w:p w14:paraId="0D494480" w14:textId="5373E9F3" w:rsidR="00E97488" w:rsidRDefault="00E97488" w:rsidP="00E97488">
      <w:pPr>
        <w:rPr>
          <w:lang w:eastAsia="x-none"/>
        </w:rPr>
      </w:pPr>
      <w:r>
        <w:rPr>
          <w:lang w:eastAsia="x-none"/>
        </w:rPr>
        <w:t xml:space="preserve">Quantifying the benefits of collecting and reprocessing garden </w:t>
      </w:r>
      <w:r w:rsidR="004B3525">
        <w:rPr>
          <w:lang w:eastAsia="x-none"/>
        </w:rPr>
        <w:t xml:space="preserve">and green </w:t>
      </w:r>
      <w:r>
        <w:rPr>
          <w:lang w:eastAsia="x-none"/>
        </w:rPr>
        <w:t xml:space="preserve">waste involves making </w:t>
      </w:r>
      <w:r w:rsidR="00CB2F1B">
        <w:rPr>
          <w:lang w:eastAsia="x-none"/>
        </w:rPr>
        <w:t>a broad range of assumptions. As discussed in</w:t>
      </w:r>
      <w:r w:rsidR="009858B7">
        <w:rPr>
          <w:lang w:eastAsia="x-none"/>
        </w:rPr>
        <w:t xml:space="preserve"> Section </w:t>
      </w:r>
      <w:r w:rsidR="009858B7">
        <w:rPr>
          <w:lang w:eastAsia="x-none"/>
        </w:rPr>
        <w:fldChar w:fldCharType="begin"/>
      </w:r>
      <w:r w:rsidR="009858B7">
        <w:rPr>
          <w:lang w:eastAsia="x-none"/>
        </w:rPr>
        <w:instrText xml:space="preserve"> REF _Ref363170301 \r \h </w:instrText>
      </w:r>
      <w:r w:rsidR="009858B7">
        <w:rPr>
          <w:lang w:eastAsia="x-none"/>
        </w:rPr>
      </w:r>
      <w:r w:rsidR="009858B7">
        <w:rPr>
          <w:lang w:eastAsia="x-none"/>
        </w:rPr>
        <w:fldChar w:fldCharType="separate"/>
      </w:r>
      <w:r w:rsidR="00564E5C">
        <w:rPr>
          <w:lang w:eastAsia="x-none"/>
        </w:rPr>
        <w:t>8.1.4</w:t>
      </w:r>
      <w:r w:rsidR="009858B7">
        <w:rPr>
          <w:lang w:eastAsia="x-none"/>
        </w:rPr>
        <w:fldChar w:fldCharType="end"/>
      </w:r>
      <w:r w:rsidR="00CB2F1B">
        <w:rPr>
          <w:lang w:eastAsia="x-none"/>
        </w:rPr>
        <w:t>, the uncertainty surrounding the benefits of processing green and garden waste has been addressed by applying a scenario titled the ‘Balanced Estimate’. This scenario forms the baseline assumption set that is used in the results presented in this study. Other scenarios (Extremely Conservative, Mildly conservative, Mildly Optimi</w:t>
      </w:r>
      <w:r w:rsidR="00DB7138">
        <w:rPr>
          <w:lang w:eastAsia="x-none"/>
        </w:rPr>
        <w:t xml:space="preserve">stic and Extremely Optimistic) </w:t>
      </w:r>
      <w:r w:rsidR="00CB2F1B">
        <w:rPr>
          <w:lang w:eastAsia="x-none"/>
        </w:rPr>
        <w:t xml:space="preserve">were also considered </w:t>
      </w:r>
      <w:r w:rsidR="00EA17E2">
        <w:rPr>
          <w:lang w:eastAsia="x-none"/>
        </w:rPr>
        <w:t xml:space="preserve">(each is described in full in </w:t>
      </w:r>
      <w:r w:rsidR="00EA17E2">
        <w:rPr>
          <w:lang w:eastAsia="x-none"/>
        </w:rPr>
        <w:fldChar w:fldCharType="begin"/>
      </w:r>
      <w:r w:rsidR="00EA17E2">
        <w:rPr>
          <w:lang w:eastAsia="x-none"/>
        </w:rPr>
        <w:instrText xml:space="preserve"> REF _Ref360560152 \h </w:instrText>
      </w:r>
      <w:r w:rsidR="00EA17E2">
        <w:rPr>
          <w:lang w:eastAsia="x-none"/>
        </w:rPr>
      </w:r>
      <w:r w:rsidR="00EA17E2">
        <w:rPr>
          <w:lang w:eastAsia="x-none"/>
        </w:rPr>
        <w:fldChar w:fldCharType="separate"/>
      </w:r>
      <w:r w:rsidR="00564E5C">
        <w:t>Appendix B – Inventory Report</w:t>
      </w:r>
      <w:r w:rsidR="00EA17E2">
        <w:rPr>
          <w:lang w:eastAsia="x-none"/>
        </w:rPr>
        <w:fldChar w:fldCharType="end"/>
      </w:r>
      <w:r w:rsidR="00EA17E2">
        <w:rPr>
          <w:lang w:eastAsia="x-none"/>
        </w:rPr>
        <w:t xml:space="preserve">). </w:t>
      </w:r>
      <w:r w:rsidR="00DB7138">
        <w:rPr>
          <w:lang w:eastAsia="x-none"/>
        </w:rPr>
        <w:t>The impact of these assumptions on the benefits of garden and green waste recycling can be tested by varying the assumptions (using the scenarios defined) and assessing the result.</w:t>
      </w:r>
    </w:p>
    <w:p w14:paraId="41CFB59F" w14:textId="4791865D" w:rsidR="00DB7138" w:rsidRDefault="00DB7138" w:rsidP="00E97488">
      <w:pPr>
        <w:rPr>
          <w:lang w:eastAsia="x-none"/>
        </w:rPr>
      </w:pPr>
      <w:r>
        <w:rPr>
          <w:lang w:eastAsia="x-none"/>
        </w:rPr>
        <w:fldChar w:fldCharType="begin"/>
      </w:r>
      <w:r>
        <w:rPr>
          <w:lang w:eastAsia="x-none"/>
        </w:rPr>
        <w:instrText xml:space="preserve"> REF _Ref360571409 \h </w:instrText>
      </w:r>
      <w:r>
        <w:rPr>
          <w:lang w:eastAsia="x-none"/>
        </w:rPr>
      </w:r>
      <w:r>
        <w:rPr>
          <w:lang w:eastAsia="x-none"/>
        </w:rPr>
        <w:fldChar w:fldCharType="separate"/>
      </w:r>
      <w:r w:rsidR="00564E5C">
        <w:t xml:space="preserve">Table </w:t>
      </w:r>
      <w:r w:rsidR="00564E5C">
        <w:rPr>
          <w:noProof/>
        </w:rPr>
        <w:t>45</w:t>
      </w:r>
      <w:r>
        <w:rPr>
          <w:lang w:eastAsia="x-none"/>
        </w:rPr>
        <w:fldChar w:fldCharType="end"/>
      </w:r>
      <w:r>
        <w:rPr>
          <w:lang w:eastAsia="x-none"/>
        </w:rPr>
        <w:t xml:space="preserve"> describes the benefit of recycling one tonne of garden and green waste under each scenario described.</w:t>
      </w:r>
    </w:p>
    <w:p w14:paraId="7641CEAF" w14:textId="6699DCA3" w:rsidR="00CB2F1B" w:rsidRDefault="00CB2F1B" w:rsidP="00CB2F1B">
      <w:pPr>
        <w:pStyle w:val="Caption"/>
        <w:keepNext/>
      </w:pPr>
      <w:bookmarkStart w:id="227" w:name="_Ref360571409"/>
      <w:bookmarkStart w:id="228" w:name="_Ref360571399"/>
      <w:r>
        <w:t xml:space="preserve">Table </w:t>
      </w:r>
      <w:r w:rsidR="00FC7DE2">
        <w:fldChar w:fldCharType="begin"/>
      </w:r>
      <w:r w:rsidR="00FC7DE2">
        <w:instrText xml:space="preserve"> SEQ Table \* ARABIC </w:instrText>
      </w:r>
      <w:r w:rsidR="00FC7DE2">
        <w:fldChar w:fldCharType="separate"/>
      </w:r>
      <w:r w:rsidR="00564E5C">
        <w:rPr>
          <w:noProof/>
        </w:rPr>
        <w:t>45</w:t>
      </w:r>
      <w:r w:rsidR="00FC7DE2">
        <w:rPr>
          <w:noProof/>
        </w:rPr>
        <w:fldChar w:fldCharType="end"/>
      </w:r>
      <w:bookmarkEnd w:id="227"/>
      <w:r>
        <w:rPr>
          <w:lang w:val="en-AU"/>
        </w:rPr>
        <w:t xml:space="preserve"> </w:t>
      </w:r>
      <w:r w:rsidRPr="0069126B">
        <w:rPr>
          <w:lang w:val="en-AU"/>
        </w:rPr>
        <w:t>Sensitivity of the benefits of garden and green waste reprocessing to assumptions.</w:t>
      </w:r>
      <w:bookmarkEnd w:id="228"/>
      <w:r w:rsidR="00BC0079">
        <w:rPr>
          <w:lang w:val="en-AU"/>
        </w:rPr>
        <w:t xml:space="preserve"> Results shown to two decimal places.</w:t>
      </w:r>
    </w:p>
    <w:p w14:paraId="5BB36EEE" w14:textId="69E1C413" w:rsidR="00CB2F1B" w:rsidRDefault="009858B7" w:rsidP="00CB2F1B">
      <w:pPr>
        <w:keepNext/>
      </w:pPr>
      <w:r w:rsidRPr="009858B7">
        <w:rPr>
          <w:noProof/>
        </w:rPr>
        <w:drawing>
          <wp:inline distT="0" distB="0" distL="0" distR="0" wp14:anchorId="3EF3C9EC" wp14:editId="2084DB9A">
            <wp:extent cx="5731510" cy="3612217"/>
            <wp:effectExtent l="0" t="0" r="254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612217"/>
                    </a:xfrm>
                    <a:prstGeom prst="rect">
                      <a:avLst/>
                    </a:prstGeom>
                    <a:noFill/>
                    <a:ln>
                      <a:noFill/>
                    </a:ln>
                  </pic:spPr>
                </pic:pic>
              </a:graphicData>
            </a:graphic>
          </wp:inline>
        </w:drawing>
      </w:r>
    </w:p>
    <w:p w14:paraId="0D494481" w14:textId="46FC55FA" w:rsidR="00E97488" w:rsidRDefault="00DB7138" w:rsidP="00E97488">
      <w:pPr>
        <w:rPr>
          <w:lang w:eastAsia="x-none"/>
        </w:rPr>
      </w:pPr>
      <w:r>
        <w:rPr>
          <w:lang w:eastAsia="x-none"/>
        </w:rPr>
        <w:t>Importantly, the study shows that against most indicators, even the Extremely Conservative scenario generates a benefit</w:t>
      </w:r>
      <w:r w:rsidR="009858B7">
        <w:rPr>
          <w:lang w:eastAsia="x-none"/>
        </w:rPr>
        <w:t xml:space="preserve"> or neutral outcome</w:t>
      </w:r>
      <w:r>
        <w:rPr>
          <w:lang w:eastAsia="x-none"/>
        </w:rPr>
        <w:t>. Energy indicators such as fossil fuel depletion and cumulative energy demand are adverse for most of the scenarios due to the transport and machinery burdens of compost produ</w:t>
      </w:r>
      <w:r w:rsidR="00610D4F">
        <w:rPr>
          <w:lang w:eastAsia="x-none"/>
        </w:rPr>
        <w:t>ction.</w:t>
      </w:r>
    </w:p>
    <w:p w14:paraId="2251B3C7" w14:textId="31852754" w:rsidR="007C1555" w:rsidRPr="00E97488" w:rsidRDefault="00610D4F" w:rsidP="00E97488">
      <w:pPr>
        <w:rPr>
          <w:lang w:eastAsia="x-none"/>
        </w:rPr>
      </w:pPr>
      <w:r>
        <w:rPr>
          <w:lang w:eastAsia="x-none"/>
        </w:rPr>
        <w:t xml:space="preserve">The global warming indicator varies from </w:t>
      </w:r>
      <w:r w:rsidR="009858B7">
        <w:rPr>
          <w:lang w:eastAsia="x-none"/>
        </w:rPr>
        <w:t>3</w:t>
      </w:r>
      <w:r>
        <w:rPr>
          <w:lang w:eastAsia="x-none"/>
        </w:rPr>
        <w:t xml:space="preserve">1% of the baseline up to </w:t>
      </w:r>
      <w:r w:rsidR="009858B7">
        <w:rPr>
          <w:lang w:eastAsia="x-none"/>
        </w:rPr>
        <w:t>212</w:t>
      </w:r>
      <w:r>
        <w:rPr>
          <w:lang w:eastAsia="x-none"/>
        </w:rPr>
        <w:t>% under plausible scenarios. If placed into the context of the entire Recycling System, this variation could reduce the study findings for global warming from 2</w:t>
      </w:r>
      <w:r w:rsidR="009858B7">
        <w:rPr>
          <w:lang w:eastAsia="x-none"/>
        </w:rPr>
        <w:t>50</w:t>
      </w:r>
      <w:r>
        <w:rPr>
          <w:lang w:eastAsia="x-none"/>
        </w:rPr>
        <w:t xml:space="preserve"> kg CO2e to </w:t>
      </w:r>
      <w:r w:rsidR="009858B7">
        <w:rPr>
          <w:lang w:eastAsia="x-none"/>
        </w:rPr>
        <w:t>203</w:t>
      </w:r>
      <w:r>
        <w:rPr>
          <w:lang w:eastAsia="x-none"/>
        </w:rPr>
        <w:t xml:space="preserve"> kg CO2e, or increase them to </w:t>
      </w:r>
      <w:r w:rsidR="009858B7">
        <w:rPr>
          <w:lang w:eastAsia="x-none"/>
        </w:rPr>
        <w:t>326</w:t>
      </w:r>
      <w:r w:rsidR="007C1555">
        <w:rPr>
          <w:lang w:eastAsia="x-none"/>
        </w:rPr>
        <w:t xml:space="preserve"> kg CO2e. Interestingly, both </w:t>
      </w:r>
      <w:r>
        <w:rPr>
          <w:lang w:eastAsia="x-none"/>
        </w:rPr>
        <w:t xml:space="preserve">these outcomes are well within the uncertainty range of the simulation results </w:t>
      </w:r>
      <w:r w:rsidR="007C1555">
        <w:rPr>
          <w:lang w:eastAsia="x-none"/>
        </w:rPr>
        <w:t xml:space="preserve">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sidR="009858B7">
        <w:rPr>
          <w:lang w:eastAsia="x-none"/>
        </w:rPr>
        <w:t xml:space="preserve"> (130 kg CO2e to 34</w:t>
      </w:r>
      <w:r w:rsidR="007C1555">
        <w:rPr>
          <w:lang w:eastAsia="x-none"/>
        </w:rPr>
        <w:t>0 kg CO2e). The uncertainty associated with garden and green waste recycling is therefore effectively communicated by the uncertainty ranges stated for the results.</w:t>
      </w:r>
    </w:p>
    <w:p w14:paraId="0D494485" w14:textId="77777777" w:rsidR="002E3472" w:rsidRDefault="002E3472" w:rsidP="002E3472">
      <w:pPr>
        <w:pStyle w:val="Heading3"/>
        <w:rPr>
          <w:lang w:val="en-AU"/>
        </w:rPr>
      </w:pPr>
      <w:bookmarkStart w:id="229" w:name="_Toc433964580"/>
      <w:r>
        <w:rPr>
          <w:lang w:val="en-AU"/>
        </w:rPr>
        <w:t xml:space="preserve">Glass </w:t>
      </w:r>
      <w:r w:rsidR="00347075">
        <w:rPr>
          <w:lang w:val="en-AU"/>
        </w:rPr>
        <w:t>cullet recovery rate</w:t>
      </w:r>
      <w:bookmarkEnd w:id="229"/>
    </w:p>
    <w:p w14:paraId="0D494486" w14:textId="6C20419A" w:rsidR="00E53201" w:rsidRPr="00E53201" w:rsidRDefault="00E53201" w:rsidP="00E53201">
      <w:pPr>
        <w:rPr>
          <w:lang w:eastAsia="x-none"/>
        </w:rPr>
      </w:pPr>
      <w:r>
        <w:rPr>
          <w:lang w:eastAsia="x-none"/>
        </w:rPr>
        <w:t xml:space="preserve">A source of uncertainty when compiling study data </w:t>
      </w:r>
      <w:r w:rsidR="00607388">
        <w:rPr>
          <w:lang w:eastAsia="x-none"/>
        </w:rPr>
        <w:t>involved</w:t>
      </w:r>
      <w:r>
        <w:rPr>
          <w:lang w:eastAsia="x-none"/>
        </w:rPr>
        <w:t xml:space="preserve"> the amount of glass that could be recovered as cullet for use in glass container manufacture. The study assumes 85% of glass placed </w:t>
      </w:r>
      <w:r>
        <w:rPr>
          <w:lang w:eastAsia="x-none"/>
        </w:rPr>
        <w:lastRenderedPageBreak/>
        <w:t xml:space="preserve">in recycling bins is recovered as cullet (based on </w:t>
      </w:r>
      <w:r w:rsidR="0003295F">
        <w:rPr>
          <w:lang w:eastAsia="x-none"/>
        </w:rPr>
        <w:fldChar w:fldCharType="begin"/>
      </w:r>
      <w:r w:rsidR="00F40CE2">
        <w:rPr>
          <w:lang w:eastAsia="x-none"/>
        </w:rPr>
        <w:instrText xml:space="preserve"> ADDIN EN.CITE &lt;EndNote&gt;&lt;Cite&gt;&lt;Author&gt;Allan&lt;/Author&gt;&lt;Year&gt;2013&lt;/Year&gt;&lt;RecNum&gt;611&lt;/RecNum&gt;&lt;DisplayText&gt;(Allan and A’Vard, 2013)&lt;/DisplayText&gt;&lt;record&gt;&lt;rec-number&gt;611&lt;/rec-number&gt;&lt;foreign-keys&gt;&lt;key app="EN" db-id="tfpv5staxsvs2nexzpp5taewzsvpx0er5fap"&gt;611&lt;/key&gt;&lt;/foreign-keys&gt;&lt;ref-type name="Report"&gt;27&lt;/ref-type&gt;&lt;contributors&gt;&lt;authors&gt;&lt;author&gt;Peter Allan&lt;/author&gt;&lt;author&gt;Daniel A’Vard&lt;/author&gt;&lt;/authors&gt;&lt;/contributors&gt;&lt;titles&gt;&lt;title&gt;Assessment of Recycling Infrastructure: Current Status and Future Opportunities&lt;/title&gt;&lt;/titles&gt;&lt;dates&gt;&lt;year&gt;2013&lt;/year&gt;&lt;/dates&gt;&lt;pub-location&gt;Melbourne&lt;/pub-location&gt;&lt;publisher&gt;SRU Pty Ltd for the National Packaging Covenant&lt;/publisher&gt;&lt;urls&gt;&lt;/urls&gt;&lt;/record&gt;&lt;/Cite&gt;&lt;/EndNote&gt;</w:instrText>
      </w:r>
      <w:r w:rsidR="0003295F">
        <w:rPr>
          <w:lang w:eastAsia="x-none"/>
        </w:rPr>
        <w:fldChar w:fldCharType="separate"/>
      </w:r>
      <w:r w:rsidR="00F40CE2">
        <w:rPr>
          <w:noProof/>
          <w:lang w:eastAsia="x-none"/>
        </w:rPr>
        <w:t>(</w:t>
      </w:r>
      <w:hyperlink w:anchor="_ENREF_5" w:tooltip="Allan, 2013 #611" w:history="1">
        <w:r w:rsidR="00F40CE2">
          <w:rPr>
            <w:noProof/>
            <w:lang w:eastAsia="x-none"/>
          </w:rPr>
          <w:t>Allan and A’Vard, 2013</w:t>
        </w:r>
      </w:hyperlink>
      <w:r w:rsidR="00F40CE2">
        <w:rPr>
          <w:noProof/>
          <w:lang w:eastAsia="x-none"/>
        </w:rPr>
        <w:t>)</w:t>
      </w:r>
      <w:r w:rsidR="0003295F">
        <w:rPr>
          <w:lang w:eastAsia="x-none"/>
        </w:rPr>
        <w:fldChar w:fldCharType="end"/>
      </w:r>
      <w:r>
        <w:rPr>
          <w:lang w:eastAsia="x-none"/>
        </w:rPr>
        <w:t>), however anecdotal information suggested that this may in fact be an optimistic assumption. Glass industry sources suggested that far more glass was last as fines, with some suggesting up to 50% is lost as fines. Without data from MRFs</w:t>
      </w:r>
      <w:r w:rsidR="005C0B04">
        <w:rPr>
          <w:lang w:eastAsia="x-none"/>
        </w:rPr>
        <w:t xml:space="preserve">, it is impossible to say exactly how much glass ends up as fines, however it is recognised that the environmental benefit of down-cycling glass bottles into aggregate products is far less than can be achieved by </w:t>
      </w:r>
      <w:r w:rsidR="00BC0079">
        <w:rPr>
          <w:lang w:eastAsia="x-none"/>
        </w:rPr>
        <w:t>retaining</w:t>
      </w:r>
      <w:r w:rsidR="005C0B04">
        <w:rPr>
          <w:lang w:eastAsia="x-none"/>
        </w:rPr>
        <w:t xml:space="preserve"> glass in the container packaging </w:t>
      </w:r>
      <w:r w:rsidR="00BC0079">
        <w:rPr>
          <w:lang w:eastAsia="x-none"/>
        </w:rPr>
        <w:t xml:space="preserve">supply </w:t>
      </w:r>
      <w:r w:rsidR="005C0B04">
        <w:rPr>
          <w:lang w:eastAsia="x-none"/>
        </w:rPr>
        <w:t>system. The following sensitivity study tests the impact of variation in the glass cullet recovery assumption (</w:t>
      </w:r>
      <w:r w:rsidR="005C0B04">
        <w:rPr>
          <w:lang w:eastAsia="x-none"/>
        </w:rPr>
        <w:fldChar w:fldCharType="begin"/>
      </w:r>
      <w:r w:rsidR="005C0B04">
        <w:rPr>
          <w:lang w:eastAsia="x-none"/>
        </w:rPr>
        <w:instrText xml:space="preserve"> REF _Ref358766569 \h </w:instrText>
      </w:r>
      <w:r w:rsidR="005C0B04">
        <w:rPr>
          <w:lang w:eastAsia="x-none"/>
        </w:rPr>
      </w:r>
      <w:r w:rsidR="005C0B04">
        <w:rPr>
          <w:lang w:eastAsia="x-none"/>
        </w:rPr>
        <w:fldChar w:fldCharType="separate"/>
      </w:r>
      <w:r w:rsidR="00564E5C">
        <w:t xml:space="preserve">Table </w:t>
      </w:r>
      <w:r w:rsidR="00564E5C">
        <w:rPr>
          <w:noProof/>
        </w:rPr>
        <w:t>46</w:t>
      </w:r>
      <w:r w:rsidR="005C0B04">
        <w:rPr>
          <w:lang w:eastAsia="x-none"/>
        </w:rPr>
        <w:fldChar w:fldCharType="end"/>
      </w:r>
      <w:r w:rsidR="005C0B04">
        <w:rPr>
          <w:lang w:eastAsia="x-none"/>
        </w:rPr>
        <w:t>).</w:t>
      </w:r>
    </w:p>
    <w:p w14:paraId="0D494487" w14:textId="5E691294" w:rsidR="00E97488" w:rsidRDefault="00E97488" w:rsidP="00E97488">
      <w:pPr>
        <w:pStyle w:val="Caption"/>
        <w:keepNext/>
      </w:pPr>
      <w:bookmarkStart w:id="230" w:name="_Ref358766569"/>
      <w:r>
        <w:t xml:space="preserve">Table </w:t>
      </w:r>
      <w:r w:rsidR="00FC7DE2">
        <w:fldChar w:fldCharType="begin"/>
      </w:r>
      <w:r w:rsidR="00FC7DE2">
        <w:instrText xml:space="preserve"> SEQ Table \* ARABIC </w:instrText>
      </w:r>
      <w:r w:rsidR="00FC7DE2">
        <w:fldChar w:fldCharType="separate"/>
      </w:r>
      <w:r w:rsidR="00564E5C">
        <w:rPr>
          <w:noProof/>
        </w:rPr>
        <w:t>46</w:t>
      </w:r>
      <w:r w:rsidR="00FC7DE2">
        <w:rPr>
          <w:noProof/>
        </w:rPr>
        <w:fldChar w:fldCharType="end"/>
      </w:r>
      <w:bookmarkEnd w:id="230"/>
      <w:r>
        <w:rPr>
          <w:lang w:val="en-AU"/>
        </w:rPr>
        <w:t xml:space="preserve"> Sensitivity to change in glass cullet recovery rate.</w:t>
      </w:r>
      <w:r w:rsidR="00BC0079">
        <w:rPr>
          <w:lang w:val="en-AU"/>
        </w:rPr>
        <w:t xml:space="preserve"> Results shown to two decimal places.</w:t>
      </w:r>
    </w:p>
    <w:p w14:paraId="0D494488" w14:textId="13EB3A9E" w:rsidR="002E3472" w:rsidRDefault="009858B7" w:rsidP="002E3472">
      <w:pPr>
        <w:rPr>
          <w:lang w:eastAsia="x-none"/>
        </w:rPr>
      </w:pPr>
      <w:r w:rsidRPr="009858B7">
        <w:rPr>
          <w:noProof/>
        </w:rPr>
        <w:drawing>
          <wp:inline distT="0" distB="0" distL="0" distR="0" wp14:anchorId="3FF42144" wp14:editId="2B4512B4">
            <wp:extent cx="3930650" cy="373253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30650" cy="3732530"/>
                    </a:xfrm>
                    <a:prstGeom prst="rect">
                      <a:avLst/>
                    </a:prstGeom>
                    <a:noFill/>
                    <a:ln>
                      <a:noFill/>
                    </a:ln>
                  </pic:spPr>
                </pic:pic>
              </a:graphicData>
            </a:graphic>
          </wp:inline>
        </w:drawing>
      </w:r>
    </w:p>
    <w:p w14:paraId="0D494489" w14:textId="1725486D" w:rsidR="005C0B04" w:rsidRDefault="005C0B04" w:rsidP="002E3472">
      <w:pPr>
        <w:rPr>
          <w:lang w:eastAsia="x-none"/>
        </w:rPr>
      </w:pPr>
      <w:r>
        <w:rPr>
          <w:lang w:eastAsia="x-none"/>
        </w:rPr>
        <w:t xml:space="preserve">The results in </w:t>
      </w:r>
      <w:r>
        <w:rPr>
          <w:lang w:eastAsia="x-none"/>
        </w:rPr>
        <w:fldChar w:fldCharType="begin"/>
      </w:r>
      <w:r>
        <w:rPr>
          <w:lang w:eastAsia="x-none"/>
        </w:rPr>
        <w:instrText xml:space="preserve"> REF _Ref358766569 \h </w:instrText>
      </w:r>
      <w:r>
        <w:rPr>
          <w:lang w:eastAsia="x-none"/>
        </w:rPr>
      </w:r>
      <w:r>
        <w:rPr>
          <w:lang w:eastAsia="x-none"/>
        </w:rPr>
        <w:fldChar w:fldCharType="separate"/>
      </w:r>
      <w:r w:rsidR="00564E5C">
        <w:t xml:space="preserve">Table </w:t>
      </w:r>
      <w:r w:rsidR="00564E5C">
        <w:rPr>
          <w:noProof/>
        </w:rPr>
        <w:t>46</w:t>
      </w:r>
      <w:r>
        <w:rPr>
          <w:lang w:eastAsia="x-none"/>
        </w:rPr>
        <w:fldChar w:fldCharType="end"/>
      </w:r>
      <w:r>
        <w:rPr>
          <w:lang w:eastAsia="x-none"/>
        </w:rPr>
        <w:t xml:space="preserve"> show that reducing the glass recovery assumption to 50% does have an adverse impact upon most indicators, but not by as much as might be expected. The reduction of cullet recovery to 50% reduces </w:t>
      </w:r>
      <w:r w:rsidR="00607388">
        <w:rPr>
          <w:lang w:eastAsia="x-none"/>
        </w:rPr>
        <w:t xml:space="preserve">system </w:t>
      </w:r>
      <w:r>
        <w:rPr>
          <w:lang w:eastAsia="x-none"/>
        </w:rPr>
        <w:t xml:space="preserve">global warming benefits by only </w:t>
      </w:r>
      <w:r w:rsidR="007C1555">
        <w:rPr>
          <w:lang w:eastAsia="x-none"/>
        </w:rPr>
        <w:t>6</w:t>
      </w:r>
      <w:r>
        <w:rPr>
          <w:lang w:eastAsia="x-none"/>
        </w:rPr>
        <w:t>%.</w:t>
      </w:r>
    </w:p>
    <w:p w14:paraId="389E47B6" w14:textId="22F714A1" w:rsidR="007F0DEA" w:rsidRDefault="007F0DEA" w:rsidP="007F0DEA">
      <w:pPr>
        <w:pStyle w:val="Heading3"/>
        <w:rPr>
          <w:lang w:val="en-AU"/>
        </w:rPr>
      </w:pPr>
      <w:bookmarkStart w:id="231" w:name="_Ref362988445"/>
      <w:bookmarkStart w:id="232" w:name="_Toc433964581"/>
      <w:r>
        <w:rPr>
          <w:lang w:val="en-AU"/>
        </w:rPr>
        <w:t xml:space="preserve">Methane capture </w:t>
      </w:r>
      <w:r w:rsidR="00ED7F38">
        <w:rPr>
          <w:lang w:val="en-AU"/>
        </w:rPr>
        <w:t>and carbon storage in landfill</w:t>
      </w:r>
      <w:bookmarkEnd w:id="231"/>
      <w:bookmarkEnd w:id="232"/>
    </w:p>
    <w:p w14:paraId="6FD89179" w14:textId="678D7429" w:rsidR="007F0DEA" w:rsidRDefault="001D1124" w:rsidP="007F0DEA">
      <w:pPr>
        <w:rPr>
          <w:lang w:eastAsia="x-none"/>
        </w:rPr>
      </w:pPr>
      <w:r>
        <w:rPr>
          <w:lang w:eastAsia="x-none"/>
        </w:rPr>
        <w:t>A point of uncertainty surrounding landfill is the ability of the engineered landfill cell to capture methane generated by the materials stored within it. The baseline assumption for captu</w:t>
      </w:r>
      <w:r w:rsidR="00ED7F38">
        <w:rPr>
          <w:lang w:eastAsia="x-none"/>
        </w:rPr>
        <w:t>re is 5</w:t>
      </w:r>
      <w:r w:rsidR="00327CD7">
        <w:rPr>
          <w:lang w:eastAsia="x-none"/>
        </w:rPr>
        <w:t>6</w:t>
      </w:r>
      <w:r w:rsidR="00ED7F38">
        <w:rPr>
          <w:lang w:eastAsia="x-none"/>
        </w:rPr>
        <w:t>% to 63% of methane generated over the life of the study (100 years) is captured, depending upon the material deposited. In reality the 5</w:t>
      </w:r>
      <w:r w:rsidR="004101C1">
        <w:rPr>
          <w:lang w:eastAsia="x-none"/>
        </w:rPr>
        <w:t>6</w:t>
      </w:r>
      <w:r w:rsidR="00ED7F38">
        <w:rPr>
          <w:lang w:eastAsia="x-none"/>
        </w:rPr>
        <w:t xml:space="preserve">% capture </w:t>
      </w:r>
      <w:r w:rsidR="004101C1">
        <w:rPr>
          <w:lang w:eastAsia="x-none"/>
        </w:rPr>
        <w:t xml:space="preserve">rate </w:t>
      </w:r>
      <w:r w:rsidR="00ED7F38">
        <w:rPr>
          <w:lang w:eastAsia="x-none"/>
        </w:rPr>
        <w:t xml:space="preserve">probably reflects a ‘best practice’ approach to landfill operation. </w:t>
      </w:r>
      <w:r w:rsidR="002E4DD6">
        <w:rPr>
          <w:lang w:eastAsia="x-none"/>
        </w:rPr>
        <w:fldChar w:fldCharType="begin"/>
      </w:r>
      <w:r w:rsidR="002E4DD6">
        <w:rPr>
          <w:lang w:eastAsia="x-none"/>
        </w:rPr>
        <w:instrText xml:space="preserve"> ADDIN EN.CITE &lt;EndNote&gt;&lt;Cite AuthorYear="1"&gt;&lt;Author&gt;DCCEE&lt;/Author&gt;&lt;Year&gt;2010&lt;/Year&gt;&lt;RecNum&gt;573&lt;/RecNum&gt;&lt;DisplayText&gt;DCCEE (2010)&lt;/DisplayText&gt;&lt;record&gt;&lt;rec-number&gt;573&lt;/rec-number&gt;&lt;foreign-keys&gt;&lt;key app="EN" db-id="tfpv5staxsvs2nexzpp5taewzsvpx0er5fap"&gt;573&lt;/key&gt;&lt;/foreign-keys&gt;&lt;ref-type name="Report"&gt;27&lt;/ref-type&gt;&lt;contributors&gt;&lt;authors&gt;&lt;author&gt;DCCEE&lt;/author&gt;&lt;/authors&gt;&lt;/contributors&gt;&lt;titles&gt;&lt;title&gt;Australian National Greenhouse Accounts - National Inventory Report 2010&lt;/title&gt;&lt;/titles&gt;&lt;volume&gt;3&lt;/volume&gt;&lt;dates&gt;&lt;year&gt;2010&lt;/year&gt;&lt;/dates&gt;&lt;pub-location&gt;Canberra&lt;/pub-location&gt;&lt;publisher&gt;Dept. Climate Change and Energy Efficiency&lt;/publisher&gt;&lt;urls&gt;&lt;/urls&gt;&lt;/record&gt;&lt;/Cite&gt;&lt;/EndNote&gt;</w:instrText>
      </w:r>
      <w:r w:rsidR="002E4DD6">
        <w:rPr>
          <w:lang w:eastAsia="x-none"/>
        </w:rPr>
        <w:fldChar w:fldCharType="separate"/>
      </w:r>
      <w:hyperlink w:anchor="_ENREF_16" w:tooltip="DCCEE, 2010 #573" w:history="1">
        <w:r w:rsidR="00F40CE2">
          <w:rPr>
            <w:noProof/>
            <w:lang w:eastAsia="x-none"/>
          </w:rPr>
          <w:t>DCCEE (2010</w:t>
        </w:r>
      </w:hyperlink>
      <w:r w:rsidR="002E4DD6">
        <w:rPr>
          <w:noProof/>
          <w:lang w:eastAsia="x-none"/>
        </w:rPr>
        <w:t>)</w:t>
      </w:r>
      <w:r w:rsidR="002E4DD6">
        <w:rPr>
          <w:lang w:eastAsia="x-none"/>
        </w:rPr>
        <w:fldChar w:fldCharType="end"/>
      </w:r>
      <w:r w:rsidR="002E4DD6">
        <w:rPr>
          <w:lang w:eastAsia="x-none"/>
        </w:rPr>
        <w:t xml:space="preserve"> report a national average landfill </w:t>
      </w:r>
      <w:r w:rsidR="00607388">
        <w:rPr>
          <w:lang w:eastAsia="x-none"/>
        </w:rPr>
        <w:t xml:space="preserve">gas </w:t>
      </w:r>
      <w:r w:rsidR="002E4DD6">
        <w:rPr>
          <w:lang w:eastAsia="x-none"/>
        </w:rPr>
        <w:t>capture rate of 26% however this includes old and decommissioned landfills.</w:t>
      </w:r>
    </w:p>
    <w:p w14:paraId="73FB8667" w14:textId="7DD8A616" w:rsidR="002E4DD6" w:rsidRDefault="00ED7F38" w:rsidP="007F0DEA">
      <w:pPr>
        <w:rPr>
          <w:lang w:eastAsia="x-none"/>
        </w:rPr>
      </w:pPr>
      <w:r>
        <w:rPr>
          <w:lang w:eastAsia="x-none"/>
        </w:rPr>
        <w:t xml:space="preserve">To assess the importance of this assumption a sensitivity study was undertaken that varies the methane capture rate and assesses the impact upon </w:t>
      </w:r>
      <w:r w:rsidR="00BC0079">
        <w:rPr>
          <w:lang w:eastAsia="x-none"/>
        </w:rPr>
        <w:t xml:space="preserve">the </w:t>
      </w:r>
      <w:r>
        <w:rPr>
          <w:lang w:eastAsia="x-none"/>
        </w:rPr>
        <w:t>system result (</w:t>
      </w:r>
      <w:r w:rsidR="002E4DD6">
        <w:rPr>
          <w:lang w:eastAsia="x-none"/>
        </w:rPr>
        <w:fldChar w:fldCharType="begin"/>
      </w:r>
      <w:r w:rsidR="002E4DD6">
        <w:rPr>
          <w:lang w:eastAsia="x-none"/>
        </w:rPr>
        <w:instrText xml:space="preserve"> REF _Ref360574539 \h </w:instrText>
      </w:r>
      <w:r w:rsidR="002E4DD6">
        <w:rPr>
          <w:lang w:eastAsia="x-none"/>
        </w:rPr>
      </w:r>
      <w:r w:rsidR="002E4DD6">
        <w:rPr>
          <w:lang w:eastAsia="x-none"/>
        </w:rPr>
        <w:fldChar w:fldCharType="separate"/>
      </w:r>
      <w:r w:rsidR="00564E5C">
        <w:t xml:space="preserve">Table </w:t>
      </w:r>
      <w:r w:rsidR="00564E5C">
        <w:rPr>
          <w:noProof/>
        </w:rPr>
        <w:t>47</w:t>
      </w:r>
      <w:r w:rsidR="002E4DD6">
        <w:rPr>
          <w:lang w:eastAsia="x-none"/>
        </w:rPr>
        <w:fldChar w:fldCharType="end"/>
      </w:r>
      <w:r w:rsidR="002E4DD6">
        <w:rPr>
          <w:lang w:eastAsia="x-none"/>
        </w:rPr>
        <w:t>).</w:t>
      </w:r>
    </w:p>
    <w:p w14:paraId="6909D22F" w14:textId="5622C36B" w:rsidR="002E4DD6" w:rsidRDefault="002E4DD6" w:rsidP="007F0DEA">
      <w:pPr>
        <w:rPr>
          <w:lang w:eastAsia="x-none"/>
        </w:rPr>
      </w:pPr>
      <w:r>
        <w:rPr>
          <w:lang w:eastAsia="x-none"/>
        </w:rPr>
        <w:fldChar w:fldCharType="begin"/>
      </w:r>
      <w:r>
        <w:rPr>
          <w:lang w:eastAsia="x-none"/>
        </w:rPr>
        <w:instrText xml:space="preserve"> REF _Ref360574539 \h </w:instrText>
      </w:r>
      <w:r>
        <w:rPr>
          <w:lang w:eastAsia="x-none"/>
        </w:rPr>
      </w:r>
      <w:r>
        <w:rPr>
          <w:lang w:eastAsia="x-none"/>
        </w:rPr>
        <w:fldChar w:fldCharType="separate"/>
      </w:r>
      <w:r w:rsidR="00564E5C">
        <w:t xml:space="preserve">Table </w:t>
      </w:r>
      <w:r w:rsidR="00564E5C">
        <w:rPr>
          <w:noProof/>
        </w:rPr>
        <w:t>47</w:t>
      </w:r>
      <w:r>
        <w:rPr>
          <w:lang w:eastAsia="x-none"/>
        </w:rPr>
        <w:fldChar w:fldCharType="end"/>
      </w:r>
      <w:r>
        <w:rPr>
          <w:lang w:eastAsia="x-none"/>
        </w:rPr>
        <w:t xml:space="preserve"> shows that changing methane capture rates most significantly affects global warming outcomes. Global warming benefits of the Recycling System increase as landfill capture rates reduce because global warming impacts increase as more methane is emitted to atmosphere under the Alternative System. At a 20% capture rate (similar to the DCCEE average above), the benefits of the Recycling System increase by 7</w:t>
      </w:r>
      <w:r w:rsidR="004101C1">
        <w:rPr>
          <w:lang w:eastAsia="x-none"/>
        </w:rPr>
        <w:t>6</w:t>
      </w:r>
      <w:r>
        <w:rPr>
          <w:lang w:eastAsia="x-none"/>
        </w:rPr>
        <w:t xml:space="preserve">%. By the same token, if it were possible to collect 80% of methane from landfill, the benefits of the Recycling System would reduce by </w:t>
      </w:r>
      <w:r w:rsidR="004101C1">
        <w:rPr>
          <w:lang w:eastAsia="x-none"/>
        </w:rPr>
        <w:t>32</w:t>
      </w:r>
      <w:r>
        <w:rPr>
          <w:lang w:eastAsia="x-none"/>
        </w:rPr>
        <w:t>%.</w:t>
      </w:r>
    </w:p>
    <w:p w14:paraId="57529EC4" w14:textId="46F6A6EB" w:rsidR="002E4DD6" w:rsidRDefault="002E4DD6" w:rsidP="007F0DEA">
      <w:pPr>
        <w:rPr>
          <w:lang w:eastAsia="x-none"/>
        </w:rPr>
      </w:pPr>
      <w:r>
        <w:rPr>
          <w:lang w:eastAsia="x-none"/>
        </w:rPr>
        <w:lastRenderedPageBreak/>
        <w:t>The results illustrate the impact the competing system, landfill, has on the way recycling is assessed. Improvements in the landfill system reduce the benefits of the Recycling System, and degradation in landfill performance increase the benefits of the Recycling System. Importantly, the range of change seen here does not change the fundamental study conclusions.</w:t>
      </w:r>
    </w:p>
    <w:p w14:paraId="1ADEFFEA" w14:textId="52A35AA2" w:rsidR="00ED7F38" w:rsidRDefault="00ED7F38" w:rsidP="00ED7F38">
      <w:pPr>
        <w:pStyle w:val="Caption"/>
        <w:keepNext/>
      </w:pPr>
      <w:bookmarkStart w:id="233" w:name="_Ref360574539"/>
      <w:r>
        <w:t xml:space="preserve">Table </w:t>
      </w:r>
      <w:r w:rsidR="00FC7DE2">
        <w:fldChar w:fldCharType="begin"/>
      </w:r>
      <w:r w:rsidR="00FC7DE2">
        <w:instrText xml:space="preserve"> SEQ Table \* ARABIC </w:instrText>
      </w:r>
      <w:r w:rsidR="00FC7DE2">
        <w:fldChar w:fldCharType="separate"/>
      </w:r>
      <w:r w:rsidR="00564E5C">
        <w:rPr>
          <w:noProof/>
        </w:rPr>
        <w:t>47</w:t>
      </w:r>
      <w:r w:rsidR="00FC7DE2">
        <w:rPr>
          <w:noProof/>
        </w:rPr>
        <w:fldChar w:fldCharType="end"/>
      </w:r>
      <w:bookmarkEnd w:id="233"/>
      <w:r>
        <w:rPr>
          <w:lang w:val="en-AU"/>
        </w:rPr>
        <w:t xml:space="preserve"> </w:t>
      </w:r>
      <w:r w:rsidR="002E4DD6">
        <w:rPr>
          <w:lang w:val="en-AU"/>
        </w:rPr>
        <w:t>Sensitivity</w:t>
      </w:r>
      <w:r>
        <w:rPr>
          <w:lang w:val="en-AU"/>
        </w:rPr>
        <w:t xml:space="preserve"> of study results to changes in the methane capture rate of landfill.</w:t>
      </w:r>
      <w:r w:rsidR="00BC0079">
        <w:rPr>
          <w:lang w:val="en-AU"/>
        </w:rPr>
        <w:t xml:space="preserve"> Results shown to two decimal places.</w:t>
      </w:r>
    </w:p>
    <w:p w14:paraId="39D7E2B2" w14:textId="5C5F5BE6" w:rsidR="00ED7F38" w:rsidRDefault="009858B7" w:rsidP="007F0DEA">
      <w:pPr>
        <w:rPr>
          <w:lang w:eastAsia="x-none"/>
        </w:rPr>
      </w:pPr>
      <w:r w:rsidRPr="009858B7">
        <w:rPr>
          <w:noProof/>
        </w:rPr>
        <w:drawing>
          <wp:inline distT="0" distB="0" distL="0" distR="0" wp14:anchorId="002B10F0" wp14:editId="4F35C1F9">
            <wp:extent cx="5124450" cy="3568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4450" cy="3568700"/>
                    </a:xfrm>
                    <a:prstGeom prst="rect">
                      <a:avLst/>
                    </a:prstGeom>
                    <a:noFill/>
                    <a:ln>
                      <a:noFill/>
                    </a:ln>
                  </pic:spPr>
                </pic:pic>
              </a:graphicData>
            </a:graphic>
          </wp:inline>
        </w:drawing>
      </w:r>
    </w:p>
    <w:p w14:paraId="034F7168" w14:textId="69FFBC18" w:rsidR="002E4DD6" w:rsidRDefault="002E4DD6" w:rsidP="002E4DD6">
      <w:pPr>
        <w:pStyle w:val="Heading4"/>
        <w:rPr>
          <w:lang w:val="en-AU"/>
        </w:rPr>
      </w:pPr>
      <w:r>
        <w:t>Carbon storage in landfill and in soil</w:t>
      </w:r>
    </w:p>
    <w:p w14:paraId="0CABA5CE" w14:textId="5FD8CC8B" w:rsidR="000250A7" w:rsidRPr="002E4DD6" w:rsidRDefault="002E4DD6" w:rsidP="002E4DD6">
      <w:pPr>
        <w:rPr>
          <w:lang w:eastAsia="x-none"/>
        </w:rPr>
      </w:pPr>
      <w:r>
        <w:rPr>
          <w:lang w:eastAsia="x-none"/>
        </w:rPr>
        <w:t xml:space="preserve">An assumption used in this study is that biogenic carbon can be stored for a 100 year period in landfill and in soils when compost is applied. The rationale behind this assumption is discussed </w:t>
      </w:r>
      <w:r w:rsidR="000250A7">
        <w:rPr>
          <w:lang w:eastAsia="x-none"/>
        </w:rPr>
        <w:t xml:space="preserve">in </w:t>
      </w:r>
      <w:r>
        <w:rPr>
          <w:lang w:eastAsia="x-none"/>
        </w:rPr>
        <w:fldChar w:fldCharType="begin"/>
      </w:r>
      <w:r>
        <w:rPr>
          <w:lang w:eastAsia="x-none"/>
        </w:rPr>
        <w:instrText xml:space="preserve"> REF _Ref360575329 \h </w:instrText>
      </w:r>
      <w:r>
        <w:rPr>
          <w:lang w:eastAsia="x-none"/>
        </w:rPr>
      </w:r>
      <w:r>
        <w:rPr>
          <w:lang w:eastAsia="x-none"/>
        </w:rPr>
        <w:fldChar w:fldCharType="separate"/>
      </w:r>
      <w:r w:rsidR="00564E5C">
        <w:t>Appendix B – Inventory Report</w:t>
      </w:r>
      <w:r>
        <w:rPr>
          <w:lang w:eastAsia="x-none"/>
        </w:rPr>
        <w:fldChar w:fldCharType="end"/>
      </w:r>
      <w:r w:rsidR="000250A7">
        <w:rPr>
          <w:lang w:eastAsia="x-none"/>
        </w:rPr>
        <w:t xml:space="preserve">. To test what impact disregarding this assumption might have, a sensitivity study was completed that </w:t>
      </w:r>
      <w:r w:rsidR="00B134C0">
        <w:rPr>
          <w:lang w:eastAsia="x-none"/>
        </w:rPr>
        <w:t>excluded</w:t>
      </w:r>
      <w:r w:rsidR="000250A7">
        <w:rPr>
          <w:lang w:eastAsia="x-none"/>
        </w:rPr>
        <w:t xml:space="preserve"> the global warming benefit of carbon storage in soils or landfill. The outcome increased the Global Warming benefit of the Recycling System from 2</w:t>
      </w:r>
      <w:r w:rsidR="00BC0079">
        <w:rPr>
          <w:lang w:eastAsia="x-none"/>
        </w:rPr>
        <w:t>47</w:t>
      </w:r>
      <w:r w:rsidR="000250A7">
        <w:rPr>
          <w:lang w:eastAsia="x-none"/>
        </w:rPr>
        <w:t xml:space="preserve"> kg CO2e </w:t>
      </w:r>
      <w:r w:rsidR="00BC0079">
        <w:rPr>
          <w:lang w:eastAsia="x-none"/>
        </w:rPr>
        <w:t xml:space="preserve">(before rounding) </w:t>
      </w:r>
      <w:r w:rsidR="000250A7">
        <w:rPr>
          <w:lang w:eastAsia="x-none"/>
        </w:rPr>
        <w:t xml:space="preserve">under the baseline, to </w:t>
      </w:r>
      <w:r w:rsidR="004101C1">
        <w:rPr>
          <w:lang w:eastAsia="x-none"/>
        </w:rPr>
        <w:t>292</w:t>
      </w:r>
      <w:r w:rsidR="000250A7">
        <w:rPr>
          <w:lang w:eastAsia="x-none"/>
        </w:rPr>
        <w:t xml:space="preserve"> kg CO2e. The result is due to the resulting increase in the impact of landfill waste disposal as the global warming benefits of carbon storage are excluded. The Recycling System is less sensitive to carbon storage in soil.</w:t>
      </w:r>
    </w:p>
    <w:p w14:paraId="0D49448A" w14:textId="77777777" w:rsidR="002E3472" w:rsidRDefault="00F402EB" w:rsidP="002E3472">
      <w:pPr>
        <w:pStyle w:val="Heading2"/>
        <w:rPr>
          <w:lang w:val="en-AU"/>
        </w:rPr>
      </w:pPr>
      <w:bookmarkStart w:id="234" w:name="_Ref360529513"/>
      <w:bookmarkStart w:id="235" w:name="_Toc433964582"/>
      <w:r>
        <w:rPr>
          <w:lang w:val="en-AU"/>
        </w:rPr>
        <w:t>Consequential</w:t>
      </w:r>
      <w:r w:rsidR="002E3472">
        <w:rPr>
          <w:lang w:val="en-AU"/>
        </w:rPr>
        <w:t xml:space="preserve"> analysis</w:t>
      </w:r>
      <w:bookmarkEnd w:id="234"/>
      <w:bookmarkEnd w:id="235"/>
    </w:p>
    <w:p w14:paraId="1675A778" w14:textId="77777777" w:rsidR="00C257D1" w:rsidRPr="00041296" w:rsidRDefault="00C257D1" w:rsidP="00C257D1">
      <w:pPr>
        <w:pStyle w:val="Heading3"/>
      </w:pPr>
      <w:bookmarkStart w:id="236" w:name="_Ref363071133"/>
      <w:bookmarkStart w:id="237" w:name="_Toc433964583"/>
      <w:r w:rsidRPr="00041296">
        <w:t>Introduction</w:t>
      </w:r>
      <w:bookmarkEnd w:id="236"/>
      <w:bookmarkEnd w:id="237"/>
    </w:p>
    <w:p w14:paraId="7E8589BC" w14:textId="5AE6D8BB" w:rsidR="00C257D1" w:rsidRDefault="00C257D1" w:rsidP="00C257D1">
      <w:pPr>
        <w:ind w:right="11"/>
      </w:pPr>
      <w:r>
        <w:t>As the outcomes of this study may be used to inform potential waste policy, it is important to consider whether or not the outcomes of this study will be applicable in the future.</w:t>
      </w:r>
    </w:p>
    <w:p w14:paraId="6401FA7E" w14:textId="61C15F4E" w:rsidR="00C257D1" w:rsidRDefault="00C257D1" w:rsidP="00C257D1">
      <w:pPr>
        <w:rPr>
          <w:lang w:eastAsia="x-none"/>
        </w:rPr>
      </w:pPr>
      <w:r>
        <w:rPr>
          <w:lang w:eastAsia="x-none"/>
        </w:rPr>
        <w:t xml:space="preserve">As outlined in </w:t>
      </w:r>
      <w:r>
        <w:rPr>
          <w:lang w:eastAsia="x-none"/>
        </w:rPr>
        <w:fldChar w:fldCharType="begin"/>
      </w:r>
      <w:r>
        <w:rPr>
          <w:lang w:eastAsia="x-none"/>
        </w:rPr>
        <w:instrText xml:space="preserve"> REF _Ref360135617 \h </w:instrText>
      </w:r>
      <w:r>
        <w:rPr>
          <w:lang w:eastAsia="x-none"/>
        </w:rPr>
      </w:r>
      <w:r>
        <w:rPr>
          <w:lang w:eastAsia="x-none"/>
        </w:rPr>
        <w:fldChar w:fldCharType="separate"/>
      </w:r>
      <w:r w:rsidR="00564E5C">
        <w:t>Appendix A – Life Cycle Assessment and Recycling</w:t>
      </w:r>
      <w:r>
        <w:rPr>
          <w:lang w:eastAsia="x-none"/>
        </w:rPr>
        <w:fldChar w:fldCharType="end"/>
      </w:r>
      <w:r>
        <w:rPr>
          <w:lang w:eastAsia="x-none"/>
        </w:rPr>
        <w:t>, life cycle assessments are typically based on attributional modelling, that is, they assume that all future impacts will be the same as existing (or past) impacts. In contrast, consequential modelling seeks to understand how a system will respond with changes to the system(s).</w:t>
      </w:r>
    </w:p>
    <w:p w14:paraId="3AF394A8" w14:textId="263A32E6" w:rsidR="00C257D1" w:rsidRDefault="00C257D1" w:rsidP="00C257D1">
      <w:r>
        <w:t>The approach taken to quantify net environmental benefits or burdens in this study adopts a</w:t>
      </w:r>
      <w:r w:rsidR="00E85758">
        <w:t xml:space="preserve"> largely attribution approach</w:t>
      </w:r>
      <w:r>
        <w:t xml:space="preserve">. To calculate the net environmental benefits (or burdens) of recycling, the impacts associated with avoided materials and landfill systems are subtracted from those associated </w:t>
      </w:r>
      <w:r>
        <w:lastRenderedPageBreak/>
        <w:t>with waste management and reprocessing (</w:t>
      </w:r>
      <w:r>
        <w:fldChar w:fldCharType="begin"/>
      </w:r>
      <w:r>
        <w:instrText xml:space="preserve"> REF _Ref358772337 \h </w:instrText>
      </w:r>
      <w:r>
        <w:fldChar w:fldCharType="separate"/>
      </w:r>
      <w:r w:rsidR="00564E5C">
        <w:t xml:space="preserve">Figure </w:t>
      </w:r>
      <w:r w:rsidR="00564E5C">
        <w:rPr>
          <w:noProof/>
        </w:rPr>
        <w:t>1</w:t>
      </w:r>
      <w:r>
        <w:fldChar w:fldCharType="end"/>
      </w:r>
      <w:r>
        <w:t xml:space="preserve">). </w:t>
      </w:r>
    </w:p>
    <w:p w14:paraId="0DFE1ABB" w14:textId="4E33E188" w:rsidR="00C257D1" w:rsidRDefault="00E85758" w:rsidP="00C257D1">
      <w:r>
        <w:t xml:space="preserve">The inherent </w:t>
      </w:r>
      <w:r w:rsidR="00C257D1">
        <w:t xml:space="preserve">assumption in this approach is that the reprocessing of material recovered from the recycling stream materials always offsets the need to produce </w:t>
      </w:r>
      <w:r w:rsidR="00B134C0">
        <w:t xml:space="preserve">material from </w:t>
      </w:r>
      <w:r w:rsidR="00C257D1">
        <w:t xml:space="preserve">virgin </w:t>
      </w:r>
      <w:r w:rsidR="00B134C0">
        <w:t>resources</w:t>
      </w:r>
      <w:r w:rsidR="00C257D1">
        <w:t>. This report investigates the applicability of this assumption in the Australian market through the following question:</w:t>
      </w:r>
    </w:p>
    <w:p w14:paraId="68542B8F" w14:textId="77777777" w:rsidR="00C257D1" w:rsidRPr="008B7097" w:rsidRDefault="00C257D1" w:rsidP="00C257D1">
      <w:pPr>
        <w:ind w:left="567" w:right="521"/>
        <w:rPr>
          <w:i/>
        </w:rPr>
      </w:pPr>
      <w:r>
        <w:rPr>
          <w:i/>
        </w:rPr>
        <w:t>In the future, w</w:t>
      </w:r>
      <w:r w:rsidRPr="008B7097">
        <w:rPr>
          <w:i/>
        </w:rPr>
        <w:t>ould recycl</w:t>
      </w:r>
      <w:r>
        <w:rPr>
          <w:i/>
        </w:rPr>
        <w:t>ing a</w:t>
      </w:r>
      <w:r w:rsidRPr="008B7097">
        <w:rPr>
          <w:i/>
        </w:rPr>
        <w:t xml:space="preserve"> material </w:t>
      </w:r>
      <w:r>
        <w:rPr>
          <w:i/>
        </w:rPr>
        <w:t xml:space="preserve">from the kerbside stream displace </w:t>
      </w:r>
      <w:r w:rsidRPr="008B7097">
        <w:rPr>
          <w:i/>
        </w:rPr>
        <w:t>virgin material production?</w:t>
      </w:r>
    </w:p>
    <w:p w14:paraId="0017EC90" w14:textId="1218E058" w:rsidR="00C257D1" w:rsidRDefault="00C257D1" w:rsidP="00C257D1">
      <w:pPr>
        <w:widowControl/>
        <w:spacing w:after="0"/>
      </w:pPr>
      <w:r>
        <w:t>This section investigates this question by assessing market trends for the main material types covered in this life cycle assessment; packaging glass, metals, mixed paper, cardboard, clear PET and HDPE and green organics. However, this section does not attempt to quantify any potential changes in environmental impacts/benefits under different future scenarios.</w:t>
      </w:r>
    </w:p>
    <w:p w14:paraId="7EB6AAC5" w14:textId="76E23D7C" w:rsidR="00CC61A9" w:rsidRDefault="00CC61A9" w:rsidP="00C257D1">
      <w:pPr>
        <w:widowControl/>
        <w:spacing w:after="0"/>
      </w:pPr>
    </w:p>
    <w:p w14:paraId="78768BE8" w14:textId="35BFED21" w:rsidR="00CC61A9" w:rsidRDefault="00CC61A9" w:rsidP="00C257D1">
      <w:pPr>
        <w:widowControl/>
        <w:spacing w:after="0"/>
      </w:pPr>
      <w:r>
        <w:t>The market approach taken adopts the assumption that while excess demand (versus supply) for materials exists, additional recycling will be absorbed by hungry producer firms. If demand for materials is marginal of potentially in contraction the reverse may be true whereby excess supply exists and recycling materials may be of limited or negative value (waste). The analysis assumes that in general, markets will prefer materials produced from virgin sources to recycling materials if both are priced the same. This assumption means that recycled materials are more exposed to markets than primary materials. This assumption is justified by price discounts observed for recycled metals, plastics, cullet and pulp.</w:t>
      </w:r>
    </w:p>
    <w:p w14:paraId="0908C854" w14:textId="77777777" w:rsidR="00C257D1" w:rsidRDefault="00C257D1" w:rsidP="00C257D1">
      <w:pPr>
        <w:widowControl/>
        <w:spacing w:after="0"/>
      </w:pPr>
    </w:p>
    <w:p w14:paraId="30DAFB19" w14:textId="77777777" w:rsidR="00C257D1" w:rsidRPr="00041296" w:rsidRDefault="00C257D1" w:rsidP="00C257D1">
      <w:pPr>
        <w:pStyle w:val="Heading3"/>
      </w:pPr>
      <w:bookmarkStart w:id="238" w:name="_Toc433964584"/>
      <w:r>
        <w:t>Market assessment</w:t>
      </w:r>
      <w:bookmarkEnd w:id="238"/>
    </w:p>
    <w:p w14:paraId="5BDFBD0E" w14:textId="77777777" w:rsidR="00C257D1" w:rsidRDefault="00C257D1" w:rsidP="00C257D1">
      <w:pPr>
        <w:pStyle w:val="Heading4"/>
      </w:pPr>
      <w:r>
        <w:t>Packaging Glass</w:t>
      </w:r>
    </w:p>
    <w:p w14:paraId="005EEF7E" w14:textId="09960AE3" w:rsidR="00C257D1" w:rsidRPr="008D68E1" w:rsidRDefault="00C257D1" w:rsidP="00C257D1">
      <w:r>
        <w:rPr>
          <w:lang w:eastAsia="x-none"/>
        </w:rPr>
        <w:t>The packaging glass sector in Australia is dominated by Owens-Illinois (O-I), accounting for 46.0% of the glass product (flat glass and packaging glass) sector. In 2002, O-I operated container glass facilities in Adelaide, Brisbane, Melbourne in Sydney. The Melbourne and Adelaide facilities were temporarily closed in 2011 and 2012, respectively</w:t>
      </w:r>
      <w:r>
        <w:t xml:space="preserve">. </w:t>
      </w:r>
      <w:r>
        <w:rPr>
          <w:lang w:eastAsia="x-none"/>
        </w:rPr>
        <w:t xml:space="preserve">Key financial indicators for O-I in Australia are reported in </w:t>
      </w:r>
      <w:r>
        <w:fldChar w:fldCharType="begin"/>
      </w:r>
      <w:r>
        <w:rPr>
          <w:lang w:eastAsia="x-none"/>
        </w:rPr>
        <w:instrText xml:space="preserve"> REF _Ref360576672 \h </w:instrText>
      </w:r>
      <w:r>
        <w:fldChar w:fldCharType="separate"/>
      </w:r>
      <w:r w:rsidR="00564E5C">
        <w:t xml:space="preserve">Table </w:t>
      </w:r>
      <w:r w:rsidR="00564E5C">
        <w:rPr>
          <w:noProof/>
        </w:rPr>
        <w:t>48</w:t>
      </w:r>
      <w:r>
        <w:fldChar w:fldCharType="end"/>
      </w:r>
      <w:r>
        <w:rPr>
          <w:lang w:eastAsia="x-none"/>
        </w:rPr>
        <w:t>.</w:t>
      </w:r>
    </w:p>
    <w:p w14:paraId="453998DE" w14:textId="2518E3A3" w:rsidR="00C257D1" w:rsidRDefault="00C257D1" w:rsidP="00C257D1">
      <w:pPr>
        <w:pStyle w:val="Caption"/>
        <w:keepNext/>
      </w:pPr>
      <w:bookmarkStart w:id="239" w:name="_Ref360576672"/>
      <w:r>
        <w:t xml:space="preserve">Table </w:t>
      </w:r>
      <w:r w:rsidR="00FC7DE2">
        <w:fldChar w:fldCharType="begin"/>
      </w:r>
      <w:r w:rsidR="00FC7DE2">
        <w:instrText xml:space="preserve"> SEQ Table \* ARABIC </w:instrText>
      </w:r>
      <w:r w:rsidR="00FC7DE2">
        <w:fldChar w:fldCharType="separate"/>
      </w:r>
      <w:r w:rsidR="00564E5C">
        <w:rPr>
          <w:noProof/>
        </w:rPr>
        <w:t>48</w:t>
      </w:r>
      <w:r w:rsidR="00FC7DE2">
        <w:rPr>
          <w:noProof/>
        </w:rPr>
        <w:fldChar w:fldCharType="end"/>
      </w:r>
      <w:bookmarkEnd w:id="239"/>
      <w:r>
        <w:rPr>
          <w:lang w:val="en-AU"/>
        </w:rPr>
        <w:t xml:space="preserve"> </w:t>
      </w:r>
      <w:r w:rsidRPr="003C0DDC">
        <w:rPr>
          <w:lang w:val="en-AU"/>
        </w:rPr>
        <w:t>Owen-Illinois (Australia) Pty. Ltd. – financial performance</w:t>
      </w:r>
      <w:r>
        <w:rPr>
          <w:lang w:val="en-AU"/>
        </w:rPr>
        <w:t xml:space="preserve"> </w:t>
      </w:r>
      <w:r>
        <w:rPr>
          <w:lang w:val="en-AU"/>
        </w:rPr>
        <w:fldChar w:fldCharType="begin"/>
      </w:r>
      <w:r w:rsidR="00F40CE2">
        <w:rPr>
          <w:lang w:val="en-AU"/>
        </w:rPr>
        <w:instrText xml:space="preserve"> ADDIN EN.CITE &lt;EndNote&gt;&lt;Cite&gt;&lt;Author&gt;Kelly&lt;/Author&gt;&lt;Year&gt;2013&lt;/Year&gt;&lt;RecNum&gt;667&lt;/RecNum&gt;&lt;DisplayText&gt;(Kelly, 2013)&lt;/DisplayText&gt;&lt;record&gt;&lt;rec-number&gt;667&lt;/rec-number&gt;&lt;foreign-keys&gt;&lt;key app="EN" db-id="tfpv5staxsvs2nexzpp5taewzsvpx0er5fap"&gt;667&lt;/key&gt;&lt;/foreign-keys&gt;&lt;ref-type name="Report"&gt;27&lt;/ref-type&gt;&lt;contributors&gt;&lt;authors&gt;&lt;author&gt;Kelly, A.&lt;/author&gt;&lt;/authors&gt;&lt;/contributors&gt;&lt;titles&gt;&lt;title&gt;IBISWorld Industry Report C2010. Glass and Glass Product Manufacturing in Australia&lt;/title&gt;&lt;/titles&gt;&lt;dates&gt;&lt;year&gt;2013&lt;/year&gt;&lt;/dates&gt;&lt;publisher&gt;IBISWorld Pty Ltd.&lt;/publisher&gt;&lt;urls&gt;&lt;/urls&gt;&lt;/record&gt;&lt;/Cite&gt;&lt;/EndNote&gt;</w:instrText>
      </w:r>
      <w:r>
        <w:rPr>
          <w:lang w:val="en-AU"/>
        </w:rPr>
        <w:fldChar w:fldCharType="separate"/>
      </w:r>
      <w:r w:rsidR="00F40CE2">
        <w:rPr>
          <w:noProof/>
          <w:lang w:val="en-AU"/>
        </w:rPr>
        <w:t>(</w:t>
      </w:r>
      <w:hyperlink w:anchor="_ENREF_55" w:tooltip="Kelly, 2013 #667" w:history="1">
        <w:r w:rsidR="00F40CE2">
          <w:rPr>
            <w:noProof/>
            <w:lang w:val="en-AU"/>
          </w:rPr>
          <w:t>Kelly, 2013</w:t>
        </w:r>
      </w:hyperlink>
      <w:r w:rsidR="00F40CE2">
        <w:rPr>
          <w:noProof/>
          <w:lang w:val="en-AU"/>
        </w:rPr>
        <w:t>)</w:t>
      </w:r>
      <w:r>
        <w:rPr>
          <w:lang w:val="en-AU"/>
        </w:rPr>
        <w:fldChar w:fldCharType="end"/>
      </w:r>
      <w:r>
        <w:rPr>
          <w:lang w:val="en-AU"/>
        </w:rPr>
        <w:t>.</w:t>
      </w:r>
    </w:p>
    <w:tbl>
      <w:tblPr>
        <w:tblStyle w:val="TableGrid"/>
        <w:tblW w:w="0" w:type="auto"/>
        <w:tblLook w:val="04A0" w:firstRow="1" w:lastRow="0" w:firstColumn="1" w:lastColumn="0" w:noHBand="0" w:noVBand="1"/>
      </w:tblPr>
      <w:tblGrid>
        <w:gridCol w:w="1717"/>
        <w:gridCol w:w="1195"/>
        <w:gridCol w:w="1217"/>
        <w:gridCol w:w="1217"/>
        <w:gridCol w:w="1217"/>
      </w:tblGrid>
      <w:tr w:rsidR="00C257D1" w14:paraId="7531714D" w14:textId="77777777" w:rsidTr="00C257D1">
        <w:tc>
          <w:tcPr>
            <w:tcW w:w="1717" w:type="dxa"/>
            <w:shd w:val="clear" w:color="auto" w:fill="D9D9D9" w:themeFill="background1" w:themeFillShade="D9"/>
            <w:vAlign w:val="center"/>
          </w:tcPr>
          <w:p w14:paraId="55165DE8" w14:textId="77777777" w:rsidR="00C257D1" w:rsidRDefault="00C257D1" w:rsidP="00C257D1">
            <w:pPr>
              <w:spacing w:after="0"/>
              <w:jc w:val="center"/>
              <w:rPr>
                <w:lang w:eastAsia="x-none"/>
              </w:rPr>
            </w:pPr>
            <w:r>
              <w:rPr>
                <w:lang w:eastAsia="x-none"/>
              </w:rPr>
              <w:t>Year</w:t>
            </w:r>
          </w:p>
        </w:tc>
        <w:tc>
          <w:tcPr>
            <w:tcW w:w="1195" w:type="dxa"/>
            <w:shd w:val="clear" w:color="auto" w:fill="D9D9D9" w:themeFill="background1" w:themeFillShade="D9"/>
            <w:vAlign w:val="center"/>
          </w:tcPr>
          <w:p w14:paraId="561D82C5" w14:textId="77777777" w:rsidR="00C257D1" w:rsidRDefault="00C257D1" w:rsidP="00C257D1">
            <w:pPr>
              <w:spacing w:after="0"/>
              <w:jc w:val="center"/>
              <w:rPr>
                <w:lang w:eastAsia="x-none"/>
              </w:rPr>
            </w:pPr>
            <w:r>
              <w:rPr>
                <w:lang w:eastAsia="x-none"/>
              </w:rPr>
              <w:t>Revenue</w:t>
            </w:r>
          </w:p>
          <w:p w14:paraId="452EA099" w14:textId="77777777" w:rsidR="00C257D1" w:rsidRDefault="00C257D1" w:rsidP="00C257D1">
            <w:pPr>
              <w:spacing w:after="0"/>
              <w:jc w:val="center"/>
              <w:rPr>
                <w:lang w:eastAsia="x-none"/>
              </w:rPr>
            </w:pPr>
            <w:r>
              <w:rPr>
                <w:lang w:eastAsia="x-none"/>
              </w:rPr>
              <w:t>($ million)</w:t>
            </w:r>
          </w:p>
        </w:tc>
        <w:tc>
          <w:tcPr>
            <w:tcW w:w="1217" w:type="dxa"/>
            <w:shd w:val="clear" w:color="auto" w:fill="D9D9D9" w:themeFill="background1" w:themeFillShade="D9"/>
            <w:vAlign w:val="center"/>
          </w:tcPr>
          <w:p w14:paraId="28D3F00A" w14:textId="77777777" w:rsidR="00C257D1" w:rsidRDefault="00C257D1" w:rsidP="00C257D1">
            <w:pPr>
              <w:spacing w:after="0"/>
              <w:jc w:val="center"/>
              <w:rPr>
                <w:lang w:eastAsia="x-none"/>
              </w:rPr>
            </w:pPr>
            <w:r>
              <w:rPr>
                <w:lang w:eastAsia="x-none"/>
              </w:rPr>
              <w:t>% change</w:t>
            </w:r>
          </w:p>
        </w:tc>
        <w:tc>
          <w:tcPr>
            <w:tcW w:w="1217" w:type="dxa"/>
            <w:shd w:val="clear" w:color="auto" w:fill="D9D9D9" w:themeFill="background1" w:themeFillShade="D9"/>
            <w:vAlign w:val="center"/>
          </w:tcPr>
          <w:p w14:paraId="65AC7D08" w14:textId="77777777" w:rsidR="00C257D1" w:rsidRDefault="00C257D1" w:rsidP="00C257D1">
            <w:pPr>
              <w:spacing w:after="0"/>
              <w:jc w:val="center"/>
              <w:rPr>
                <w:lang w:eastAsia="x-none"/>
              </w:rPr>
            </w:pPr>
            <w:r>
              <w:rPr>
                <w:lang w:eastAsia="x-none"/>
              </w:rPr>
              <w:t>Earnings before interest and tax</w:t>
            </w:r>
          </w:p>
          <w:p w14:paraId="25458E19" w14:textId="77777777" w:rsidR="00C257D1" w:rsidRDefault="00C257D1" w:rsidP="00C257D1">
            <w:pPr>
              <w:spacing w:after="0"/>
              <w:jc w:val="center"/>
              <w:rPr>
                <w:lang w:eastAsia="x-none"/>
              </w:rPr>
            </w:pPr>
            <w:r>
              <w:rPr>
                <w:lang w:eastAsia="x-none"/>
              </w:rPr>
              <w:t>($ million)</w:t>
            </w:r>
          </w:p>
        </w:tc>
        <w:tc>
          <w:tcPr>
            <w:tcW w:w="1217" w:type="dxa"/>
            <w:shd w:val="clear" w:color="auto" w:fill="D9D9D9" w:themeFill="background1" w:themeFillShade="D9"/>
            <w:vAlign w:val="center"/>
          </w:tcPr>
          <w:p w14:paraId="78692806" w14:textId="77777777" w:rsidR="00C257D1" w:rsidRDefault="00C257D1" w:rsidP="00C257D1">
            <w:pPr>
              <w:spacing w:after="0"/>
              <w:jc w:val="center"/>
              <w:rPr>
                <w:lang w:eastAsia="x-none"/>
              </w:rPr>
            </w:pPr>
            <w:r>
              <w:rPr>
                <w:lang w:eastAsia="x-none"/>
              </w:rPr>
              <w:t>Employees</w:t>
            </w:r>
          </w:p>
        </w:tc>
      </w:tr>
      <w:tr w:rsidR="00C257D1" w14:paraId="7F0A8D35" w14:textId="77777777" w:rsidTr="00C257D1">
        <w:tc>
          <w:tcPr>
            <w:tcW w:w="1717" w:type="dxa"/>
          </w:tcPr>
          <w:p w14:paraId="04D4923C" w14:textId="77777777" w:rsidR="00C257D1" w:rsidRDefault="00C257D1" w:rsidP="00C257D1">
            <w:pPr>
              <w:spacing w:after="0"/>
              <w:jc w:val="center"/>
              <w:rPr>
                <w:lang w:eastAsia="x-none"/>
              </w:rPr>
            </w:pPr>
            <w:r>
              <w:rPr>
                <w:lang w:eastAsia="x-none"/>
              </w:rPr>
              <w:t>2008</w:t>
            </w:r>
          </w:p>
        </w:tc>
        <w:tc>
          <w:tcPr>
            <w:tcW w:w="1195" w:type="dxa"/>
          </w:tcPr>
          <w:p w14:paraId="69FAB3A1" w14:textId="77777777" w:rsidR="00C257D1" w:rsidRDefault="00C257D1" w:rsidP="00C257D1">
            <w:pPr>
              <w:spacing w:after="0"/>
              <w:jc w:val="center"/>
              <w:rPr>
                <w:lang w:eastAsia="x-none"/>
              </w:rPr>
            </w:pPr>
            <w:r>
              <w:rPr>
                <w:lang w:eastAsia="x-none"/>
              </w:rPr>
              <w:t>1,164.1</w:t>
            </w:r>
          </w:p>
        </w:tc>
        <w:tc>
          <w:tcPr>
            <w:tcW w:w="1217" w:type="dxa"/>
          </w:tcPr>
          <w:p w14:paraId="51CA0B4B" w14:textId="77777777" w:rsidR="00C257D1" w:rsidRDefault="00C257D1" w:rsidP="00C257D1">
            <w:pPr>
              <w:spacing w:after="0"/>
              <w:jc w:val="center"/>
              <w:rPr>
                <w:lang w:eastAsia="x-none"/>
              </w:rPr>
            </w:pPr>
            <w:r>
              <w:rPr>
                <w:lang w:eastAsia="x-none"/>
              </w:rPr>
              <w:t>N/C</w:t>
            </w:r>
          </w:p>
        </w:tc>
        <w:tc>
          <w:tcPr>
            <w:tcW w:w="1217" w:type="dxa"/>
          </w:tcPr>
          <w:p w14:paraId="4F2013FD" w14:textId="77777777" w:rsidR="00C257D1" w:rsidRDefault="00C257D1" w:rsidP="00C257D1">
            <w:pPr>
              <w:spacing w:after="0"/>
              <w:jc w:val="center"/>
              <w:rPr>
                <w:lang w:eastAsia="x-none"/>
              </w:rPr>
            </w:pPr>
            <w:r>
              <w:rPr>
                <w:lang w:eastAsia="x-none"/>
              </w:rPr>
              <w:t>207.2</w:t>
            </w:r>
          </w:p>
        </w:tc>
        <w:tc>
          <w:tcPr>
            <w:tcW w:w="1217" w:type="dxa"/>
          </w:tcPr>
          <w:p w14:paraId="1CAB9F4A" w14:textId="77777777" w:rsidR="00C257D1" w:rsidRDefault="00C257D1" w:rsidP="00C257D1">
            <w:pPr>
              <w:spacing w:after="0"/>
              <w:jc w:val="center"/>
              <w:rPr>
                <w:lang w:eastAsia="x-none"/>
              </w:rPr>
            </w:pPr>
            <w:r>
              <w:rPr>
                <w:lang w:eastAsia="x-none"/>
              </w:rPr>
              <w:t>3,663</w:t>
            </w:r>
          </w:p>
        </w:tc>
      </w:tr>
      <w:tr w:rsidR="00C257D1" w14:paraId="715815EC" w14:textId="77777777" w:rsidTr="00C257D1">
        <w:tc>
          <w:tcPr>
            <w:tcW w:w="1717" w:type="dxa"/>
          </w:tcPr>
          <w:p w14:paraId="52D8145A" w14:textId="77777777" w:rsidR="00C257D1" w:rsidRDefault="00C257D1" w:rsidP="00C257D1">
            <w:pPr>
              <w:spacing w:after="0"/>
              <w:jc w:val="center"/>
              <w:rPr>
                <w:lang w:eastAsia="x-none"/>
              </w:rPr>
            </w:pPr>
            <w:r>
              <w:rPr>
                <w:lang w:eastAsia="x-none"/>
              </w:rPr>
              <w:t>2009</w:t>
            </w:r>
          </w:p>
        </w:tc>
        <w:tc>
          <w:tcPr>
            <w:tcW w:w="1195" w:type="dxa"/>
          </w:tcPr>
          <w:p w14:paraId="4691A254" w14:textId="77777777" w:rsidR="00C257D1" w:rsidRDefault="00C257D1" w:rsidP="00C257D1">
            <w:pPr>
              <w:spacing w:after="0"/>
              <w:jc w:val="center"/>
              <w:rPr>
                <w:lang w:eastAsia="x-none"/>
              </w:rPr>
            </w:pPr>
            <w:r>
              <w:rPr>
                <w:lang w:eastAsia="x-none"/>
              </w:rPr>
              <w:t>1,159.4</w:t>
            </w:r>
          </w:p>
        </w:tc>
        <w:tc>
          <w:tcPr>
            <w:tcW w:w="1217" w:type="dxa"/>
          </w:tcPr>
          <w:p w14:paraId="5C0D3DFD" w14:textId="77777777" w:rsidR="00C257D1" w:rsidRDefault="00C257D1" w:rsidP="00C257D1">
            <w:pPr>
              <w:spacing w:after="0"/>
              <w:jc w:val="center"/>
              <w:rPr>
                <w:lang w:eastAsia="x-none"/>
              </w:rPr>
            </w:pPr>
            <w:r>
              <w:rPr>
                <w:lang w:eastAsia="x-none"/>
              </w:rPr>
              <w:t>-0.6</w:t>
            </w:r>
          </w:p>
        </w:tc>
        <w:tc>
          <w:tcPr>
            <w:tcW w:w="1217" w:type="dxa"/>
          </w:tcPr>
          <w:p w14:paraId="03100C13" w14:textId="77777777" w:rsidR="00C257D1" w:rsidRDefault="00C257D1" w:rsidP="00C257D1">
            <w:pPr>
              <w:spacing w:after="0"/>
              <w:jc w:val="center"/>
              <w:rPr>
                <w:lang w:eastAsia="x-none"/>
              </w:rPr>
            </w:pPr>
            <w:r>
              <w:rPr>
                <w:lang w:eastAsia="x-none"/>
              </w:rPr>
              <w:t>188.6</w:t>
            </w:r>
          </w:p>
        </w:tc>
        <w:tc>
          <w:tcPr>
            <w:tcW w:w="1217" w:type="dxa"/>
          </w:tcPr>
          <w:p w14:paraId="19ABDD5E" w14:textId="77777777" w:rsidR="00C257D1" w:rsidRDefault="00C257D1" w:rsidP="00C257D1">
            <w:pPr>
              <w:spacing w:after="0"/>
              <w:jc w:val="center"/>
              <w:rPr>
                <w:lang w:eastAsia="x-none"/>
              </w:rPr>
            </w:pPr>
            <w:r>
              <w:rPr>
                <w:lang w:eastAsia="x-none"/>
              </w:rPr>
              <w:t>3,690</w:t>
            </w:r>
          </w:p>
        </w:tc>
      </w:tr>
      <w:tr w:rsidR="00C257D1" w14:paraId="7A82F44F" w14:textId="77777777" w:rsidTr="00C257D1">
        <w:tc>
          <w:tcPr>
            <w:tcW w:w="1717" w:type="dxa"/>
          </w:tcPr>
          <w:p w14:paraId="5B4DE71C" w14:textId="77777777" w:rsidR="00C257D1" w:rsidRDefault="00C257D1" w:rsidP="00C257D1">
            <w:pPr>
              <w:spacing w:after="0"/>
              <w:jc w:val="center"/>
              <w:rPr>
                <w:lang w:eastAsia="x-none"/>
              </w:rPr>
            </w:pPr>
            <w:r>
              <w:rPr>
                <w:lang w:eastAsia="x-none"/>
              </w:rPr>
              <w:t>2010</w:t>
            </w:r>
          </w:p>
        </w:tc>
        <w:tc>
          <w:tcPr>
            <w:tcW w:w="1195" w:type="dxa"/>
          </w:tcPr>
          <w:p w14:paraId="56A7F80F" w14:textId="77777777" w:rsidR="00C257D1" w:rsidRDefault="00C257D1" w:rsidP="00C257D1">
            <w:pPr>
              <w:spacing w:after="0"/>
              <w:jc w:val="center"/>
              <w:rPr>
                <w:lang w:eastAsia="x-none"/>
              </w:rPr>
            </w:pPr>
            <w:r>
              <w:rPr>
                <w:lang w:eastAsia="x-none"/>
              </w:rPr>
              <w:t>947.2</w:t>
            </w:r>
          </w:p>
        </w:tc>
        <w:tc>
          <w:tcPr>
            <w:tcW w:w="1217" w:type="dxa"/>
          </w:tcPr>
          <w:p w14:paraId="04E43DF4" w14:textId="77777777" w:rsidR="00C257D1" w:rsidRDefault="00C257D1" w:rsidP="00C257D1">
            <w:pPr>
              <w:spacing w:after="0"/>
              <w:jc w:val="center"/>
              <w:rPr>
                <w:lang w:eastAsia="x-none"/>
              </w:rPr>
            </w:pPr>
            <w:r>
              <w:rPr>
                <w:lang w:eastAsia="x-none"/>
              </w:rPr>
              <w:t>-18.3</w:t>
            </w:r>
          </w:p>
        </w:tc>
        <w:tc>
          <w:tcPr>
            <w:tcW w:w="1217" w:type="dxa"/>
          </w:tcPr>
          <w:p w14:paraId="43297FB3" w14:textId="77777777" w:rsidR="00C257D1" w:rsidRDefault="00C257D1" w:rsidP="00C257D1">
            <w:pPr>
              <w:spacing w:after="0"/>
              <w:jc w:val="center"/>
              <w:rPr>
                <w:lang w:eastAsia="x-none"/>
              </w:rPr>
            </w:pPr>
            <w:r>
              <w:rPr>
                <w:lang w:eastAsia="x-none"/>
              </w:rPr>
              <w:t>129.3</w:t>
            </w:r>
          </w:p>
        </w:tc>
        <w:tc>
          <w:tcPr>
            <w:tcW w:w="1217" w:type="dxa"/>
          </w:tcPr>
          <w:p w14:paraId="2A14C980" w14:textId="77777777" w:rsidR="00C257D1" w:rsidRDefault="00C257D1" w:rsidP="00C257D1">
            <w:pPr>
              <w:spacing w:after="0"/>
              <w:jc w:val="center"/>
              <w:rPr>
                <w:lang w:eastAsia="x-none"/>
              </w:rPr>
            </w:pPr>
            <w:r>
              <w:rPr>
                <w:lang w:eastAsia="x-none"/>
              </w:rPr>
              <w:t>5,800</w:t>
            </w:r>
          </w:p>
        </w:tc>
      </w:tr>
      <w:tr w:rsidR="00C257D1" w14:paraId="4A965227" w14:textId="77777777" w:rsidTr="00C257D1">
        <w:tc>
          <w:tcPr>
            <w:tcW w:w="1717" w:type="dxa"/>
          </w:tcPr>
          <w:p w14:paraId="0CE37F7A" w14:textId="77777777" w:rsidR="00C257D1" w:rsidRDefault="00C257D1" w:rsidP="00C257D1">
            <w:pPr>
              <w:spacing w:after="0"/>
              <w:jc w:val="center"/>
              <w:rPr>
                <w:lang w:eastAsia="x-none"/>
              </w:rPr>
            </w:pPr>
            <w:r>
              <w:rPr>
                <w:lang w:eastAsia="x-none"/>
              </w:rPr>
              <w:t>2011</w:t>
            </w:r>
          </w:p>
        </w:tc>
        <w:tc>
          <w:tcPr>
            <w:tcW w:w="1195" w:type="dxa"/>
          </w:tcPr>
          <w:p w14:paraId="0E9E19B4" w14:textId="77777777" w:rsidR="00C257D1" w:rsidRDefault="00C257D1" w:rsidP="00C257D1">
            <w:pPr>
              <w:spacing w:after="0"/>
              <w:jc w:val="center"/>
              <w:rPr>
                <w:lang w:eastAsia="x-none"/>
              </w:rPr>
            </w:pPr>
            <w:r>
              <w:rPr>
                <w:lang w:eastAsia="x-none"/>
              </w:rPr>
              <w:t>869.6</w:t>
            </w:r>
          </w:p>
        </w:tc>
        <w:tc>
          <w:tcPr>
            <w:tcW w:w="1217" w:type="dxa"/>
          </w:tcPr>
          <w:p w14:paraId="624CD293" w14:textId="77777777" w:rsidR="00C257D1" w:rsidRDefault="00C257D1" w:rsidP="00C257D1">
            <w:pPr>
              <w:spacing w:after="0"/>
              <w:jc w:val="center"/>
              <w:rPr>
                <w:lang w:eastAsia="x-none"/>
              </w:rPr>
            </w:pPr>
            <w:r>
              <w:rPr>
                <w:lang w:eastAsia="x-none"/>
              </w:rPr>
              <w:t>-8.2</w:t>
            </w:r>
          </w:p>
        </w:tc>
        <w:tc>
          <w:tcPr>
            <w:tcW w:w="1217" w:type="dxa"/>
          </w:tcPr>
          <w:p w14:paraId="3837367B" w14:textId="77777777" w:rsidR="00C257D1" w:rsidRDefault="00C257D1" w:rsidP="00C257D1">
            <w:pPr>
              <w:spacing w:after="0"/>
              <w:jc w:val="center"/>
              <w:rPr>
                <w:lang w:eastAsia="x-none"/>
              </w:rPr>
            </w:pPr>
            <w:r>
              <w:rPr>
                <w:lang w:eastAsia="x-none"/>
              </w:rPr>
              <w:t>-827.7</w:t>
            </w:r>
          </w:p>
        </w:tc>
        <w:tc>
          <w:tcPr>
            <w:tcW w:w="1217" w:type="dxa"/>
          </w:tcPr>
          <w:p w14:paraId="3931E7CC" w14:textId="77777777" w:rsidR="00C257D1" w:rsidRDefault="00C257D1" w:rsidP="00C257D1">
            <w:pPr>
              <w:spacing w:after="0"/>
              <w:jc w:val="center"/>
              <w:rPr>
                <w:lang w:eastAsia="x-none"/>
              </w:rPr>
            </w:pPr>
            <w:r>
              <w:rPr>
                <w:lang w:eastAsia="x-none"/>
              </w:rPr>
              <w:t>N/C</w:t>
            </w:r>
          </w:p>
        </w:tc>
      </w:tr>
      <w:tr w:rsidR="00C257D1" w14:paraId="2638CC0A" w14:textId="77777777" w:rsidTr="00C257D1">
        <w:tc>
          <w:tcPr>
            <w:tcW w:w="1717" w:type="dxa"/>
          </w:tcPr>
          <w:p w14:paraId="03DA823B" w14:textId="77777777" w:rsidR="00C257D1" w:rsidRDefault="00C257D1" w:rsidP="00C257D1">
            <w:pPr>
              <w:spacing w:after="0"/>
              <w:jc w:val="center"/>
              <w:rPr>
                <w:lang w:eastAsia="x-none"/>
              </w:rPr>
            </w:pPr>
            <w:r>
              <w:rPr>
                <w:lang w:eastAsia="x-none"/>
              </w:rPr>
              <w:t>2012 (estimate)</w:t>
            </w:r>
          </w:p>
        </w:tc>
        <w:tc>
          <w:tcPr>
            <w:tcW w:w="1195" w:type="dxa"/>
          </w:tcPr>
          <w:p w14:paraId="70C2BFA9" w14:textId="77777777" w:rsidR="00C257D1" w:rsidRDefault="00C257D1" w:rsidP="00C257D1">
            <w:pPr>
              <w:spacing w:after="0"/>
              <w:jc w:val="center"/>
              <w:rPr>
                <w:lang w:eastAsia="x-none"/>
              </w:rPr>
            </w:pPr>
            <w:r>
              <w:rPr>
                <w:lang w:eastAsia="x-none"/>
              </w:rPr>
              <w:t>850.0</w:t>
            </w:r>
          </w:p>
        </w:tc>
        <w:tc>
          <w:tcPr>
            <w:tcW w:w="1217" w:type="dxa"/>
          </w:tcPr>
          <w:p w14:paraId="7A3FB95E" w14:textId="77777777" w:rsidR="00C257D1" w:rsidRDefault="00C257D1" w:rsidP="00C257D1">
            <w:pPr>
              <w:spacing w:after="0"/>
              <w:jc w:val="center"/>
              <w:rPr>
                <w:lang w:eastAsia="x-none"/>
              </w:rPr>
            </w:pPr>
            <w:r>
              <w:rPr>
                <w:lang w:eastAsia="x-none"/>
              </w:rPr>
              <w:t>-2.3</w:t>
            </w:r>
          </w:p>
        </w:tc>
        <w:tc>
          <w:tcPr>
            <w:tcW w:w="1217" w:type="dxa"/>
          </w:tcPr>
          <w:p w14:paraId="79B73877" w14:textId="77777777" w:rsidR="00C257D1" w:rsidRDefault="00C257D1" w:rsidP="00C257D1">
            <w:pPr>
              <w:spacing w:after="0"/>
              <w:jc w:val="center"/>
              <w:rPr>
                <w:lang w:eastAsia="x-none"/>
              </w:rPr>
            </w:pPr>
            <w:r>
              <w:rPr>
                <w:lang w:eastAsia="x-none"/>
              </w:rPr>
              <w:t>N/C</w:t>
            </w:r>
          </w:p>
        </w:tc>
        <w:tc>
          <w:tcPr>
            <w:tcW w:w="1217" w:type="dxa"/>
          </w:tcPr>
          <w:p w14:paraId="04FE2E09" w14:textId="77777777" w:rsidR="00C257D1" w:rsidRDefault="00C257D1" w:rsidP="00C257D1">
            <w:pPr>
              <w:spacing w:after="0"/>
              <w:jc w:val="center"/>
              <w:rPr>
                <w:lang w:eastAsia="x-none"/>
              </w:rPr>
            </w:pPr>
            <w:r>
              <w:rPr>
                <w:lang w:eastAsia="x-none"/>
              </w:rPr>
              <w:t>N/C</w:t>
            </w:r>
          </w:p>
        </w:tc>
      </w:tr>
      <w:tr w:rsidR="00C257D1" w14:paraId="082DA042" w14:textId="77777777" w:rsidTr="00C257D1">
        <w:tc>
          <w:tcPr>
            <w:tcW w:w="1717" w:type="dxa"/>
          </w:tcPr>
          <w:p w14:paraId="6BF85B05" w14:textId="77777777" w:rsidR="00C257D1" w:rsidRDefault="00C257D1" w:rsidP="00C257D1">
            <w:pPr>
              <w:spacing w:after="0"/>
              <w:jc w:val="center"/>
              <w:rPr>
                <w:lang w:eastAsia="x-none"/>
              </w:rPr>
            </w:pPr>
            <w:r>
              <w:rPr>
                <w:lang w:eastAsia="x-none"/>
              </w:rPr>
              <w:t>2013 (estimate)</w:t>
            </w:r>
          </w:p>
        </w:tc>
        <w:tc>
          <w:tcPr>
            <w:tcW w:w="1195" w:type="dxa"/>
          </w:tcPr>
          <w:p w14:paraId="31C8C248" w14:textId="77777777" w:rsidR="00C257D1" w:rsidRDefault="00C257D1" w:rsidP="00C257D1">
            <w:pPr>
              <w:spacing w:after="0"/>
              <w:jc w:val="center"/>
              <w:rPr>
                <w:lang w:eastAsia="x-none"/>
              </w:rPr>
            </w:pPr>
            <w:r>
              <w:rPr>
                <w:lang w:eastAsia="x-none"/>
              </w:rPr>
              <w:t>830.0</w:t>
            </w:r>
          </w:p>
        </w:tc>
        <w:tc>
          <w:tcPr>
            <w:tcW w:w="1217" w:type="dxa"/>
          </w:tcPr>
          <w:p w14:paraId="7DD21A8C" w14:textId="77777777" w:rsidR="00C257D1" w:rsidRDefault="00C257D1" w:rsidP="00C257D1">
            <w:pPr>
              <w:spacing w:after="0"/>
              <w:jc w:val="center"/>
              <w:rPr>
                <w:lang w:eastAsia="x-none"/>
              </w:rPr>
            </w:pPr>
            <w:r>
              <w:rPr>
                <w:lang w:eastAsia="x-none"/>
              </w:rPr>
              <w:t>-2.4</w:t>
            </w:r>
          </w:p>
        </w:tc>
        <w:tc>
          <w:tcPr>
            <w:tcW w:w="1217" w:type="dxa"/>
          </w:tcPr>
          <w:p w14:paraId="00515743" w14:textId="77777777" w:rsidR="00C257D1" w:rsidRDefault="00C257D1" w:rsidP="00C257D1">
            <w:pPr>
              <w:spacing w:after="0"/>
              <w:jc w:val="center"/>
              <w:rPr>
                <w:lang w:eastAsia="x-none"/>
              </w:rPr>
            </w:pPr>
            <w:r>
              <w:rPr>
                <w:lang w:eastAsia="x-none"/>
              </w:rPr>
              <w:t>N/C</w:t>
            </w:r>
          </w:p>
        </w:tc>
        <w:tc>
          <w:tcPr>
            <w:tcW w:w="1217" w:type="dxa"/>
          </w:tcPr>
          <w:p w14:paraId="4B8D561E" w14:textId="77777777" w:rsidR="00C257D1" w:rsidRDefault="00C257D1" w:rsidP="00C257D1">
            <w:pPr>
              <w:spacing w:after="0"/>
              <w:jc w:val="center"/>
              <w:rPr>
                <w:lang w:eastAsia="x-none"/>
              </w:rPr>
            </w:pPr>
            <w:r>
              <w:rPr>
                <w:lang w:eastAsia="x-none"/>
              </w:rPr>
              <w:t>N/C</w:t>
            </w:r>
          </w:p>
        </w:tc>
      </w:tr>
    </w:tbl>
    <w:p w14:paraId="5969C04B" w14:textId="77777777" w:rsidR="00C257D1" w:rsidRDefault="00C257D1" w:rsidP="00C257D1">
      <w:pPr>
        <w:rPr>
          <w:lang w:eastAsia="x-none"/>
        </w:rPr>
      </w:pPr>
    </w:p>
    <w:p w14:paraId="4902DF8D" w14:textId="77777777" w:rsidR="00C257D1" w:rsidRDefault="00C257D1" w:rsidP="00C257D1">
      <w:pPr>
        <w:rPr>
          <w:lang w:eastAsia="x-none"/>
        </w:rPr>
      </w:pPr>
      <w:r>
        <w:rPr>
          <w:lang w:eastAsia="x-none"/>
        </w:rPr>
        <w:t>Reductions in revenue have been attributed to reduction in demand for bottles stemming from increased demand for bulk wine shipments for bottling elsewhere.</w:t>
      </w:r>
    </w:p>
    <w:p w14:paraId="0E470A0E" w14:textId="622B5B66" w:rsidR="00C257D1" w:rsidRDefault="00C257D1" w:rsidP="00C257D1">
      <w:r>
        <w:rPr>
          <w:lang w:eastAsia="x-none"/>
        </w:rPr>
        <w:t xml:space="preserve">Amcor Ltd. is a </w:t>
      </w:r>
      <w:r w:rsidR="00B134C0">
        <w:rPr>
          <w:lang w:eastAsia="x-none"/>
        </w:rPr>
        <w:t>significant</w:t>
      </w:r>
      <w:r>
        <w:rPr>
          <w:lang w:eastAsia="x-none"/>
        </w:rPr>
        <w:t xml:space="preserve"> company in the packaging glass sector, representing approximately 6% of the glass product (flat glass and packaging sector). They operate one plant in Gawler, South Australia, with multiple furnaces. Similar to O-I, Amcor have reported a reduction in demand for wine bottles for the export market. Reductions in demand in this market have been compensated by improved demand from the beer packaging market. Glass sector performance indicators for Amcor are reported in </w:t>
      </w:r>
      <w:r w:rsidR="0036663C">
        <w:fldChar w:fldCharType="begin"/>
      </w:r>
      <w:r w:rsidR="0036663C">
        <w:rPr>
          <w:lang w:eastAsia="x-none"/>
        </w:rPr>
        <w:instrText xml:space="preserve"> REF _Ref360576896 \h </w:instrText>
      </w:r>
      <w:r w:rsidR="0036663C">
        <w:fldChar w:fldCharType="separate"/>
      </w:r>
      <w:r w:rsidR="00564E5C">
        <w:t xml:space="preserve">Table </w:t>
      </w:r>
      <w:r w:rsidR="00564E5C">
        <w:rPr>
          <w:noProof/>
        </w:rPr>
        <w:t>49</w:t>
      </w:r>
      <w:r w:rsidR="0036663C">
        <w:fldChar w:fldCharType="end"/>
      </w:r>
      <w:r>
        <w:t>.</w:t>
      </w:r>
    </w:p>
    <w:p w14:paraId="08000B11" w14:textId="2F985910" w:rsidR="00C257D1" w:rsidRDefault="00C257D1" w:rsidP="00C257D1">
      <w:pPr>
        <w:pStyle w:val="Caption"/>
        <w:keepNext/>
      </w:pPr>
      <w:bookmarkStart w:id="240" w:name="_Ref360576896"/>
      <w:r>
        <w:lastRenderedPageBreak/>
        <w:t xml:space="preserve">Table </w:t>
      </w:r>
      <w:r w:rsidR="00FC7DE2">
        <w:fldChar w:fldCharType="begin"/>
      </w:r>
      <w:r w:rsidR="00FC7DE2">
        <w:instrText xml:space="preserve"> SEQ Table \* ARABIC </w:instrText>
      </w:r>
      <w:r w:rsidR="00FC7DE2">
        <w:fldChar w:fldCharType="separate"/>
      </w:r>
      <w:r w:rsidR="00564E5C">
        <w:rPr>
          <w:noProof/>
        </w:rPr>
        <w:t>49</w:t>
      </w:r>
      <w:r w:rsidR="00FC7DE2">
        <w:rPr>
          <w:noProof/>
        </w:rPr>
        <w:fldChar w:fldCharType="end"/>
      </w:r>
      <w:bookmarkEnd w:id="240"/>
      <w:r>
        <w:rPr>
          <w:lang w:val="en-AU"/>
        </w:rPr>
        <w:t xml:space="preserve"> </w:t>
      </w:r>
      <w:r w:rsidRPr="00BB0020">
        <w:rPr>
          <w:lang w:val="en-AU"/>
        </w:rPr>
        <w:t>Amcor Ltd. – sector performance</w:t>
      </w:r>
      <w:r w:rsidR="0036663C">
        <w:rPr>
          <w:lang w:val="en-AU"/>
        </w:rPr>
        <w:t xml:space="preserve"> </w:t>
      </w:r>
      <w:r w:rsidR="00577344">
        <w:rPr>
          <w:lang w:val="en-AU"/>
        </w:rPr>
        <w:fldChar w:fldCharType="begin"/>
      </w:r>
      <w:r w:rsidR="00F40CE2">
        <w:rPr>
          <w:lang w:val="en-AU"/>
        </w:rPr>
        <w:instrText xml:space="preserve"> ADDIN EN.CITE &lt;EndNote&gt;&lt;Cite&gt;&lt;Author&gt;Kelly&lt;/Author&gt;&lt;Year&gt;2013&lt;/Year&gt;&lt;RecNum&gt;667&lt;/RecNum&gt;&lt;DisplayText&gt;(Kelly, 2013)&lt;/DisplayText&gt;&lt;record&gt;&lt;rec-number&gt;667&lt;/rec-number&gt;&lt;foreign-keys&gt;&lt;key app="EN" db-id="tfpv5staxsvs2nexzpp5taewzsvpx0er5fap"&gt;667&lt;/key&gt;&lt;/foreign-keys&gt;&lt;ref-type name="Report"&gt;27&lt;/ref-type&gt;&lt;contributors&gt;&lt;authors&gt;&lt;author&gt;Kelly, A.&lt;/author&gt;&lt;/authors&gt;&lt;/contributors&gt;&lt;titles&gt;&lt;title&gt;IBISWorld Industry Report C2010. Glass and Glass Product Manufacturing in Australia&lt;/title&gt;&lt;/titles&gt;&lt;dates&gt;&lt;year&gt;2013&lt;/year&gt;&lt;/dates&gt;&lt;publisher&gt;IBISWorld Pty Ltd.&lt;/publisher&gt;&lt;urls&gt;&lt;/urls&gt;&lt;/record&gt;&lt;/Cite&gt;&lt;/EndNote&gt;</w:instrText>
      </w:r>
      <w:r w:rsidR="00577344">
        <w:rPr>
          <w:lang w:val="en-AU"/>
        </w:rPr>
        <w:fldChar w:fldCharType="separate"/>
      </w:r>
      <w:r w:rsidR="00F40CE2">
        <w:rPr>
          <w:noProof/>
          <w:lang w:val="en-AU"/>
        </w:rPr>
        <w:t>(</w:t>
      </w:r>
      <w:hyperlink w:anchor="_ENREF_55" w:tooltip="Kelly, 2013 #667" w:history="1">
        <w:r w:rsidR="00F40CE2">
          <w:rPr>
            <w:noProof/>
            <w:lang w:val="en-AU"/>
          </w:rPr>
          <w:t>Kelly, 2013</w:t>
        </w:r>
      </w:hyperlink>
      <w:r w:rsidR="00F40CE2">
        <w:rPr>
          <w:noProof/>
          <w:lang w:val="en-AU"/>
        </w:rPr>
        <w:t>)</w:t>
      </w:r>
      <w:r w:rsidR="00577344">
        <w:rPr>
          <w:lang w:val="en-AU"/>
        </w:rPr>
        <w:fldChar w:fldCharType="end"/>
      </w:r>
      <w:r w:rsidR="0036663C">
        <w:rPr>
          <w:lang w:val="en-AU"/>
        </w:rPr>
        <w:t>.</w:t>
      </w:r>
    </w:p>
    <w:tbl>
      <w:tblPr>
        <w:tblStyle w:val="TableGrid"/>
        <w:tblW w:w="0" w:type="auto"/>
        <w:tblLook w:val="04A0" w:firstRow="1" w:lastRow="0" w:firstColumn="1" w:lastColumn="0" w:noHBand="0" w:noVBand="1"/>
      </w:tblPr>
      <w:tblGrid>
        <w:gridCol w:w="1717"/>
        <w:gridCol w:w="1195"/>
        <w:gridCol w:w="1217"/>
      </w:tblGrid>
      <w:tr w:rsidR="00C257D1" w14:paraId="6A76F085" w14:textId="77777777" w:rsidTr="00C257D1">
        <w:tc>
          <w:tcPr>
            <w:tcW w:w="1717" w:type="dxa"/>
            <w:shd w:val="clear" w:color="auto" w:fill="D9D9D9" w:themeFill="background1" w:themeFillShade="D9"/>
            <w:vAlign w:val="center"/>
          </w:tcPr>
          <w:p w14:paraId="3F1605F1" w14:textId="77777777" w:rsidR="00C257D1" w:rsidRDefault="00C257D1" w:rsidP="00C257D1">
            <w:pPr>
              <w:spacing w:after="0"/>
              <w:jc w:val="center"/>
              <w:rPr>
                <w:lang w:eastAsia="x-none"/>
              </w:rPr>
            </w:pPr>
            <w:r>
              <w:rPr>
                <w:lang w:eastAsia="x-none"/>
              </w:rPr>
              <w:t>Year</w:t>
            </w:r>
          </w:p>
        </w:tc>
        <w:tc>
          <w:tcPr>
            <w:tcW w:w="1195" w:type="dxa"/>
            <w:shd w:val="clear" w:color="auto" w:fill="D9D9D9" w:themeFill="background1" w:themeFillShade="D9"/>
            <w:vAlign w:val="center"/>
          </w:tcPr>
          <w:p w14:paraId="4AEED25B" w14:textId="77777777" w:rsidR="00C257D1" w:rsidRDefault="00C257D1" w:rsidP="00C257D1">
            <w:pPr>
              <w:spacing w:after="0"/>
              <w:jc w:val="center"/>
              <w:rPr>
                <w:lang w:eastAsia="x-none"/>
              </w:rPr>
            </w:pPr>
            <w:r>
              <w:rPr>
                <w:lang w:eastAsia="x-none"/>
              </w:rPr>
              <w:t>Revenue</w:t>
            </w:r>
          </w:p>
          <w:p w14:paraId="4708C4CD" w14:textId="77777777" w:rsidR="00C257D1" w:rsidRDefault="00C257D1" w:rsidP="00C257D1">
            <w:pPr>
              <w:spacing w:after="0"/>
              <w:jc w:val="center"/>
              <w:rPr>
                <w:lang w:eastAsia="x-none"/>
              </w:rPr>
            </w:pPr>
            <w:r>
              <w:rPr>
                <w:lang w:eastAsia="x-none"/>
              </w:rPr>
              <w:t>($ million)</w:t>
            </w:r>
          </w:p>
        </w:tc>
        <w:tc>
          <w:tcPr>
            <w:tcW w:w="1217" w:type="dxa"/>
            <w:shd w:val="clear" w:color="auto" w:fill="D9D9D9" w:themeFill="background1" w:themeFillShade="D9"/>
            <w:vAlign w:val="center"/>
          </w:tcPr>
          <w:p w14:paraId="3672BAD9" w14:textId="77777777" w:rsidR="00C257D1" w:rsidRDefault="00C257D1" w:rsidP="00C257D1">
            <w:pPr>
              <w:spacing w:after="0"/>
              <w:jc w:val="center"/>
              <w:rPr>
                <w:lang w:eastAsia="x-none"/>
              </w:rPr>
            </w:pPr>
            <w:r>
              <w:rPr>
                <w:lang w:eastAsia="x-none"/>
              </w:rPr>
              <w:t>% change</w:t>
            </w:r>
          </w:p>
        </w:tc>
      </w:tr>
      <w:tr w:rsidR="00C257D1" w14:paraId="64853040" w14:textId="77777777" w:rsidTr="00C257D1">
        <w:tc>
          <w:tcPr>
            <w:tcW w:w="1717" w:type="dxa"/>
          </w:tcPr>
          <w:p w14:paraId="6FF6086A" w14:textId="77777777" w:rsidR="00C257D1" w:rsidRDefault="00C257D1" w:rsidP="00C257D1">
            <w:pPr>
              <w:spacing w:after="0"/>
              <w:jc w:val="center"/>
              <w:rPr>
                <w:lang w:eastAsia="x-none"/>
              </w:rPr>
            </w:pPr>
            <w:r>
              <w:rPr>
                <w:lang w:eastAsia="x-none"/>
              </w:rPr>
              <w:t>2007-08</w:t>
            </w:r>
          </w:p>
        </w:tc>
        <w:tc>
          <w:tcPr>
            <w:tcW w:w="1195" w:type="dxa"/>
          </w:tcPr>
          <w:p w14:paraId="4CADAC24" w14:textId="77777777" w:rsidR="00C257D1" w:rsidRDefault="00C257D1" w:rsidP="00C257D1">
            <w:pPr>
              <w:spacing w:after="0"/>
              <w:jc w:val="center"/>
              <w:rPr>
                <w:lang w:eastAsia="x-none"/>
              </w:rPr>
            </w:pPr>
            <w:r>
              <w:rPr>
                <w:lang w:eastAsia="x-none"/>
              </w:rPr>
              <w:t>134</w:t>
            </w:r>
          </w:p>
        </w:tc>
        <w:tc>
          <w:tcPr>
            <w:tcW w:w="1217" w:type="dxa"/>
          </w:tcPr>
          <w:p w14:paraId="3DB1AEA1" w14:textId="77777777" w:rsidR="00C257D1" w:rsidRDefault="00C257D1" w:rsidP="00C257D1">
            <w:pPr>
              <w:spacing w:after="0"/>
              <w:jc w:val="center"/>
              <w:rPr>
                <w:lang w:eastAsia="x-none"/>
              </w:rPr>
            </w:pPr>
            <w:r>
              <w:rPr>
                <w:lang w:eastAsia="x-none"/>
              </w:rPr>
              <w:t>N/C</w:t>
            </w:r>
          </w:p>
        </w:tc>
      </w:tr>
      <w:tr w:rsidR="00C257D1" w14:paraId="5561B7E8" w14:textId="77777777" w:rsidTr="00C257D1">
        <w:tc>
          <w:tcPr>
            <w:tcW w:w="1717" w:type="dxa"/>
          </w:tcPr>
          <w:p w14:paraId="6498F851" w14:textId="77777777" w:rsidR="00C257D1" w:rsidRDefault="00C257D1" w:rsidP="00C257D1">
            <w:pPr>
              <w:spacing w:after="0"/>
              <w:jc w:val="center"/>
              <w:rPr>
                <w:lang w:eastAsia="x-none"/>
              </w:rPr>
            </w:pPr>
            <w:r>
              <w:rPr>
                <w:lang w:eastAsia="x-none"/>
              </w:rPr>
              <w:t>2008-09</w:t>
            </w:r>
          </w:p>
        </w:tc>
        <w:tc>
          <w:tcPr>
            <w:tcW w:w="1195" w:type="dxa"/>
          </w:tcPr>
          <w:p w14:paraId="5B7B18EF" w14:textId="77777777" w:rsidR="00C257D1" w:rsidRDefault="00C257D1" w:rsidP="00C257D1">
            <w:pPr>
              <w:spacing w:after="0"/>
              <w:jc w:val="center"/>
              <w:rPr>
                <w:lang w:eastAsia="x-none"/>
              </w:rPr>
            </w:pPr>
            <w:r>
              <w:rPr>
                <w:lang w:eastAsia="x-none"/>
              </w:rPr>
              <w:t>135</w:t>
            </w:r>
          </w:p>
        </w:tc>
        <w:tc>
          <w:tcPr>
            <w:tcW w:w="1217" w:type="dxa"/>
          </w:tcPr>
          <w:p w14:paraId="1C787D0A" w14:textId="77777777" w:rsidR="00C257D1" w:rsidRDefault="00C257D1" w:rsidP="00C257D1">
            <w:pPr>
              <w:spacing w:after="0"/>
              <w:jc w:val="center"/>
              <w:rPr>
                <w:lang w:eastAsia="x-none"/>
              </w:rPr>
            </w:pPr>
            <w:r>
              <w:rPr>
                <w:lang w:eastAsia="x-none"/>
              </w:rPr>
              <w:t>0.7</w:t>
            </w:r>
          </w:p>
        </w:tc>
      </w:tr>
      <w:tr w:rsidR="00C257D1" w14:paraId="676C2374" w14:textId="77777777" w:rsidTr="00C257D1">
        <w:tc>
          <w:tcPr>
            <w:tcW w:w="1717" w:type="dxa"/>
          </w:tcPr>
          <w:p w14:paraId="20D91FDE" w14:textId="77777777" w:rsidR="00C257D1" w:rsidRDefault="00C257D1" w:rsidP="00C257D1">
            <w:pPr>
              <w:spacing w:after="0"/>
              <w:jc w:val="center"/>
              <w:rPr>
                <w:lang w:eastAsia="x-none"/>
              </w:rPr>
            </w:pPr>
            <w:r>
              <w:rPr>
                <w:lang w:eastAsia="x-none"/>
              </w:rPr>
              <w:t>2009-10</w:t>
            </w:r>
          </w:p>
        </w:tc>
        <w:tc>
          <w:tcPr>
            <w:tcW w:w="1195" w:type="dxa"/>
          </w:tcPr>
          <w:p w14:paraId="44A8404B" w14:textId="77777777" w:rsidR="00C257D1" w:rsidRDefault="00C257D1" w:rsidP="00C257D1">
            <w:pPr>
              <w:spacing w:after="0"/>
              <w:jc w:val="center"/>
              <w:rPr>
                <w:lang w:eastAsia="x-none"/>
              </w:rPr>
            </w:pPr>
            <w:r>
              <w:rPr>
                <w:lang w:eastAsia="x-none"/>
              </w:rPr>
              <w:t>131</w:t>
            </w:r>
          </w:p>
        </w:tc>
        <w:tc>
          <w:tcPr>
            <w:tcW w:w="1217" w:type="dxa"/>
          </w:tcPr>
          <w:p w14:paraId="05B76361" w14:textId="77777777" w:rsidR="00C257D1" w:rsidRDefault="00C257D1" w:rsidP="00C257D1">
            <w:pPr>
              <w:spacing w:after="0"/>
              <w:jc w:val="center"/>
              <w:rPr>
                <w:lang w:eastAsia="x-none"/>
              </w:rPr>
            </w:pPr>
            <w:r>
              <w:rPr>
                <w:lang w:eastAsia="x-none"/>
              </w:rPr>
              <w:t>-3.0</w:t>
            </w:r>
          </w:p>
        </w:tc>
      </w:tr>
      <w:tr w:rsidR="00C257D1" w14:paraId="74829906" w14:textId="77777777" w:rsidTr="00C257D1">
        <w:tc>
          <w:tcPr>
            <w:tcW w:w="1717" w:type="dxa"/>
          </w:tcPr>
          <w:p w14:paraId="3A990137" w14:textId="77777777" w:rsidR="00C257D1" w:rsidRDefault="00C257D1" w:rsidP="00C257D1">
            <w:pPr>
              <w:spacing w:after="0"/>
              <w:jc w:val="center"/>
              <w:rPr>
                <w:lang w:eastAsia="x-none"/>
              </w:rPr>
            </w:pPr>
            <w:r>
              <w:rPr>
                <w:lang w:eastAsia="x-none"/>
              </w:rPr>
              <w:t>2010-11</w:t>
            </w:r>
          </w:p>
        </w:tc>
        <w:tc>
          <w:tcPr>
            <w:tcW w:w="1195" w:type="dxa"/>
          </w:tcPr>
          <w:p w14:paraId="1AD08049" w14:textId="77777777" w:rsidR="00C257D1" w:rsidRDefault="00C257D1" w:rsidP="00C257D1">
            <w:pPr>
              <w:spacing w:after="0"/>
              <w:jc w:val="center"/>
              <w:rPr>
                <w:lang w:eastAsia="x-none"/>
              </w:rPr>
            </w:pPr>
            <w:r>
              <w:rPr>
                <w:lang w:eastAsia="x-none"/>
              </w:rPr>
              <w:t>139</w:t>
            </w:r>
          </w:p>
        </w:tc>
        <w:tc>
          <w:tcPr>
            <w:tcW w:w="1217" w:type="dxa"/>
          </w:tcPr>
          <w:p w14:paraId="4BD63A2C" w14:textId="77777777" w:rsidR="00C257D1" w:rsidRDefault="00C257D1" w:rsidP="00C257D1">
            <w:pPr>
              <w:spacing w:after="0"/>
              <w:jc w:val="center"/>
              <w:rPr>
                <w:lang w:eastAsia="x-none"/>
              </w:rPr>
            </w:pPr>
            <w:r>
              <w:rPr>
                <w:lang w:eastAsia="x-none"/>
              </w:rPr>
              <w:t>6.1</w:t>
            </w:r>
          </w:p>
        </w:tc>
      </w:tr>
      <w:tr w:rsidR="00C257D1" w14:paraId="2FE05247" w14:textId="77777777" w:rsidTr="00C257D1">
        <w:tc>
          <w:tcPr>
            <w:tcW w:w="1717" w:type="dxa"/>
          </w:tcPr>
          <w:p w14:paraId="513582B9" w14:textId="77777777" w:rsidR="00C257D1" w:rsidRDefault="00C257D1" w:rsidP="00C257D1">
            <w:pPr>
              <w:spacing w:after="0"/>
              <w:jc w:val="center"/>
              <w:rPr>
                <w:lang w:eastAsia="x-none"/>
              </w:rPr>
            </w:pPr>
            <w:r>
              <w:rPr>
                <w:lang w:eastAsia="x-none"/>
              </w:rPr>
              <w:t>2011-12</w:t>
            </w:r>
          </w:p>
        </w:tc>
        <w:tc>
          <w:tcPr>
            <w:tcW w:w="1195" w:type="dxa"/>
          </w:tcPr>
          <w:p w14:paraId="0CE4E3AE" w14:textId="77777777" w:rsidR="00C257D1" w:rsidRDefault="00C257D1" w:rsidP="00C257D1">
            <w:pPr>
              <w:spacing w:after="0"/>
              <w:jc w:val="center"/>
              <w:rPr>
                <w:lang w:eastAsia="x-none"/>
              </w:rPr>
            </w:pPr>
            <w:r>
              <w:rPr>
                <w:lang w:eastAsia="x-none"/>
              </w:rPr>
              <w:t>140</w:t>
            </w:r>
          </w:p>
        </w:tc>
        <w:tc>
          <w:tcPr>
            <w:tcW w:w="1217" w:type="dxa"/>
          </w:tcPr>
          <w:p w14:paraId="43FF2FFA" w14:textId="77777777" w:rsidR="00C257D1" w:rsidRDefault="00C257D1" w:rsidP="00C257D1">
            <w:pPr>
              <w:spacing w:after="0"/>
              <w:jc w:val="center"/>
              <w:rPr>
                <w:lang w:eastAsia="x-none"/>
              </w:rPr>
            </w:pPr>
            <w:r>
              <w:rPr>
                <w:lang w:eastAsia="x-none"/>
              </w:rPr>
              <w:t>0.7</w:t>
            </w:r>
          </w:p>
        </w:tc>
      </w:tr>
      <w:tr w:rsidR="00C257D1" w14:paraId="1E7B7D11" w14:textId="77777777" w:rsidTr="00C257D1">
        <w:tc>
          <w:tcPr>
            <w:tcW w:w="1717" w:type="dxa"/>
          </w:tcPr>
          <w:p w14:paraId="4BC13A12" w14:textId="77777777" w:rsidR="00C257D1" w:rsidRDefault="00C257D1" w:rsidP="00C257D1">
            <w:pPr>
              <w:spacing w:after="0"/>
              <w:jc w:val="center"/>
              <w:rPr>
                <w:lang w:eastAsia="x-none"/>
              </w:rPr>
            </w:pPr>
            <w:r>
              <w:rPr>
                <w:lang w:eastAsia="x-none"/>
              </w:rPr>
              <w:t>2012-13</w:t>
            </w:r>
          </w:p>
        </w:tc>
        <w:tc>
          <w:tcPr>
            <w:tcW w:w="1195" w:type="dxa"/>
          </w:tcPr>
          <w:p w14:paraId="4EDD9AEE" w14:textId="77777777" w:rsidR="00C257D1" w:rsidRDefault="00C257D1" w:rsidP="00C257D1">
            <w:pPr>
              <w:spacing w:after="0"/>
              <w:jc w:val="center"/>
              <w:rPr>
                <w:lang w:eastAsia="x-none"/>
              </w:rPr>
            </w:pPr>
            <w:r>
              <w:rPr>
                <w:lang w:eastAsia="x-none"/>
              </w:rPr>
              <w:t>142</w:t>
            </w:r>
          </w:p>
        </w:tc>
        <w:tc>
          <w:tcPr>
            <w:tcW w:w="1217" w:type="dxa"/>
          </w:tcPr>
          <w:p w14:paraId="268D86DC" w14:textId="77777777" w:rsidR="00C257D1" w:rsidRDefault="00C257D1" w:rsidP="00C257D1">
            <w:pPr>
              <w:spacing w:after="0"/>
              <w:jc w:val="center"/>
              <w:rPr>
                <w:lang w:eastAsia="x-none"/>
              </w:rPr>
            </w:pPr>
            <w:r>
              <w:rPr>
                <w:lang w:eastAsia="x-none"/>
              </w:rPr>
              <w:t>1.4</w:t>
            </w:r>
          </w:p>
        </w:tc>
      </w:tr>
    </w:tbl>
    <w:p w14:paraId="0279B22C" w14:textId="77777777" w:rsidR="00C257D1" w:rsidRDefault="00C257D1" w:rsidP="00C257D1">
      <w:pPr>
        <w:rPr>
          <w:lang w:eastAsia="x-none"/>
        </w:rPr>
      </w:pPr>
    </w:p>
    <w:p w14:paraId="11B4EFEB" w14:textId="5DC1A8EA" w:rsidR="00C257D1" w:rsidRDefault="00C257D1" w:rsidP="00C257D1">
      <w:pPr>
        <w:rPr>
          <w:lang w:eastAsia="x-none"/>
        </w:rPr>
      </w:pPr>
      <w:r>
        <w:rPr>
          <w:lang w:eastAsia="x-none"/>
        </w:rPr>
        <w:t>The demand for packaging glass has reduced in recent years,</w:t>
      </w:r>
      <w:r w:rsidR="0036663C">
        <w:rPr>
          <w:lang w:eastAsia="x-none"/>
        </w:rPr>
        <w:t xml:space="preserve"> stemming from</w:t>
      </w:r>
      <w:r>
        <w:t xml:space="preserve"> </w:t>
      </w:r>
      <w:r>
        <w:fldChar w:fldCharType="begin"/>
      </w:r>
      <w:r w:rsidR="00F40CE2">
        <w:instrText xml:space="preserve"> ADDIN EN.CITE &lt;EndNote&gt;&lt;Cite&gt;&lt;Author&gt;Kelly&lt;/Author&gt;&lt;Year&gt;2013&lt;/Year&gt;&lt;RecNum&gt;667&lt;/RecNum&gt;&lt;DisplayText&gt;(Kelly, 2013)&lt;/DisplayText&gt;&lt;record&gt;&lt;rec-number&gt;667&lt;/rec-number&gt;&lt;foreign-keys&gt;&lt;key app="EN" db-id="tfpv5staxsvs2nexzpp5taewzsvpx0er5fap"&gt;667&lt;/key&gt;&lt;/foreign-keys&gt;&lt;ref-type name="Report"&gt;27&lt;/ref-type&gt;&lt;contributors&gt;&lt;authors&gt;&lt;author&gt;Kelly, A.&lt;/author&gt;&lt;/authors&gt;&lt;/contributors&gt;&lt;titles&gt;&lt;title&gt;IBISWorld Industry Report C2010. Glass and Glass Product Manufacturing in Australia&lt;/title&gt;&lt;/titles&gt;&lt;dates&gt;&lt;year&gt;2013&lt;/year&gt;&lt;/dates&gt;&lt;publisher&gt;IBISWorld Pty Ltd.&lt;/publisher&gt;&lt;urls&gt;&lt;/urls&gt;&lt;/record&gt;&lt;/Cite&gt;&lt;/EndNote&gt;</w:instrText>
      </w:r>
      <w:r>
        <w:fldChar w:fldCharType="separate"/>
      </w:r>
      <w:r w:rsidR="00F40CE2">
        <w:rPr>
          <w:noProof/>
        </w:rPr>
        <w:t>(</w:t>
      </w:r>
      <w:hyperlink w:anchor="_ENREF_55" w:tooltip="Kelly, 2013 #667" w:history="1">
        <w:r w:rsidR="00F40CE2">
          <w:rPr>
            <w:noProof/>
          </w:rPr>
          <w:t>Kelly, 2013</w:t>
        </w:r>
      </w:hyperlink>
      <w:r w:rsidR="00F40CE2">
        <w:rPr>
          <w:noProof/>
        </w:rPr>
        <w:t>)</w:t>
      </w:r>
      <w:r>
        <w:fldChar w:fldCharType="end"/>
      </w:r>
      <w:r>
        <w:rPr>
          <w:lang w:eastAsia="x-none"/>
        </w:rPr>
        <w:t>:</w:t>
      </w:r>
    </w:p>
    <w:p w14:paraId="6564CB1C" w14:textId="77777777" w:rsidR="00C257D1" w:rsidRDefault="00C257D1" w:rsidP="009E73CF">
      <w:pPr>
        <w:pStyle w:val="ListParagraph"/>
        <w:numPr>
          <w:ilvl w:val="0"/>
          <w:numId w:val="29"/>
        </w:numPr>
        <w:ind w:left="567" w:hanging="567"/>
        <w:rPr>
          <w:lang w:eastAsia="x-none"/>
        </w:rPr>
      </w:pPr>
      <w:r>
        <w:rPr>
          <w:lang w:eastAsia="x-none"/>
        </w:rPr>
        <w:t>Reduced demand for beer</w:t>
      </w:r>
    </w:p>
    <w:p w14:paraId="66D0DF9D" w14:textId="77777777" w:rsidR="00C257D1" w:rsidRDefault="00C257D1" w:rsidP="009E73CF">
      <w:pPr>
        <w:pStyle w:val="ListParagraph"/>
        <w:numPr>
          <w:ilvl w:val="0"/>
          <w:numId w:val="29"/>
        </w:numPr>
        <w:ind w:left="567" w:hanging="567"/>
        <w:rPr>
          <w:lang w:eastAsia="x-none"/>
        </w:rPr>
      </w:pPr>
      <w:r>
        <w:rPr>
          <w:lang w:eastAsia="x-none"/>
        </w:rPr>
        <w:t>Decrease in bottled-wine exports</w:t>
      </w:r>
    </w:p>
    <w:p w14:paraId="761F8032" w14:textId="77777777" w:rsidR="00C257D1" w:rsidRDefault="00C257D1" w:rsidP="009E73CF">
      <w:pPr>
        <w:pStyle w:val="ListParagraph"/>
        <w:numPr>
          <w:ilvl w:val="0"/>
          <w:numId w:val="29"/>
        </w:numPr>
        <w:ind w:left="567" w:hanging="567"/>
        <w:rPr>
          <w:lang w:eastAsia="x-none"/>
        </w:rPr>
      </w:pPr>
      <w:r>
        <w:rPr>
          <w:lang w:eastAsia="x-none"/>
        </w:rPr>
        <w:t>Increase in beer and wine imports</w:t>
      </w:r>
    </w:p>
    <w:p w14:paraId="3185E92A" w14:textId="77777777" w:rsidR="00C257D1" w:rsidRDefault="00C257D1" w:rsidP="009E73CF">
      <w:pPr>
        <w:pStyle w:val="ListParagraph"/>
        <w:numPr>
          <w:ilvl w:val="0"/>
          <w:numId w:val="29"/>
        </w:numPr>
        <w:ind w:left="567" w:hanging="567"/>
        <w:rPr>
          <w:lang w:eastAsia="x-none"/>
        </w:rPr>
      </w:pPr>
      <w:r>
        <w:rPr>
          <w:lang w:eastAsia="x-none"/>
        </w:rPr>
        <w:t>Substitution from competing packaging materials for fruit and vegetable products (e.g. PET)</w:t>
      </w:r>
    </w:p>
    <w:p w14:paraId="794EB26B" w14:textId="72DBFCAA" w:rsidR="00C257D1" w:rsidRPr="00A875BE" w:rsidRDefault="00C257D1" w:rsidP="00C257D1">
      <w:pPr>
        <w:rPr>
          <w:lang w:eastAsia="x-none"/>
        </w:rPr>
      </w:pPr>
      <w:r>
        <w:rPr>
          <w:lang w:eastAsia="x-none"/>
        </w:rPr>
        <w:t xml:space="preserve">Overall, the combined glass sector (flat glass and packaging) is in decline. However, growth is expected to occur, but limited to approximately 1.5% per annum, over five years to 2017-18 </w:t>
      </w:r>
      <w:r>
        <w:fldChar w:fldCharType="begin"/>
      </w:r>
      <w:r w:rsidR="00F40CE2">
        <w:instrText xml:space="preserve"> ADDIN EN.CITE &lt;EndNote&gt;&lt;Cite&gt;&lt;Author&gt;Kelly&lt;/Author&gt;&lt;Year&gt;2013&lt;/Year&gt;&lt;RecNum&gt;667&lt;/RecNum&gt;&lt;DisplayText&gt;(Kelly, 2013)&lt;/DisplayText&gt;&lt;record&gt;&lt;rec-number&gt;667&lt;/rec-number&gt;&lt;foreign-keys&gt;&lt;key app="EN" db-id="tfpv5staxsvs2nexzpp5taewzsvpx0er5fap"&gt;667&lt;/key&gt;&lt;/foreign-keys&gt;&lt;ref-type name="Report"&gt;27&lt;/ref-type&gt;&lt;contributors&gt;&lt;authors&gt;&lt;author&gt;Kelly, A.&lt;/author&gt;&lt;/authors&gt;&lt;/contributors&gt;&lt;titles&gt;&lt;title&gt;IBISWorld Industry Report C2010. Glass and Glass Product Manufacturing in Australia&lt;/title&gt;&lt;/titles&gt;&lt;dates&gt;&lt;year&gt;2013&lt;/year&gt;&lt;/dates&gt;&lt;publisher&gt;IBISWorld Pty Ltd.&lt;/publisher&gt;&lt;urls&gt;&lt;/urls&gt;&lt;/record&gt;&lt;/Cite&gt;&lt;/EndNote&gt;</w:instrText>
      </w:r>
      <w:r>
        <w:fldChar w:fldCharType="separate"/>
      </w:r>
      <w:r w:rsidR="00F40CE2">
        <w:rPr>
          <w:noProof/>
        </w:rPr>
        <w:t>(</w:t>
      </w:r>
      <w:hyperlink w:anchor="_ENREF_55" w:tooltip="Kelly, 2013 #667" w:history="1">
        <w:r w:rsidR="00F40CE2">
          <w:rPr>
            <w:noProof/>
          </w:rPr>
          <w:t>Kelly, 2013</w:t>
        </w:r>
      </w:hyperlink>
      <w:r w:rsidR="00F40CE2">
        <w:rPr>
          <w:noProof/>
        </w:rPr>
        <w:t>)</w:t>
      </w:r>
      <w:r>
        <w:fldChar w:fldCharType="end"/>
      </w:r>
      <w:r>
        <w:t>.</w:t>
      </w:r>
    </w:p>
    <w:p w14:paraId="66A1FA0D" w14:textId="77777777" w:rsidR="00C257D1" w:rsidRDefault="00C257D1" w:rsidP="0036663C">
      <w:pPr>
        <w:pStyle w:val="Heading4"/>
      </w:pPr>
      <w:r>
        <w:t>Aluminium</w:t>
      </w:r>
    </w:p>
    <w:p w14:paraId="6F02B603" w14:textId="1AB59F34" w:rsidR="00C257D1" w:rsidRDefault="00C257D1" w:rsidP="00C257D1">
      <w:pPr>
        <w:rPr>
          <w:lang w:eastAsia="x-none"/>
        </w:rPr>
      </w:pPr>
      <w:r>
        <w:rPr>
          <w:lang w:eastAsia="x-none"/>
        </w:rPr>
        <w:t>Aluminium recovered from recycled aluminium cans (commonly referred to in the literature as reprocessed used beverage cans, UBC), contribute</w:t>
      </w:r>
      <w:r w:rsidR="00B134C0">
        <w:rPr>
          <w:lang w:eastAsia="x-none"/>
        </w:rPr>
        <w:t>s</w:t>
      </w:r>
      <w:r>
        <w:rPr>
          <w:lang w:eastAsia="x-none"/>
        </w:rPr>
        <w:t xml:space="preserve"> to the total supply of aluminium, however because of ideal alloying, the recovered aluminium typically is used to produce new aluminium cans; thus it can be considered a closed-loop recycling process </w:t>
      </w:r>
      <w:r>
        <w:rPr>
          <w:lang w:eastAsia="x-none"/>
        </w:rPr>
        <w:fldChar w:fldCharType="begin"/>
      </w:r>
      <w:r w:rsidR="00F40CE2">
        <w:rPr>
          <w:lang w:eastAsia="x-none"/>
        </w:rPr>
        <w:instrText xml:space="preserve"> ADDIN EN.CITE &lt;EndNote&gt;&lt;Cite&gt;&lt;Author&gt;Green&lt;/Author&gt;&lt;Year&gt;2007&lt;/Year&gt;&lt;RecNum&gt;668&lt;/RecNum&gt;&lt;DisplayText&gt;(Green, 2007)&lt;/DisplayText&gt;&lt;record&gt;&lt;rec-number&gt;668&lt;/rec-number&gt;&lt;foreign-keys&gt;&lt;key app="EN" db-id="tfpv5staxsvs2nexzpp5taewzsvpx0er5fap"&gt;668&lt;/key&gt;&lt;/foreign-keys&gt;&lt;ref-type name="Book Section"&gt;5&lt;/ref-type&gt;&lt;contributors&gt;&lt;authors&gt;&lt;author&gt;Green, John A. S.&lt;/author&gt;&lt;/authors&gt;&lt;secondary-authors&gt;&lt;author&gt;Green, John A. S.&lt;/author&gt;&lt;/secondary-authors&gt;&lt;/contributors&gt;&lt;titles&gt;&lt;title&gt;Recycling of Aluminium&lt;/title&gt;&lt;secondary-title&gt;Aluminum Recycling and Processing for Energy Conservation and Sustainability&lt;/secondary-title&gt;&lt;/titles&gt;&lt;pages&gt;109-134&lt;/pages&gt;&lt;section&gt;7&lt;/section&gt;&lt;dates&gt;&lt;year&gt;2007&lt;/year&gt;&lt;/dates&gt;&lt;publisher&gt;ASM International&lt;/publisher&gt;&lt;isbn&gt;978-0-87170-859-5&lt;/isbn&gt;&lt;urls&gt;&lt;related-urls&gt;&lt;url&gt;http://www.knovel.com/web/portal/browse/display?_EXT_KNOVEL_DISPLAY_bookid=3769&lt;/url&gt;&lt;/related-urls&gt;&lt;/urls&gt;&lt;/record&gt;&lt;/Cite&gt;&lt;/EndNote&gt;</w:instrText>
      </w:r>
      <w:r>
        <w:rPr>
          <w:lang w:eastAsia="x-none"/>
        </w:rPr>
        <w:fldChar w:fldCharType="separate"/>
      </w:r>
      <w:r w:rsidR="00F40CE2">
        <w:rPr>
          <w:noProof/>
          <w:lang w:eastAsia="x-none"/>
        </w:rPr>
        <w:t>(</w:t>
      </w:r>
      <w:hyperlink w:anchor="_ENREF_40" w:tooltip="Green, 2007 #668" w:history="1">
        <w:r w:rsidR="00F40CE2">
          <w:rPr>
            <w:noProof/>
            <w:lang w:eastAsia="x-none"/>
          </w:rPr>
          <w:t>Green, 2007</w:t>
        </w:r>
      </w:hyperlink>
      <w:r w:rsidR="00F40CE2">
        <w:rPr>
          <w:noProof/>
          <w:lang w:eastAsia="x-none"/>
        </w:rPr>
        <w:t>)</w:t>
      </w:r>
      <w:r>
        <w:rPr>
          <w:lang w:eastAsia="x-none"/>
        </w:rPr>
        <w:fldChar w:fldCharType="end"/>
      </w:r>
      <w:r>
        <w:rPr>
          <w:lang w:eastAsia="x-none"/>
        </w:rPr>
        <w:t>.</w:t>
      </w:r>
      <w:r w:rsidRPr="008D23FE">
        <w:rPr>
          <w:lang w:eastAsia="x-none"/>
        </w:rPr>
        <w:t xml:space="preserve"> </w:t>
      </w:r>
      <w:r>
        <w:rPr>
          <w:lang w:eastAsia="x-none"/>
        </w:rPr>
        <w:t>As documented in other reports of this study, the aluminium recovered from the kerbside is reprocessed domestically in Australia and is exported for reprocessing internationally.</w:t>
      </w:r>
    </w:p>
    <w:p w14:paraId="560D8381" w14:textId="15E5C092" w:rsidR="00C257D1" w:rsidRDefault="00C257D1" w:rsidP="00C257D1">
      <w:pPr>
        <w:rPr>
          <w:lang w:eastAsia="x-none"/>
        </w:rPr>
      </w:pPr>
      <w:r>
        <w:rPr>
          <w:lang w:eastAsia="x-none"/>
        </w:rPr>
        <w:t xml:space="preserve">The Australian Packaging Covenant (APC, formerly The National Packaging Covenant, NPC) have published consumption figures for aluminium cans, </w:t>
      </w:r>
      <w:r w:rsidR="0036663C">
        <w:fldChar w:fldCharType="begin"/>
      </w:r>
      <w:r w:rsidR="0036663C">
        <w:rPr>
          <w:lang w:eastAsia="x-none"/>
        </w:rPr>
        <w:instrText xml:space="preserve"> REF _Ref360577012 \h </w:instrText>
      </w:r>
      <w:r w:rsidR="0036663C">
        <w:fldChar w:fldCharType="separate"/>
      </w:r>
      <w:r w:rsidR="00564E5C">
        <w:t xml:space="preserve">Table </w:t>
      </w:r>
      <w:r w:rsidR="00564E5C">
        <w:rPr>
          <w:noProof/>
        </w:rPr>
        <w:t>50</w:t>
      </w:r>
      <w:r w:rsidR="0036663C">
        <w:fldChar w:fldCharType="end"/>
      </w:r>
      <w:r>
        <w:rPr>
          <w:lang w:eastAsia="x-none"/>
        </w:rPr>
        <w:t>.</w:t>
      </w:r>
    </w:p>
    <w:p w14:paraId="3A2F6CE1" w14:textId="525EA1D9" w:rsidR="0036663C" w:rsidRPr="0036663C" w:rsidRDefault="0036663C" w:rsidP="0036663C">
      <w:pPr>
        <w:pStyle w:val="Caption"/>
        <w:keepNext/>
      </w:pPr>
      <w:bookmarkStart w:id="241" w:name="_Ref360577012"/>
      <w:r>
        <w:t xml:space="preserve">Table </w:t>
      </w:r>
      <w:r w:rsidR="00FC7DE2">
        <w:fldChar w:fldCharType="begin"/>
      </w:r>
      <w:r w:rsidR="00FC7DE2">
        <w:instrText xml:space="preserve"> SEQ Table \* ARABIC </w:instrText>
      </w:r>
      <w:r w:rsidR="00FC7DE2">
        <w:fldChar w:fldCharType="separate"/>
      </w:r>
      <w:r w:rsidR="00564E5C">
        <w:rPr>
          <w:noProof/>
        </w:rPr>
        <w:t>50</w:t>
      </w:r>
      <w:r w:rsidR="00FC7DE2">
        <w:rPr>
          <w:noProof/>
        </w:rPr>
        <w:fldChar w:fldCharType="end"/>
      </w:r>
      <w:bookmarkEnd w:id="241"/>
      <w:r w:rsidRPr="0036663C">
        <w:t xml:space="preserve"> Aluminium can consumption in Australia. All data from the Australian Packaging Covenant </w:t>
      </w:r>
      <w:r w:rsidRPr="0036663C">
        <w:fldChar w:fldCharType="begin"/>
      </w:r>
      <w:r w:rsidR="00F40CE2">
        <w:instrText xml:space="preserve"> ADDIN EN.CITE &lt;EndNote&gt;&lt;Cite&gt;&lt;Author&gt;APC&lt;/Author&gt;&lt;Year&gt;2012&lt;/Year&gt;&lt;RecNum&gt;669&lt;/RecNum&gt;&lt;DisplayText&gt;(APC, 2012, APC, 2013, NPC, 2011)&lt;/DisplayText&gt;&lt;record&gt;&lt;rec-number&gt;669&lt;/rec-number&gt;&lt;foreign-keys&gt;&lt;key app="EN" db-id="tfpv5staxsvs2nexzpp5taewzsvpx0er5fap"&gt;669&lt;/key&gt;&lt;/foreign-keys&gt;&lt;ref-type name="Report"&gt;27&lt;/ref-type&gt;&lt;contributors&gt;&lt;authors&gt;&lt;author&gt;APC&lt;/author&gt;&lt;/authors&gt;&lt;/contributors&gt;&lt;titles&gt;&lt;title&gt;The Australian Packaging Covenant. 2011 Annual Report&lt;/title&gt;&lt;/titles&gt;&lt;dates&gt;&lt;year&gt;2012&lt;/year&gt;&lt;/dates&gt;&lt;pub-location&gt;Gordon&lt;/pub-location&gt;&lt;publisher&gt;Australian Packaging Covenant Council&lt;/publisher&gt;&lt;urls&gt;&lt;/urls&gt;&lt;/record&gt;&lt;/Cite&gt;&lt;Cite&gt;&lt;Author&gt;APC&lt;/Author&gt;&lt;Year&gt;2013&lt;/Year&gt;&lt;RecNum&gt;670&lt;/RecNum&gt;&lt;record&gt;&lt;rec-number&gt;670&lt;/rec-number&gt;&lt;foreign-keys&gt;&lt;key app="EN" db-id="tfpv5staxsvs2nexzpp5taewzsvpx0er5fap"&gt;670&lt;/key&gt;&lt;/foreign-keys&gt;&lt;ref-type name="Report"&gt;27&lt;/ref-type&gt;&lt;contributors&gt;&lt;authors&gt;&lt;author&gt;APC&lt;/author&gt;&lt;/authors&gt;&lt;/contributors&gt;&lt;titles&gt;&lt;title&gt;The Australian Packaging Covenant. 2012 Annual Report&lt;/title&gt;&lt;/titles&gt;&lt;dates&gt;&lt;year&gt;2013&lt;/year&gt;&lt;/dates&gt;&lt;pub-location&gt;Gordon&lt;/pub-location&gt;&lt;publisher&gt;Australian Packaging Covenant Council&lt;/publisher&gt;&lt;urls&gt;&lt;/urls&gt;&lt;/record&gt;&lt;/Cite&gt;&lt;Cite&gt;&lt;Author&gt;NPC&lt;/Author&gt;&lt;Year&gt;2011&lt;/Year&gt;&lt;RecNum&gt;671&lt;/RecNum&gt;&lt;record&gt;&lt;rec-number&gt;671&lt;/rec-number&gt;&lt;foreign-keys&gt;&lt;key app="EN" db-id="tfpv5staxsvs2nexzpp5taewzsvpx0er5fap"&gt;671&lt;/key&gt;&lt;/foreign-keys&gt;&lt;ref-type name="Report"&gt;27&lt;/ref-type&gt;&lt;contributors&gt;&lt;authors&gt;&lt;author&gt;NPC&lt;/author&gt;&lt;/authors&gt;&lt;/contributors&gt;&lt;titles&gt;&lt;title&gt;The National Packaging Covenant. 2010 Annual Report&lt;/title&gt;&lt;/titles&gt;&lt;dates&gt;&lt;year&gt;2011&lt;/year&gt;&lt;/dates&gt;&lt;pub-location&gt;Gordon&lt;/pub-location&gt;&lt;publisher&gt;Australian Packaging Covenant Council&lt;/publisher&gt;&lt;urls&gt;&lt;/urls&gt;&lt;/record&gt;&lt;/Cite&gt;&lt;/EndNote&gt;</w:instrText>
      </w:r>
      <w:r w:rsidRPr="0036663C">
        <w:fldChar w:fldCharType="separate"/>
      </w:r>
      <w:r w:rsidR="00F40CE2">
        <w:rPr>
          <w:noProof/>
        </w:rPr>
        <w:t>(</w:t>
      </w:r>
      <w:hyperlink w:anchor="_ENREF_8" w:tooltip="APC, 2012 #669" w:history="1">
        <w:r w:rsidR="00F40CE2">
          <w:rPr>
            <w:noProof/>
          </w:rPr>
          <w:t>APC, 2012</w:t>
        </w:r>
      </w:hyperlink>
      <w:r w:rsidR="00F40CE2">
        <w:rPr>
          <w:noProof/>
        </w:rPr>
        <w:t xml:space="preserve">, </w:t>
      </w:r>
      <w:hyperlink w:anchor="_ENREF_9" w:tooltip="APC, 2013 #670" w:history="1">
        <w:r w:rsidR="00F40CE2">
          <w:rPr>
            <w:noProof/>
          </w:rPr>
          <w:t>APC, 2013</w:t>
        </w:r>
      </w:hyperlink>
      <w:r w:rsidR="00F40CE2">
        <w:rPr>
          <w:noProof/>
        </w:rPr>
        <w:t xml:space="preserve">, </w:t>
      </w:r>
      <w:hyperlink w:anchor="_ENREF_61" w:tooltip="NPC, 2011 #671" w:history="1">
        <w:r w:rsidR="00F40CE2">
          <w:rPr>
            <w:noProof/>
          </w:rPr>
          <w:t>NPC, 2011</w:t>
        </w:r>
      </w:hyperlink>
      <w:r w:rsidR="00F40CE2">
        <w:rPr>
          <w:noProof/>
        </w:rPr>
        <w:t>)</w:t>
      </w:r>
      <w:r w:rsidRPr="0036663C">
        <w:fldChar w:fldCharType="end"/>
      </w:r>
    </w:p>
    <w:tbl>
      <w:tblPr>
        <w:tblStyle w:val="TableGrid"/>
        <w:tblW w:w="0" w:type="auto"/>
        <w:tblLook w:val="04A0" w:firstRow="1" w:lastRow="0" w:firstColumn="1" w:lastColumn="0" w:noHBand="0" w:noVBand="1"/>
      </w:tblPr>
      <w:tblGrid>
        <w:gridCol w:w="1717"/>
        <w:gridCol w:w="1395"/>
        <w:gridCol w:w="1217"/>
      </w:tblGrid>
      <w:tr w:rsidR="00C257D1" w14:paraId="2AA64F22" w14:textId="77777777" w:rsidTr="0036663C">
        <w:tc>
          <w:tcPr>
            <w:tcW w:w="1717" w:type="dxa"/>
            <w:shd w:val="clear" w:color="auto" w:fill="D9D9D9" w:themeFill="background1" w:themeFillShade="D9"/>
            <w:vAlign w:val="center"/>
          </w:tcPr>
          <w:p w14:paraId="061BC3C1" w14:textId="77777777" w:rsidR="00C257D1" w:rsidRDefault="00C257D1" w:rsidP="00C257D1">
            <w:pPr>
              <w:spacing w:after="0"/>
              <w:jc w:val="center"/>
              <w:rPr>
                <w:lang w:eastAsia="x-none"/>
              </w:rPr>
            </w:pPr>
            <w:r>
              <w:rPr>
                <w:lang w:eastAsia="x-none"/>
              </w:rPr>
              <w:t>Year</w:t>
            </w:r>
          </w:p>
        </w:tc>
        <w:tc>
          <w:tcPr>
            <w:tcW w:w="1395" w:type="dxa"/>
            <w:shd w:val="clear" w:color="auto" w:fill="D9D9D9" w:themeFill="background1" w:themeFillShade="D9"/>
            <w:vAlign w:val="center"/>
          </w:tcPr>
          <w:p w14:paraId="72316EA5" w14:textId="77777777" w:rsidR="00C257D1" w:rsidRDefault="00C257D1" w:rsidP="00C257D1">
            <w:pPr>
              <w:spacing w:after="0"/>
              <w:jc w:val="center"/>
              <w:rPr>
                <w:lang w:eastAsia="x-none"/>
              </w:rPr>
            </w:pPr>
            <w:r>
              <w:rPr>
                <w:lang w:eastAsia="x-none"/>
              </w:rPr>
              <w:t>Consumption</w:t>
            </w:r>
          </w:p>
          <w:p w14:paraId="6D6E9E3C" w14:textId="33A95079" w:rsidR="00C257D1" w:rsidRDefault="00C257D1" w:rsidP="00C257D1">
            <w:pPr>
              <w:spacing w:after="0"/>
              <w:jc w:val="center"/>
              <w:rPr>
                <w:lang w:eastAsia="x-none"/>
              </w:rPr>
            </w:pPr>
            <w:r>
              <w:rPr>
                <w:lang w:eastAsia="x-none"/>
              </w:rPr>
              <w:t>(</w:t>
            </w:r>
            <w:r w:rsidR="00E82F90">
              <w:rPr>
                <w:lang w:eastAsia="x-none"/>
              </w:rPr>
              <w:t>t</w:t>
            </w:r>
            <w:r>
              <w:rPr>
                <w:lang w:eastAsia="x-none"/>
              </w:rPr>
              <w:t>)</w:t>
            </w:r>
          </w:p>
        </w:tc>
        <w:tc>
          <w:tcPr>
            <w:tcW w:w="1217" w:type="dxa"/>
            <w:shd w:val="clear" w:color="auto" w:fill="D9D9D9" w:themeFill="background1" w:themeFillShade="D9"/>
            <w:vAlign w:val="center"/>
          </w:tcPr>
          <w:p w14:paraId="47B94C06" w14:textId="77777777" w:rsidR="00C257D1" w:rsidRDefault="00C257D1" w:rsidP="00C257D1">
            <w:pPr>
              <w:spacing w:after="0"/>
              <w:jc w:val="center"/>
              <w:rPr>
                <w:lang w:eastAsia="x-none"/>
              </w:rPr>
            </w:pPr>
            <w:r>
              <w:rPr>
                <w:lang w:eastAsia="x-none"/>
              </w:rPr>
              <w:t>% change</w:t>
            </w:r>
          </w:p>
        </w:tc>
      </w:tr>
      <w:tr w:rsidR="00C257D1" w14:paraId="683ABE4F" w14:textId="77777777" w:rsidTr="0036663C">
        <w:tc>
          <w:tcPr>
            <w:tcW w:w="1717" w:type="dxa"/>
          </w:tcPr>
          <w:p w14:paraId="493693BB" w14:textId="77777777" w:rsidR="00C257D1" w:rsidRDefault="00C257D1" w:rsidP="00C257D1">
            <w:pPr>
              <w:spacing w:after="0"/>
              <w:jc w:val="center"/>
              <w:rPr>
                <w:lang w:eastAsia="x-none"/>
              </w:rPr>
            </w:pPr>
            <w:r>
              <w:rPr>
                <w:lang w:eastAsia="x-none"/>
              </w:rPr>
              <w:t>2009-10</w:t>
            </w:r>
          </w:p>
        </w:tc>
        <w:tc>
          <w:tcPr>
            <w:tcW w:w="1395" w:type="dxa"/>
          </w:tcPr>
          <w:p w14:paraId="4DCE589B" w14:textId="77777777" w:rsidR="00C257D1" w:rsidRDefault="00C257D1" w:rsidP="00C257D1">
            <w:pPr>
              <w:spacing w:after="0"/>
              <w:jc w:val="center"/>
              <w:rPr>
                <w:lang w:eastAsia="x-none"/>
              </w:rPr>
            </w:pPr>
            <w:r>
              <w:rPr>
                <w:lang w:eastAsia="x-none"/>
              </w:rPr>
              <w:t>51,600</w:t>
            </w:r>
          </w:p>
        </w:tc>
        <w:tc>
          <w:tcPr>
            <w:tcW w:w="1217" w:type="dxa"/>
          </w:tcPr>
          <w:p w14:paraId="002A0CD4" w14:textId="77777777" w:rsidR="00C257D1" w:rsidRDefault="00C257D1" w:rsidP="00C257D1">
            <w:pPr>
              <w:spacing w:after="0"/>
              <w:jc w:val="center"/>
              <w:rPr>
                <w:lang w:eastAsia="x-none"/>
              </w:rPr>
            </w:pPr>
            <w:r>
              <w:rPr>
                <w:lang w:eastAsia="x-none"/>
              </w:rPr>
              <w:t>-</w:t>
            </w:r>
          </w:p>
        </w:tc>
      </w:tr>
      <w:tr w:rsidR="00C257D1" w14:paraId="0D70E15A" w14:textId="77777777" w:rsidTr="0036663C">
        <w:tc>
          <w:tcPr>
            <w:tcW w:w="1717" w:type="dxa"/>
          </w:tcPr>
          <w:p w14:paraId="30A3DDBA" w14:textId="77777777" w:rsidR="00C257D1" w:rsidRDefault="00C257D1" w:rsidP="00C257D1">
            <w:pPr>
              <w:spacing w:after="0"/>
              <w:jc w:val="center"/>
              <w:rPr>
                <w:lang w:eastAsia="x-none"/>
              </w:rPr>
            </w:pPr>
            <w:r>
              <w:rPr>
                <w:lang w:eastAsia="x-none"/>
              </w:rPr>
              <w:t>2010-11</w:t>
            </w:r>
          </w:p>
        </w:tc>
        <w:tc>
          <w:tcPr>
            <w:tcW w:w="1395" w:type="dxa"/>
          </w:tcPr>
          <w:p w14:paraId="197E088E" w14:textId="77777777" w:rsidR="00C257D1" w:rsidRDefault="00C257D1" w:rsidP="00C257D1">
            <w:pPr>
              <w:spacing w:after="0"/>
              <w:jc w:val="center"/>
              <w:rPr>
                <w:lang w:eastAsia="x-none"/>
              </w:rPr>
            </w:pPr>
            <w:r>
              <w:rPr>
                <w:lang w:eastAsia="x-none"/>
              </w:rPr>
              <w:t>57,196</w:t>
            </w:r>
          </w:p>
        </w:tc>
        <w:tc>
          <w:tcPr>
            <w:tcW w:w="1217" w:type="dxa"/>
          </w:tcPr>
          <w:p w14:paraId="131AFD37" w14:textId="77777777" w:rsidR="00C257D1" w:rsidRDefault="00C257D1" w:rsidP="00C257D1">
            <w:pPr>
              <w:spacing w:after="0"/>
              <w:jc w:val="center"/>
              <w:rPr>
                <w:lang w:eastAsia="x-none"/>
              </w:rPr>
            </w:pPr>
            <w:r>
              <w:rPr>
                <w:lang w:eastAsia="x-none"/>
              </w:rPr>
              <w:t>10.8</w:t>
            </w:r>
          </w:p>
        </w:tc>
      </w:tr>
      <w:tr w:rsidR="00C257D1" w14:paraId="6449212A" w14:textId="77777777" w:rsidTr="0036663C">
        <w:tc>
          <w:tcPr>
            <w:tcW w:w="1717" w:type="dxa"/>
          </w:tcPr>
          <w:p w14:paraId="3E820047" w14:textId="77777777" w:rsidR="00C257D1" w:rsidRDefault="00C257D1" w:rsidP="00C257D1">
            <w:pPr>
              <w:spacing w:after="0"/>
              <w:jc w:val="center"/>
              <w:rPr>
                <w:lang w:eastAsia="x-none"/>
              </w:rPr>
            </w:pPr>
            <w:r>
              <w:rPr>
                <w:lang w:eastAsia="x-none"/>
              </w:rPr>
              <w:t>2011-12</w:t>
            </w:r>
          </w:p>
        </w:tc>
        <w:tc>
          <w:tcPr>
            <w:tcW w:w="1395" w:type="dxa"/>
          </w:tcPr>
          <w:p w14:paraId="1C5181AE" w14:textId="77777777" w:rsidR="00C257D1" w:rsidRDefault="00C257D1" w:rsidP="00C257D1">
            <w:pPr>
              <w:spacing w:after="0"/>
              <w:jc w:val="center"/>
              <w:rPr>
                <w:lang w:eastAsia="x-none"/>
              </w:rPr>
            </w:pPr>
            <w:r>
              <w:rPr>
                <w:lang w:eastAsia="x-none"/>
              </w:rPr>
              <w:t>52,900</w:t>
            </w:r>
          </w:p>
        </w:tc>
        <w:tc>
          <w:tcPr>
            <w:tcW w:w="1217" w:type="dxa"/>
          </w:tcPr>
          <w:p w14:paraId="7DE8BA89" w14:textId="77777777" w:rsidR="00C257D1" w:rsidRDefault="00C257D1" w:rsidP="00C257D1">
            <w:pPr>
              <w:spacing w:after="0"/>
              <w:jc w:val="center"/>
              <w:rPr>
                <w:lang w:eastAsia="x-none"/>
              </w:rPr>
            </w:pPr>
            <w:r>
              <w:rPr>
                <w:lang w:eastAsia="x-none"/>
              </w:rPr>
              <w:t>-7.5</w:t>
            </w:r>
          </w:p>
        </w:tc>
      </w:tr>
    </w:tbl>
    <w:p w14:paraId="648A2AC9" w14:textId="77777777" w:rsidR="00C257D1" w:rsidRDefault="00C257D1" w:rsidP="00C257D1">
      <w:pPr>
        <w:rPr>
          <w:lang w:eastAsia="x-none"/>
        </w:rPr>
      </w:pPr>
    </w:p>
    <w:p w14:paraId="23985BC1" w14:textId="2C39444F" w:rsidR="00C257D1" w:rsidRDefault="00C257D1" w:rsidP="00C257D1">
      <w:pPr>
        <w:rPr>
          <w:lang w:eastAsia="x-none"/>
        </w:rPr>
      </w:pPr>
      <w:r>
        <w:rPr>
          <w:lang w:eastAsia="x-none"/>
        </w:rPr>
        <w:t xml:space="preserve">Data on projected aluminium can consumption, with SRU Pty Ltd group estimating that for 2014-15, demand for aluminium cans will be 62,000 </w:t>
      </w:r>
      <w:r w:rsidR="00E82F90">
        <w:rPr>
          <w:lang w:eastAsia="x-none"/>
        </w:rPr>
        <w:t>t</w:t>
      </w:r>
      <w:r>
        <w:rPr>
          <w:lang w:eastAsia="x-none"/>
        </w:rPr>
        <w:t xml:space="preserve"> </w:t>
      </w:r>
      <w:r>
        <w:rPr>
          <w:lang w:eastAsia="x-none"/>
        </w:rPr>
        <w:fldChar w:fldCharType="begin"/>
      </w:r>
      <w:r w:rsidR="00F40CE2">
        <w:rPr>
          <w:lang w:eastAsia="x-none"/>
        </w:rPr>
        <w:instrText xml:space="preserve"> ADDIN EN.CITE &lt;EndNote&gt;&lt;Cite&gt;&lt;Author&gt;Allen&lt;/Author&gt;&lt;Year&gt;2013&lt;/Year&gt;&lt;RecNum&gt;672&lt;/RecNum&gt;&lt;DisplayText&gt;(Allen and A&amp;apos;Vard, 2013)&lt;/DisplayText&gt;&lt;record&gt;&lt;rec-number&gt;672&lt;/rec-number&gt;&lt;foreign-keys&gt;&lt;key app="EN" db-id="tfpv5staxsvs2nexzpp5taewzsvpx0er5fap"&gt;672&lt;/key&gt;&lt;/foreign-keys&gt;&lt;ref-type name="Report"&gt;27&lt;/ref-type&gt;&lt;contributors&gt;&lt;authors&gt;&lt;author&gt;Allen, Peter&lt;/author&gt;&lt;author&gt;A&amp;apos;Vard, Daniel&lt;/author&gt;&lt;/authors&gt;&lt;/contributors&gt;&lt;titles&gt;&lt;title&gt;Assessment of recycling infrastructure&lt;/title&gt;&lt;/titles&gt;&lt;dates&gt;&lt;year&gt;2013&lt;/year&gt;&lt;/dates&gt;&lt;pub-location&gt;North Melbourne&lt;/pub-location&gt;&lt;publisher&gt;Sustainable Resource Use Pty Ltd&lt;/publisher&gt;&lt;urls&gt;&lt;/urls&gt;&lt;/record&gt;&lt;/Cite&gt;&lt;/EndNote&gt;</w:instrText>
      </w:r>
      <w:r>
        <w:rPr>
          <w:lang w:eastAsia="x-none"/>
        </w:rPr>
        <w:fldChar w:fldCharType="separate"/>
      </w:r>
      <w:r w:rsidR="00F40CE2">
        <w:rPr>
          <w:noProof/>
          <w:lang w:eastAsia="x-none"/>
        </w:rPr>
        <w:t>(</w:t>
      </w:r>
      <w:hyperlink w:anchor="_ENREF_7" w:tooltip="Allen, 2013 #672" w:history="1">
        <w:r w:rsidR="00F40CE2">
          <w:rPr>
            <w:noProof/>
            <w:lang w:eastAsia="x-none"/>
          </w:rPr>
          <w:t>Allen and A'Vard, 2013</w:t>
        </w:r>
      </w:hyperlink>
      <w:r w:rsidR="00F40CE2">
        <w:rPr>
          <w:noProof/>
          <w:lang w:eastAsia="x-none"/>
        </w:rPr>
        <w:t>)</w:t>
      </w:r>
      <w:r>
        <w:rPr>
          <w:lang w:eastAsia="x-none"/>
        </w:rPr>
        <w:fldChar w:fldCharType="end"/>
      </w:r>
      <w:r w:rsidR="00D57F82">
        <w:rPr>
          <w:lang w:eastAsia="x-none"/>
        </w:rPr>
        <w:t>; a</w:t>
      </w:r>
      <w:r>
        <w:rPr>
          <w:lang w:eastAsia="x-none"/>
        </w:rPr>
        <w:t xml:space="preserve"> 17% increase from the 2011-12 consumption figure of 52,900 </w:t>
      </w:r>
      <w:r w:rsidR="00E82F90">
        <w:rPr>
          <w:lang w:eastAsia="x-none"/>
        </w:rPr>
        <w:t>t</w:t>
      </w:r>
      <w:r>
        <w:rPr>
          <w:lang w:eastAsia="x-none"/>
        </w:rPr>
        <w:t>. The justification for the SRU estimate was not provided and is therefore uncertain.</w:t>
      </w:r>
    </w:p>
    <w:p w14:paraId="2704C2D2" w14:textId="4F45C9D4" w:rsidR="00C257D1" w:rsidRDefault="00C257D1" w:rsidP="00C257D1">
      <w:pPr>
        <w:rPr>
          <w:lang w:eastAsia="x-none"/>
        </w:rPr>
      </w:pPr>
      <w:r>
        <w:rPr>
          <w:lang w:eastAsia="x-none"/>
        </w:rPr>
        <w:t xml:space="preserve">The majority (67%) of the exported aluminium is reprocessed in South Korea. No publically available statistics were available on historical or projected aluminium can consumption for South Korea. Although no formal trends could be forecast, recent investment in can recycling and production infrastructure in South Korea </w:t>
      </w:r>
      <w:r>
        <w:rPr>
          <w:lang w:eastAsia="x-none"/>
        </w:rPr>
        <w:fldChar w:fldCharType="begin"/>
      </w:r>
      <w:r w:rsidR="00F40CE2">
        <w:rPr>
          <w:lang w:eastAsia="x-none"/>
        </w:rPr>
        <w:instrText xml:space="preserve"> ADDIN EN.CITE &lt;EndNote&gt;&lt;Cite&gt;&lt;Author&gt;RecyclingToday&lt;/Author&gt;&lt;Year&gt;2012&lt;/Year&gt;&lt;RecNum&gt;673&lt;/RecNum&gt;&lt;DisplayText&gt;(RecyclingToday, 2012)&lt;/DisplayText&gt;&lt;record&gt;&lt;rec-number&gt;673&lt;/rec-number&gt;&lt;foreign-keys&gt;&lt;key app="EN" db-id="tfpv5staxsvs2nexzpp5taewzsvpx0er5fap"&gt;673&lt;/key&gt;&lt;/foreign-keys&gt;&lt;ref-type name="Electronic Article"&gt;43&lt;/ref-type&gt;&lt;contributors&gt;&lt;authors&gt;&lt;author&gt;RecyclingToday&lt;/author&gt;&lt;/authors&gt;&lt;/contributors&gt;&lt;titles&gt;&lt;title&gt;Novelis Opens UBC Recycling Plant in South Korea&lt;/title&gt;&lt;/titles&gt;&lt;dates&gt;&lt;year&gt;2012&lt;/year&gt;&lt;pub-dates&gt;&lt;date&gt;23/05/2013&lt;/date&gt;&lt;/pub-dates&gt;&lt;/dates&gt;&lt;urls&gt;&lt;related-urls&gt;&lt;url&gt;http://www.recyclingtoday.com/novelis-ubc-recycling-south-korea.aspx&lt;/url&gt;&lt;/related-urls&gt;&lt;/urls&gt;&lt;/record&gt;&lt;/Cite&gt;&lt;/EndNote&gt;</w:instrText>
      </w:r>
      <w:r>
        <w:rPr>
          <w:lang w:eastAsia="x-none"/>
        </w:rPr>
        <w:fldChar w:fldCharType="separate"/>
      </w:r>
      <w:r w:rsidR="00F40CE2">
        <w:rPr>
          <w:noProof/>
          <w:lang w:eastAsia="x-none"/>
        </w:rPr>
        <w:t>(</w:t>
      </w:r>
      <w:hyperlink w:anchor="_ENREF_67" w:tooltip="RecyclingToday, 2012 #673" w:history="1">
        <w:r w:rsidR="00F40CE2">
          <w:rPr>
            <w:noProof/>
            <w:lang w:eastAsia="x-none"/>
          </w:rPr>
          <w:t>RecyclingToday, 2012</w:t>
        </w:r>
      </w:hyperlink>
      <w:r w:rsidR="00F40CE2">
        <w:rPr>
          <w:noProof/>
          <w:lang w:eastAsia="x-none"/>
        </w:rPr>
        <w:t>)</w:t>
      </w:r>
      <w:r>
        <w:rPr>
          <w:lang w:eastAsia="x-none"/>
        </w:rPr>
        <w:fldChar w:fldCharType="end"/>
      </w:r>
      <w:r>
        <w:rPr>
          <w:lang w:eastAsia="x-none"/>
        </w:rPr>
        <w:t xml:space="preserve"> suggests </w:t>
      </w:r>
      <w:r w:rsidR="00D57F82">
        <w:rPr>
          <w:lang w:eastAsia="x-none"/>
        </w:rPr>
        <w:t xml:space="preserve">growing </w:t>
      </w:r>
      <w:r>
        <w:rPr>
          <w:lang w:eastAsia="x-none"/>
        </w:rPr>
        <w:t>demand for aluminium cans.</w:t>
      </w:r>
    </w:p>
    <w:p w14:paraId="7CB2C59B" w14:textId="113A4BC0" w:rsidR="00C257D1" w:rsidRDefault="00C257D1" w:rsidP="00C257D1">
      <w:pPr>
        <w:rPr>
          <w:lang w:eastAsia="x-none"/>
        </w:rPr>
      </w:pPr>
      <w:r>
        <w:rPr>
          <w:lang w:eastAsia="x-none"/>
        </w:rPr>
        <w:t xml:space="preserve">Primary (smelted) aluminium is not currently produced in South Korea </w:t>
      </w:r>
      <w:r>
        <w:rPr>
          <w:lang w:eastAsia="x-none"/>
        </w:rPr>
        <w:fldChar w:fldCharType="begin"/>
      </w:r>
      <w:r w:rsidR="00F40CE2">
        <w:rPr>
          <w:lang w:eastAsia="x-none"/>
        </w:rPr>
        <w:instrText xml:space="preserve"> ADDIN EN.CITE &lt;EndNote&gt;&lt;Cite&gt;&lt;Author&gt;Shi&lt;/Author&gt;&lt;Year&gt;2013&lt;/Year&gt;&lt;RecNum&gt;674&lt;/RecNum&gt;&lt;DisplayText&gt;(Shi, 2013)&lt;/DisplayText&gt;&lt;record&gt;&lt;rec-number&gt;674&lt;/rec-number&gt;&lt;foreign-keys&gt;&lt;key app="EN" db-id="tfpv5staxsvs2nexzpp5taewzsvpx0er5fap"&gt;674&lt;/key&gt;&lt;/foreign-keys&gt;&lt;ref-type name="Report"&gt;27&lt;/ref-type&gt;&lt;contributors&gt;&lt;authors&gt;&lt;author&gt;Shi, Lin&lt;/author&gt;&lt;/authors&gt;&lt;secondary-authors&gt;&lt;author&gt;U.S. Geolocical Survey&lt;/author&gt;&lt;/secondary-authors&gt;&lt;/contributors&gt;&lt;titles&gt;&lt;title&gt;The Mineral Industry of the Republic of Korea&lt;/title&gt;&lt;secondary-title&gt;2011 Minerals Yearbook. Republic of Korea (Advance Release)&lt;/secondary-title&gt;&lt;/titles&gt;&lt;dates&gt;&lt;year&gt;2013&lt;/year&gt;&lt;/dates&gt;&lt;publisher&gt;U.S. Department of the Interior&lt;/publisher&gt;&lt;urls&gt;&lt;/urls&gt;&lt;/record&gt;&lt;/Cite&gt;&lt;/EndNote&gt;</w:instrText>
      </w:r>
      <w:r>
        <w:rPr>
          <w:lang w:eastAsia="x-none"/>
        </w:rPr>
        <w:fldChar w:fldCharType="separate"/>
      </w:r>
      <w:r w:rsidR="00F40CE2">
        <w:rPr>
          <w:noProof/>
          <w:lang w:eastAsia="x-none"/>
        </w:rPr>
        <w:t>(</w:t>
      </w:r>
      <w:hyperlink w:anchor="_ENREF_69" w:tooltip="Shi, 2013 #674" w:history="1">
        <w:r w:rsidR="00F40CE2">
          <w:rPr>
            <w:noProof/>
            <w:lang w:eastAsia="x-none"/>
          </w:rPr>
          <w:t>Shi, 2013</w:t>
        </w:r>
      </w:hyperlink>
      <w:r w:rsidR="00F40CE2">
        <w:rPr>
          <w:noProof/>
          <w:lang w:eastAsia="x-none"/>
        </w:rPr>
        <w:t>)</w:t>
      </w:r>
      <w:r>
        <w:rPr>
          <w:lang w:eastAsia="x-none"/>
        </w:rPr>
        <w:fldChar w:fldCharType="end"/>
      </w:r>
      <w:r>
        <w:rPr>
          <w:lang w:eastAsia="x-none"/>
        </w:rPr>
        <w:t xml:space="preserve">; it relies entirely on imported aluminium. The largest imports of aluminium into South Korea is sourced from Australia, accounting for 23.4% (by mass) of imports in 2011 </w:t>
      </w:r>
      <w:r>
        <w:rPr>
          <w:lang w:eastAsia="x-none"/>
        </w:rPr>
        <w:fldChar w:fldCharType="begin"/>
      </w:r>
      <w:r w:rsidR="00F40CE2">
        <w:rPr>
          <w:lang w:eastAsia="x-none"/>
        </w:rPr>
        <w:instrText xml:space="preserve"> ADDIN EN.CITE &lt;EndNote&gt;&lt;Cite&gt;&lt;Author&gt;UN comtrade&lt;/Author&gt;&lt;Year&gt;2013&lt;/Year&gt;&lt;RecNum&gt;675&lt;/RecNum&gt;&lt;DisplayText&gt;(UN comtrade, 2013)&lt;/DisplayText&gt;&lt;record&gt;&lt;rec-number&gt;675&lt;/rec-number&gt;&lt;foreign-keys&gt;&lt;key app="EN" db-id="tfpv5staxsvs2nexzpp5taewzsvpx0er5fap"&gt;675&lt;/key&gt;&lt;/foreign-keys&gt;&lt;ref-type name="Dataset"&gt;59&lt;/ref-type&gt;&lt;contributors&gt;&lt;authors&gt;&lt;author&gt;UN comtrade,&lt;/author&gt;&lt;/authors&gt;&lt;secondary-authors&gt;&lt;author&gt;United Nations Statistics Division&lt;/author&gt;&lt;/secondary-authors&gt;&lt;/contributors&gt;&lt;titles&gt;&lt;title&gt;United Nations Commodity Trade Statistics Database&lt;/title&gt;&lt;/titles&gt;&lt;dates&gt;&lt;year&gt;2013&lt;/year&gt;&lt;/dates&gt;&lt;pub-location&gt;New York&lt;/pub-location&gt;&lt;urls&gt;&lt;/urls&gt;&lt;/record&gt;&lt;/Cite&gt;&lt;/EndNote&gt;</w:instrText>
      </w:r>
      <w:r>
        <w:rPr>
          <w:lang w:eastAsia="x-none"/>
        </w:rPr>
        <w:fldChar w:fldCharType="separate"/>
      </w:r>
      <w:r w:rsidR="00F40CE2">
        <w:rPr>
          <w:noProof/>
          <w:lang w:eastAsia="x-none"/>
        </w:rPr>
        <w:t>(</w:t>
      </w:r>
      <w:hyperlink w:anchor="_ENREF_80" w:tooltip="UN comtrade, 2013 #675" w:history="1">
        <w:r w:rsidR="00F40CE2">
          <w:rPr>
            <w:noProof/>
            <w:lang w:eastAsia="x-none"/>
          </w:rPr>
          <w:t>UN comtrade, 2013</w:t>
        </w:r>
      </w:hyperlink>
      <w:r w:rsidR="00F40CE2">
        <w:rPr>
          <w:noProof/>
          <w:lang w:eastAsia="x-none"/>
        </w:rPr>
        <w:t>)</w:t>
      </w:r>
      <w:r>
        <w:rPr>
          <w:lang w:eastAsia="x-none"/>
        </w:rPr>
        <w:fldChar w:fldCharType="end"/>
      </w:r>
      <w:r>
        <w:rPr>
          <w:lang w:eastAsia="x-none"/>
        </w:rPr>
        <w:t>.</w:t>
      </w:r>
    </w:p>
    <w:p w14:paraId="7153CAE9" w14:textId="77777777" w:rsidR="00C257D1" w:rsidRDefault="00C257D1" w:rsidP="0036663C">
      <w:pPr>
        <w:pStyle w:val="Heading4"/>
      </w:pPr>
      <w:r>
        <w:lastRenderedPageBreak/>
        <w:t>Steel</w:t>
      </w:r>
    </w:p>
    <w:p w14:paraId="369C335F" w14:textId="44C7BB67" w:rsidR="00C257D1" w:rsidRDefault="00C257D1" w:rsidP="00C257D1">
      <w:pPr>
        <w:rPr>
          <w:lang w:eastAsia="x-none"/>
        </w:rPr>
      </w:pPr>
      <w:r>
        <w:rPr>
          <w:lang w:eastAsia="x-none"/>
        </w:rPr>
        <w:t xml:space="preserve">Steel recovered from steel cans is typically reprocessed in electric-arc furnaces (EAFs), where scrap steel is “charged” with virgin iron or steel. The steel produced from EAFs are used for a variety of applications, including structural steel, sheet and piping products. The alternative process to produce steel is via the </w:t>
      </w:r>
      <w:r w:rsidR="009B703B">
        <w:rPr>
          <w:lang w:eastAsia="x-none"/>
        </w:rPr>
        <w:t>blast furnace basic oxygen steelmaking</w:t>
      </w:r>
      <w:r>
        <w:rPr>
          <w:lang w:eastAsia="x-none"/>
        </w:rPr>
        <w:t xml:space="preserve"> </w:t>
      </w:r>
      <w:r w:rsidR="009B703B">
        <w:rPr>
          <w:lang w:eastAsia="x-none"/>
        </w:rPr>
        <w:t xml:space="preserve">process </w:t>
      </w:r>
      <w:r>
        <w:rPr>
          <w:lang w:eastAsia="x-none"/>
        </w:rPr>
        <w:t>(</w:t>
      </w:r>
      <w:r w:rsidR="009B703B">
        <w:rPr>
          <w:lang w:eastAsia="x-none"/>
        </w:rPr>
        <w:t>BF-BOS</w:t>
      </w:r>
      <w:r>
        <w:rPr>
          <w:lang w:eastAsia="x-none"/>
        </w:rPr>
        <w:t>)</w:t>
      </w:r>
      <w:r w:rsidR="009B703B">
        <w:rPr>
          <w:lang w:eastAsia="x-none"/>
        </w:rPr>
        <w:t xml:space="preserve">. </w:t>
      </w:r>
    </w:p>
    <w:p w14:paraId="216B9E8D" w14:textId="247661FB" w:rsidR="00C257D1" w:rsidRDefault="00C257D1" w:rsidP="00C257D1">
      <w:pPr>
        <w:rPr>
          <w:lang w:eastAsia="x-none"/>
        </w:rPr>
      </w:pPr>
      <w:r>
        <w:rPr>
          <w:lang w:eastAsia="x-none"/>
        </w:rPr>
        <w:t xml:space="preserve">In Australia, the steel can (for food and beverage) sector accounts for 65.2% of revenue for the metal drum, can and bin industry. Revenue outlook for the metal drum, can and bin industry is low and contracting, </w:t>
      </w:r>
      <w:r w:rsidR="0036663C">
        <w:fldChar w:fldCharType="begin"/>
      </w:r>
      <w:r w:rsidR="0036663C">
        <w:rPr>
          <w:lang w:eastAsia="x-none"/>
        </w:rPr>
        <w:instrText xml:space="preserve"> REF _Ref360577098 \h </w:instrText>
      </w:r>
      <w:r w:rsidR="0036663C">
        <w:fldChar w:fldCharType="separate"/>
      </w:r>
      <w:r w:rsidR="00564E5C">
        <w:t xml:space="preserve">Table </w:t>
      </w:r>
      <w:r w:rsidR="00564E5C">
        <w:rPr>
          <w:noProof/>
        </w:rPr>
        <w:t>51</w:t>
      </w:r>
      <w:r w:rsidR="0036663C">
        <w:fldChar w:fldCharType="end"/>
      </w:r>
      <w:r w:rsidR="0036663C">
        <w:t xml:space="preserve"> </w:t>
      </w:r>
      <w:r>
        <w:rPr>
          <w:lang w:eastAsia="x-none"/>
        </w:rPr>
        <w:fldChar w:fldCharType="begin"/>
      </w:r>
      <w:r w:rsidR="00F40CE2">
        <w:rPr>
          <w:lang w:eastAsia="x-none"/>
        </w:rPr>
        <w:instrText xml:space="preserve"> ADDIN EN.CITE &lt;EndNote&gt;&lt;Cite&gt;&lt;Author&gt;Sivasailam&lt;/Author&gt;&lt;Year&gt;2012&lt;/Year&gt;&lt;RecNum&gt;676&lt;/RecNum&gt;&lt;DisplayText&gt;(Sivasailam, 2012)&lt;/DisplayText&gt;&lt;record&gt;&lt;rec-number&gt;676&lt;/rec-number&gt;&lt;foreign-keys&gt;&lt;key app="EN" db-id="tfpv5staxsvs2nexzpp5taewzsvpx0er5fap"&gt;676&lt;/key&gt;&lt;/foreign-keys&gt;&lt;ref-type name="Report"&gt;27&lt;/ref-type&gt;&lt;contributors&gt;&lt;authors&gt;&lt;author&gt;Sivasailam, Naren&lt;/author&gt;&lt;/authors&gt;&lt;/contributors&gt;&lt;titles&gt;&lt;title&gt;IBISWorld Industry Report C2239. Metal Drum, Can and Bin Manufacturing in Australia&lt;/title&gt;&lt;/titles&gt;&lt;dates&gt;&lt;year&gt;2012&lt;/year&gt;&lt;/dates&gt;&lt;publisher&gt;IBISWorld Pty Ltd.&lt;/publisher&gt;&lt;urls&gt;&lt;/urls&gt;&lt;/record&gt;&lt;/Cite&gt;&lt;/EndNote&gt;</w:instrText>
      </w:r>
      <w:r>
        <w:rPr>
          <w:lang w:eastAsia="x-none"/>
        </w:rPr>
        <w:fldChar w:fldCharType="separate"/>
      </w:r>
      <w:r w:rsidR="00F40CE2">
        <w:rPr>
          <w:noProof/>
          <w:lang w:eastAsia="x-none"/>
        </w:rPr>
        <w:t>(</w:t>
      </w:r>
      <w:hyperlink w:anchor="_ENREF_70" w:tooltip="Sivasailam, 2012 #676" w:history="1">
        <w:r w:rsidR="00F40CE2">
          <w:rPr>
            <w:noProof/>
            <w:lang w:eastAsia="x-none"/>
          </w:rPr>
          <w:t>Sivasailam, 2012</w:t>
        </w:r>
      </w:hyperlink>
      <w:r w:rsidR="00F40CE2">
        <w:rPr>
          <w:noProof/>
          <w:lang w:eastAsia="x-none"/>
        </w:rPr>
        <w:t>)</w:t>
      </w:r>
      <w:r>
        <w:rPr>
          <w:lang w:eastAsia="x-none"/>
        </w:rPr>
        <w:fldChar w:fldCharType="end"/>
      </w:r>
      <w:r>
        <w:rPr>
          <w:lang w:eastAsia="x-none"/>
        </w:rPr>
        <w:t xml:space="preserve">. Similarly, for the broader iron and steel manufacturing sector in Australia, revenue is expected to contract after 2014-15, </w:t>
      </w:r>
      <w:r w:rsidR="0036663C">
        <w:fldChar w:fldCharType="begin"/>
      </w:r>
      <w:r w:rsidR="0036663C">
        <w:rPr>
          <w:lang w:eastAsia="x-none"/>
        </w:rPr>
        <w:instrText xml:space="preserve"> REF _Ref360577139 \h </w:instrText>
      </w:r>
      <w:r w:rsidR="0036663C">
        <w:fldChar w:fldCharType="separate"/>
      </w:r>
      <w:r w:rsidR="00564E5C">
        <w:t xml:space="preserve">Table </w:t>
      </w:r>
      <w:r w:rsidR="00564E5C">
        <w:rPr>
          <w:noProof/>
        </w:rPr>
        <w:t>52</w:t>
      </w:r>
      <w:r w:rsidR="0036663C">
        <w:fldChar w:fldCharType="end"/>
      </w:r>
      <w:r w:rsidR="0036663C">
        <w:t xml:space="preserve"> </w:t>
      </w:r>
      <w:r>
        <w:rPr>
          <w:lang w:eastAsia="x-none"/>
        </w:rPr>
        <w:fldChar w:fldCharType="begin"/>
      </w:r>
      <w:r w:rsidR="00F40CE2">
        <w:rPr>
          <w:lang w:eastAsia="x-none"/>
        </w:rPr>
        <w:instrText xml:space="preserve"> ADDIN EN.CITE &lt;EndNote&gt;&lt;Cite&gt;&lt;Author&gt;Willanto&lt;/Author&gt;&lt;Year&gt;2012&lt;/Year&gt;&lt;RecNum&gt;677&lt;/RecNum&gt;&lt;DisplayText&gt;(Willanto, 2012)&lt;/DisplayText&gt;&lt;record&gt;&lt;rec-number&gt;677&lt;/rec-number&gt;&lt;foreign-keys&gt;&lt;key app="EN" db-id="tfpv5staxsvs2nexzpp5taewzsvpx0er5fap"&gt;677&lt;/key&gt;&lt;/foreign-keys&gt;&lt;ref-type name="Report"&gt;27&lt;/ref-type&gt;&lt;contributors&gt;&lt;authors&gt;&lt;author&gt;Willanto, Ricky&lt;/author&gt;&lt;/authors&gt;&lt;/contributors&gt;&lt;titles&gt;&lt;title&gt;IBISWorld Industry Report C2110. Iron Smelting and Steel Manufacturing in Australia&lt;/title&gt;&lt;/titles&gt;&lt;dates&gt;&lt;year&gt;2012&lt;/year&gt;&lt;/dates&gt;&lt;publisher&gt;IBISWorld Pty Ltd.&lt;/publisher&gt;&lt;urls&gt;&lt;/urls&gt;&lt;/record&gt;&lt;/Cite&gt;&lt;/EndNote&gt;</w:instrText>
      </w:r>
      <w:r>
        <w:rPr>
          <w:lang w:eastAsia="x-none"/>
        </w:rPr>
        <w:fldChar w:fldCharType="separate"/>
      </w:r>
      <w:r w:rsidR="00F40CE2">
        <w:rPr>
          <w:noProof/>
          <w:lang w:eastAsia="x-none"/>
        </w:rPr>
        <w:t>(</w:t>
      </w:r>
      <w:hyperlink w:anchor="_ENREF_86" w:tooltip="Willanto, 2012 #677" w:history="1">
        <w:r w:rsidR="00F40CE2">
          <w:rPr>
            <w:noProof/>
            <w:lang w:eastAsia="x-none"/>
          </w:rPr>
          <w:t>Willanto, 2012</w:t>
        </w:r>
      </w:hyperlink>
      <w:r w:rsidR="00F40CE2">
        <w:rPr>
          <w:noProof/>
          <w:lang w:eastAsia="x-none"/>
        </w:rPr>
        <w:t>)</w:t>
      </w:r>
      <w:r>
        <w:rPr>
          <w:lang w:eastAsia="x-none"/>
        </w:rPr>
        <w:fldChar w:fldCharType="end"/>
      </w:r>
      <w:r>
        <w:rPr>
          <w:lang w:eastAsia="x-none"/>
        </w:rPr>
        <w:t>.</w:t>
      </w:r>
    </w:p>
    <w:p w14:paraId="16B5B583" w14:textId="5F22391E" w:rsidR="0036663C" w:rsidRDefault="0036663C" w:rsidP="0036663C">
      <w:pPr>
        <w:pStyle w:val="Caption"/>
        <w:keepNext/>
      </w:pPr>
      <w:bookmarkStart w:id="242" w:name="_Ref360577098"/>
      <w:r>
        <w:t xml:space="preserve">Table </w:t>
      </w:r>
      <w:r w:rsidR="00FC7DE2">
        <w:fldChar w:fldCharType="begin"/>
      </w:r>
      <w:r w:rsidR="00FC7DE2">
        <w:instrText xml:space="preserve"> SEQ Table \* ARABIC </w:instrText>
      </w:r>
      <w:r w:rsidR="00FC7DE2">
        <w:fldChar w:fldCharType="separate"/>
      </w:r>
      <w:r w:rsidR="00564E5C">
        <w:rPr>
          <w:noProof/>
        </w:rPr>
        <w:t>51</w:t>
      </w:r>
      <w:r w:rsidR="00FC7DE2">
        <w:rPr>
          <w:noProof/>
        </w:rPr>
        <w:fldChar w:fldCharType="end"/>
      </w:r>
      <w:bookmarkEnd w:id="242"/>
      <w:r>
        <w:rPr>
          <w:lang w:val="en-AU"/>
        </w:rPr>
        <w:t xml:space="preserve"> </w:t>
      </w:r>
      <w:r w:rsidRPr="009D6AE2">
        <w:rPr>
          <w:lang w:val="en-AU"/>
        </w:rPr>
        <w:t>Projected revenue for metal drum, ca</w:t>
      </w:r>
      <w:r>
        <w:rPr>
          <w:lang w:val="en-AU"/>
        </w:rPr>
        <w:t xml:space="preserve">n and bin industry in Australia </w:t>
      </w:r>
      <w:r w:rsidRPr="009D6AE2">
        <w:rPr>
          <w:lang w:val="en-AU"/>
        </w:rPr>
        <w:t>(Sivasailam, 2012)</w:t>
      </w:r>
      <w:r>
        <w:rPr>
          <w:lang w:val="en-AU"/>
        </w:rPr>
        <w:t>.</w:t>
      </w:r>
    </w:p>
    <w:tbl>
      <w:tblPr>
        <w:tblStyle w:val="TableGrid"/>
        <w:tblW w:w="0" w:type="auto"/>
        <w:tblLook w:val="04A0" w:firstRow="1" w:lastRow="0" w:firstColumn="1" w:lastColumn="0" w:noHBand="0" w:noVBand="1"/>
      </w:tblPr>
      <w:tblGrid>
        <w:gridCol w:w="1717"/>
        <w:gridCol w:w="1195"/>
        <w:gridCol w:w="1217"/>
      </w:tblGrid>
      <w:tr w:rsidR="00C257D1" w14:paraId="083C8882" w14:textId="77777777" w:rsidTr="00C257D1">
        <w:tc>
          <w:tcPr>
            <w:tcW w:w="1717" w:type="dxa"/>
            <w:shd w:val="clear" w:color="auto" w:fill="D9D9D9" w:themeFill="background1" w:themeFillShade="D9"/>
            <w:vAlign w:val="center"/>
          </w:tcPr>
          <w:p w14:paraId="130B28CB" w14:textId="77777777" w:rsidR="00C257D1" w:rsidRDefault="00C257D1" w:rsidP="00C257D1">
            <w:pPr>
              <w:spacing w:after="0"/>
              <w:jc w:val="center"/>
              <w:rPr>
                <w:lang w:eastAsia="x-none"/>
              </w:rPr>
            </w:pPr>
            <w:r>
              <w:rPr>
                <w:lang w:eastAsia="x-none"/>
              </w:rPr>
              <w:t>Year</w:t>
            </w:r>
          </w:p>
        </w:tc>
        <w:tc>
          <w:tcPr>
            <w:tcW w:w="1195" w:type="dxa"/>
            <w:shd w:val="clear" w:color="auto" w:fill="D9D9D9" w:themeFill="background1" w:themeFillShade="D9"/>
            <w:vAlign w:val="center"/>
          </w:tcPr>
          <w:p w14:paraId="2E28A19B" w14:textId="77777777" w:rsidR="00C257D1" w:rsidRDefault="00C257D1" w:rsidP="00C257D1">
            <w:pPr>
              <w:spacing w:after="0"/>
              <w:jc w:val="center"/>
              <w:rPr>
                <w:lang w:eastAsia="x-none"/>
              </w:rPr>
            </w:pPr>
            <w:r>
              <w:rPr>
                <w:lang w:eastAsia="x-none"/>
              </w:rPr>
              <w:t>Projected Revenue</w:t>
            </w:r>
          </w:p>
          <w:p w14:paraId="67CC7114" w14:textId="77777777" w:rsidR="00C257D1" w:rsidRDefault="00C257D1" w:rsidP="00C257D1">
            <w:pPr>
              <w:spacing w:after="0"/>
              <w:jc w:val="center"/>
              <w:rPr>
                <w:lang w:eastAsia="x-none"/>
              </w:rPr>
            </w:pPr>
            <w:r>
              <w:rPr>
                <w:lang w:eastAsia="x-none"/>
              </w:rPr>
              <w:t>($ million)</w:t>
            </w:r>
          </w:p>
        </w:tc>
        <w:tc>
          <w:tcPr>
            <w:tcW w:w="1217" w:type="dxa"/>
            <w:shd w:val="clear" w:color="auto" w:fill="D9D9D9" w:themeFill="background1" w:themeFillShade="D9"/>
            <w:vAlign w:val="center"/>
          </w:tcPr>
          <w:p w14:paraId="291AE7D4" w14:textId="77777777" w:rsidR="00C257D1" w:rsidRDefault="00C257D1" w:rsidP="00C257D1">
            <w:pPr>
              <w:spacing w:after="0"/>
              <w:jc w:val="center"/>
              <w:rPr>
                <w:lang w:eastAsia="x-none"/>
              </w:rPr>
            </w:pPr>
            <w:r>
              <w:rPr>
                <w:lang w:eastAsia="x-none"/>
              </w:rPr>
              <w:t>% change</w:t>
            </w:r>
          </w:p>
        </w:tc>
      </w:tr>
      <w:tr w:rsidR="00C257D1" w14:paraId="6EC8D2D9" w14:textId="77777777" w:rsidTr="00C257D1">
        <w:tc>
          <w:tcPr>
            <w:tcW w:w="1717" w:type="dxa"/>
          </w:tcPr>
          <w:p w14:paraId="154DAA90" w14:textId="77777777" w:rsidR="00C257D1" w:rsidRDefault="00C257D1" w:rsidP="00C257D1">
            <w:pPr>
              <w:spacing w:after="0"/>
              <w:jc w:val="center"/>
              <w:rPr>
                <w:lang w:eastAsia="x-none"/>
              </w:rPr>
            </w:pPr>
            <w:r>
              <w:rPr>
                <w:lang w:eastAsia="x-none"/>
              </w:rPr>
              <w:t>2013-14</w:t>
            </w:r>
          </w:p>
        </w:tc>
        <w:tc>
          <w:tcPr>
            <w:tcW w:w="1195" w:type="dxa"/>
          </w:tcPr>
          <w:p w14:paraId="5F9506CA" w14:textId="77777777" w:rsidR="00C257D1" w:rsidRDefault="00C257D1" w:rsidP="00C257D1">
            <w:pPr>
              <w:spacing w:after="0"/>
              <w:jc w:val="center"/>
              <w:rPr>
                <w:lang w:eastAsia="x-none"/>
              </w:rPr>
            </w:pPr>
            <w:r>
              <w:rPr>
                <w:lang w:eastAsia="x-none"/>
              </w:rPr>
              <w:t>1,155.3</w:t>
            </w:r>
          </w:p>
        </w:tc>
        <w:tc>
          <w:tcPr>
            <w:tcW w:w="1217" w:type="dxa"/>
          </w:tcPr>
          <w:p w14:paraId="7332613A" w14:textId="77777777" w:rsidR="00C257D1" w:rsidRDefault="00C257D1" w:rsidP="00C257D1">
            <w:pPr>
              <w:spacing w:after="0"/>
              <w:jc w:val="center"/>
              <w:rPr>
                <w:lang w:eastAsia="x-none"/>
              </w:rPr>
            </w:pPr>
            <w:r>
              <w:rPr>
                <w:lang w:eastAsia="x-none"/>
              </w:rPr>
              <w:t>-3.2</w:t>
            </w:r>
          </w:p>
        </w:tc>
      </w:tr>
      <w:tr w:rsidR="00C257D1" w14:paraId="5D9BD0E3" w14:textId="77777777" w:rsidTr="00C257D1">
        <w:tc>
          <w:tcPr>
            <w:tcW w:w="1717" w:type="dxa"/>
          </w:tcPr>
          <w:p w14:paraId="294DB483" w14:textId="77777777" w:rsidR="00C257D1" w:rsidRDefault="00C257D1" w:rsidP="00C257D1">
            <w:pPr>
              <w:spacing w:after="0"/>
              <w:jc w:val="center"/>
              <w:rPr>
                <w:lang w:eastAsia="x-none"/>
              </w:rPr>
            </w:pPr>
            <w:r>
              <w:rPr>
                <w:lang w:eastAsia="x-none"/>
              </w:rPr>
              <w:t>2014-15</w:t>
            </w:r>
          </w:p>
        </w:tc>
        <w:tc>
          <w:tcPr>
            <w:tcW w:w="1195" w:type="dxa"/>
          </w:tcPr>
          <w:p w14:paraId="2512CBCD" w14:textId="77777777" w:rsidR="00C257D1" w:rsidRDefault="00C257D1" w:rsidP="00C257D1">
            <w:pPr>
              <w:spacing w:after="0"/>
              <w:jc w:val="center"/>
              <w:rPr>
                <w:lang w:eastAsia="x-none"/>
              </w:rPr>
            </w:pPr>
            <w:r>
              <w:rPr>
                <w:lang w:eastAsia="x-none"/>
              </w:rPr>
              <w:t>1,127.6</w:t>
            </w:r>
          </w:p>
        </w:tc>
        <w:tc>
          <w:tcPr>
            <w:tcW w:w="1217" w:type="dxa"/>
          </w:tcPr>
          <w:p w14:paraId="5D213284" w14:textId="77777777" w:rsidR="00C257D1" w:rsidRDefault="00C257D1" w:rsidP="00C257D1">
            <w:pPr>
              <w:spacing w:after="0"/>
              <w:jc w:val="center"/>
              <w:rPr>
                <w:lang w:eastAsia="x-none"/>
              </w:rPr>
            </w:pPr>
            <w:r>
              <w:rPr>
                <w:lang w:eastAsia="x-none"/>
              </w:rPr>
              <w:t>-2.4</w:t>
            </w:r>
          </w:p>
        </w:tc>
      </w:tr>
      <w:tr w:rsidR="00C257D1" w14:paraId="651D9185" w14:textId="77777777" w:rsidTr="00C257D1">
        <w:tc>
          <w:tcPr>
            <w:tcW w:w="1717" w:type="dxa"/>
          </w:tcPr>
          <w:p w14:paraId="3DA973A0" w14:textId="77777777" w:rsidR="00C257D1" w:rsidRDefault="00C257D1" w:rsidP="00C257D1">
            <w:pPr>
              <w:spacing w:after="0"/>
              <w:jc w:val="center"/>
              <w:rPr>
                <w:lang w:eastAsia="x-none"/>
              </w:rPr>
            </w:pPr>
            <w:r>
              <w:rPr>
                <w:lang w:eastAsia="x-none"/>
              </w:rPr>
              <w:t>2015-16</w:t>
            </w:r>
          </w:p>
        </w:tc>
        <w:tc>
          <w:tcPr>
            <w:tcW w:w="1195" w:type="dxa"/>
          </w:tcPr>
          <w:p w14:paraId="28C58ED4" w14:textId="77777777" w:rsidR="00C257D1" w:rsidRDefault="00C257D1" w:rsidP="00C257D1">
            <w:pPr>
              <w:spacing w:after="0"/>
              <w:jc w:val="center"/>
              <w:rPr>
                <w:lang w:eastAsia="x-none"/>
              </w:rPr>
            </w:pPr>
            <w:r>
              <w:rPr>
                <w:lang w:eastAsia="x-none"/>
              </w:rPr>
              <w:t>1,107.3</w:t>
            </w:r>
          </w:p>
        </w:tc>
        <w:tc>
          <w:tcPr>
            <w:tcW w:w="1217" w:type="dxa"/>
          </w:tcPr>
          <w:p w14:paraId="3E051C5B" w14:textId="77777777" w:rsidR="00C257D1" w:rsidRDefault="00C257D1" w:rsidP="00C257D1">
            <w:pPr>
              <w:spacing w:after="0"/>
              <w:jc w:val="center"/>
              <w:rPr>
                <w:lang w:eastAsia="x-none"/>
              </w:rPr>
            </w:pPr>
            <w:r>
              <w:rPr>
                <w:lang w:eastAsia="x-none"/>
              </w:rPr>
              <w:t>-1.8</w:t>
            </w:r>
          </w:p>
        </w:tc>
      </w:tr>
      <w:tr w:rsidR="00C257D1" w14:paraId="28394159" w14:textId="77777777" w:rsidTr="00C257D1">
        <w:tc>
          <w:tcPr>
            <w:tcW w:w="1717" w:type="dxa"/>
          </w:tcPr>
          <w:p w14:paraId="3A647994" w14:textId="77777777" w:rsidR="00C257D1" w:rsidRDefault="00C257D1" w:rsidP="00C257D1">
            <w:pPr>
              <w:spacing w:after="0"/>
              <w:jc w:val="center"/>
              <w:rPr>
                <w:lang w:eastAsia="x-none"/>
              </w:rPr>
            </w:pPr>
            <w:r>
              <w:rPr>
                <w:lang w:eastAsia="x-none"/>
              </w:rPr>
              <w:t>2016-17</w:t>
            </w:r>
          </w:p>
        </w:tc>
        <w:tc>
          <w:tcPr>
            <w:tcW w:w="1195" w:type="dxa"/>
          </w:tcPr>
          <w:p w14:paraId="3B98E993" w14:textId="77777777" w:rsidR="00C257D1" w:rsidRDefault="00C257D1" w:rsidP="00C257D1">
            <w:pPr>
              <w:spacing w:after="0"/>
              <w:jc w:val="center"/>
              <w:rPr>
                <w:lang w:eastAsia="x-none"/>
              </w:rPr>
            </w:pPr>
            <w:r>
              <w:rPr>
                <w:lang w:eastAsia="x-none"/>
              </w:rPr>
              <w:t>1,098.5</w:t>
            </w:r>
          </w:p>
        </w:tc>
        <w:tc>
          <w:tcPr>
            <w:tcW w:w="1217" w:type="dxa"/>
          </w:tcPr>
          <w:p w14:paraId="744578D4" w14:textId="77777777" w:rsidR="00C257D1" w:rsidRDefault="00C257D1" w:rsidP="00C257D1">
            <w:pPr>
              <w:spacing w:after="0"/>
              <w:jc w:val="center"/>
              <w:rPr>
                <w:lang w:eastAsia="x-none"/>
              </w:rPr>
            </w:pPr>
            <w:r>
              <w:rPr>
                <w:lang w:eastAsia="x-none"/>
              </w:rPr>
              <w:t>-0.8</w:t>
            </w:r>
          </w:p>
        </w:tc>
      </w:tr>
      <w:tr w:rsidR="00C257D1" w14:paraId="703E4C5A" w14:textId="77777777" w:rsidTr="00C257D1">
        <w:tc>
          <w:tcPr>
            <w:tcW w:w="1717" w:type="dxa"/>
          </w:tcPr>
          <w:p w14:paraId="378CAF33" w14:textId="77777777" w:rsidR="00C257D1" w:rsidRDefault="00C257D1" w:rsidP="00C257D1">
            <w:pPr>
              <w:spacing w:after="0"/>
              <w:jc w:val="center"/>
              <w:rPr>
                <w:lang w:eastAsia="x-none"/>
              </w:rPr>
            </w:pPr>
            <w:r>
              <w:rPr>
                <w:lang w:eastAsia="x-none"/>
              </w:rPr>
              <w:t>2017-18</w:t>
            </w:r>
          </w:p>
        </w:tc>
        <w:tc>
          <w:tcPr>
            <w:tcW w:w="1195" w:type="dxa"/>
          </w:tcPr>
          <w:p w14:paraId="2B2A1663" w14:textId="77777777" w:rsidR="00C257D1" w:rsidRDefault="00C257D1" w:rsidP="00C257D1">
            <w:pPr>
              <w:spacing w:after="0"/>
              <w:jc w:val="center"/>
              <w:rPr>
                <w:lang w:eastAsia="x-none"/>
              </w:rPr>
            </w:pPr>
            <w:r>
              <w:rPr>
                <w:lang w:eastAsia="x-none"/>
              </w:rPr>
              <w:t>1,085.2</w:t>
            </w:r>
          </w:p>
        </w:tc>
        <w:tc>
          <w:tcPr>
            <w:tcW w:w="1217" w:type="dxa"/>
          </w:tcPr>
          <w:p w14:paraId="08A9AC29" w14:textId="77777777" w:rsidR="00C257D1" w:rsidRDefault="00C257D1" w:rsidP="00C257D1">
            <w:pPr>
              <w:spacing w:after="0"/>
              <w:jc w:val="center"/>
              <w:rPr>
                <w:lang w:eastAsia="x-none"/>
              </w:rPr>
            </w:pPr>
            <w:r>
              <w:rPr>
                <w:lang w:eastAsia="x-none"/>
              </w:rPr>
              <w:t>-1.2</w:t>
            </w:r>
          </w:p>
        </w:tc>
      </w:tr>
      <w:tr w:rsidR="00C257D1" w14:paraId="2395CEAB" w14:textId="77777777" w:rsidTr="00C257D1">
        <w:tc>
          <w:tcPr>
            <w:tcW w:w="1717" w:type="dxa"/>
          </w:tcPr>
          <w:p w14:paraId="21040006" w14:textId="77777777" w:rsidR="00C257D1" w:rsidRDefault="00C257D1" w:rsidP="00C257D1">
            <w:pPr>
              <w:spacing w:after="0"/>
              <w:jc w:val="center"/>
              <w:rPr>
                <w:lang w:eastAsia="x-none"/>
              </w:rPr>
            </w:pPr>
            <w:r>
              <w:rPr>
                <w:lang w:eastAsia="x-none"/>
              </w:rPr>
              <w:t>2018-19</w:t>
            </w:r>
          </w:p>
        </w:tc>
        <w:tc>
          <w:tcPr>
            <w:tcW w:w="1195" w:type="dxa"/>
          </w:tcPr>
          <w:p w14:paraId="3181AC3D" w14:textId="77777777" w:rsidR="00C257D1" w:rsidRDefault="00C257D1" w:rsidP="00C257D1">
            <w:pPr>
              <w:spacing w:after="0"/>
              <w:jc w:val="center"/>
              <w:rPr>
                <w:lang w:eastAsia="x-none"/>
              </w:rPr>
            </w:pPr>
            <w:r>
              <w:rPr>
                <w:lang w:eastAsia="x-none"/>
              </w:rPr>
              <w:t>1,069.0</w:t>
            </w:r>
          </w:p>
        </w:tc>
        <w:tc>
          <w:tcPr>
            <w:tcW w:w="1217" w:type="dxa"/>
          </w:tcPr>
          <w:p w14:paraId="56B973A1" w14:textId="77777777" w:rsidR="00C257D1" w:rsidRDefault="00C257D1" w:rsidP="00C257D1">
            <w:pPr>
              <w:spacing w:after="0"/>
              <w:jc w:val="center"/>
              <w:rPr>
                <w:lang w:eastAsia="x-none"/>
              </w:rPr>
            </w:pPr>
            <w:r>
              <w:rPr>
                <w:lang w:eastAsia="x-none"/>
              </w:rPr>
              <w:t>-1.5</w:t>
            </w:r>
          </w:p>
        </w:tc>
      </w:tr>
    </w:tbl>
    <w:p w14:paraId="64C5FC5D" w14:textId="4B7B094F" w:rsidR="00C257D1" w:rsidRPr="00A553CA" w:rsidRDefault="00C257D1" w:rsidP="00C257D1">
      <w:pPr>
        <w:pStyle w:val="Caption"/>
        <w:keepNext/>
        <w:rPr>
          <w:lang w:val="en-AU"/>
        </w:rPr>
      </w:pPr>
    </w:p>
    <w:p w14:paraId="0354619B" w14:textId="48517A5F" w:rsidR="0036663C" w:rsidRDefault="0036663C" w:rsidP="0036663C">
      <w:pPr>
        <w:pStyle w:val="Caption"/>
        <w:keepNext/>
      </w:pPr>
      <w:bookmarkStart w:id="243" w:name="_Ref360577139"/>
      <w:r>
        <w:t xml:space="preserve">Table </w:t>
      </w:r>
      <w:r w:rsidR="00FC7DE2">
        <w:fldChar w:fldCharType="begin"/>
      </w:r>
      <w:r w:rsidR="00FC7DE2">
        <w:instrText xml:space="preserve"> SEQ Table \* ARABIC </w:instrText>
      </w:r>
      <w:r w:rsidR="00FC7DE2">
        <w:fldChar w:fldCharType="separate"/>
      </w:r>
      <w:r w:rsidR="00564E5C">
        <w:rPr>
          <w:noProof/>
        </w:rPr>
        <w:t>52</w:t>
      </w:r>
      <w:r w:rsidR="00FC7DE2">
        <w:rPr>
          <w:noProof/>
        </w:rPr>
        <w:fldChar w:fldCharType="end"/>
      </w:r>
      <w:bookmarkEnd w:id="243"/>
      <w:r>
        <w:rPr>
          <w:lang w:val="en-AU"/>
        </w:rPr>
        <w:t xml:space="preserve"> </w:t>
      </w:r>
      <w:r w:rsidRPr="00206C97">
        <w:rPr>
          <w:lang w:val="en-AU"/>
        </w:rPr>
        <w:t>Iron smelting and s</w:t>
      </w:r>
      <w:r>
        <w:rPr>
          <w:lang w:val="en-AU"/>
        </w:rPr>
        <w:t xml:space="preserve">teel manufacturing in Australia </w:t>
      </w:r>
      <w:r w:rsidRPr="00206C97">
        <w:rPr>
          <w:lang w:val="en-AU"/>
        </w:rPr>
        <w:t>(Willanto, 2012)</w:t>
      </w:r>
      <w:r>
        <w:rPr>
          <w:lang w:val="en-AU"/>
        </w:rPr>
        <w:t>.</w:t>
      </w:r>
    </w:p>
    <w:tbl>
      <w:tblPr>
        <w:tblStyle w:val="TableGrid"/>
        <w:tblW w:w="0" w:type="auto"/>
        <w:tblLook w:val="04A0" w:firstRow="1" w:lastRow="0" w:firstColumn="1" w:lastColumn="0" w:noHBand="0" w:noVBand="1"/>
      </w:tblPr>
      <w:tblGrid>
        <w:gridCol w:w="1717"/>
        <w:gridCol w:w="1195"/>
        <w:gridCol w:w="1217"/>
      </w:tblGrid>
      <w:tr w:rsidR="00C257D1" w14:paraId="4AC8319C" w14:textId="77777777" w:rsidTr="00C257D1">
        <w:tc>
          <w:tcPr>
            <w:tcW w:w="1717" w:type="dxa"/>
            <w:shd w:val="clear" w:color="auto" w:fill="D9D9D9" w:themeFill="background1" w:themeFillShade="D9"/>
            <w:vAlign w:val="center"/>
          </w:tcPr>
          <w:p w14:paraId="1A6F6656" w14:textId="77777777" w:rsidR="00C257D1" w:rsidRDefault="00C257D1" w:rsidP="00C257D1">
            <w:pPr>
              <w:spacing w:after="0"/>
              <w:jc w:val="center"/>
              <w:rPr>
                <w:lang w:eastAsia="x-none"/>
              </w:rPr>
            </w:pPr>
            <w:r>
              <w:rPr>
                <w:lang w:eastAsia="x-none"/>
              </w:rPr>
              <w:t>Year</w:t>
            </w:r>
          </w:p>
        </w:tc>
        <w:tc>
          <w:tcPr>
            <w:tcW w:w="1195" w:type="dxa"/>
            <w:shd w:val="clear" w:color="auto" w:fill="D9D9D9" w:themeFill="background1" w:themeFillShade="D9"/>
            <w:vAlign w:val="center"/>
          </w:tcPr>
          <w:p w14:paraId="3EB5AFF5" w14:textId="77777777" w:rsidR="00C257D1" w:rsidRDefault="00C257D1" w:rsidP="00C257D1">
            <w:pPr>
              <w:spacing w:after="0"/>
              <w:jc w:val="center"/>
              <w:rPr>
                <w:lang w:eastAsia="x-none"/>
              </w:rPr>
            </w:pPr>
            <w:r>
              <w:rPr>
                <w:lang w:eastAsia="x-none"/>
              </w:rPr>
              <w:t>Projected Revenue</w:t>
            </w:r>
          </w:p>
          <w:p w14:paraId="5B2C251E" w14:textId="77777777" w:rsidR="00C257D1" w:rsidRDefault="00C257D1" w:rsidP="00C257D1">
            <w:pPr>
              <w:spacing w:after="0"/>
              <w:jc w:val="center"/>
              <w:rPr>
                <w:lang w:eastAsia="x-none"/>
              </w:rPr>
            </w:pPr>
            <w:r>
              <w:rPr>
                <w:lang w:eastAsia="x-none"/>
              </w:rPr>
              <w:t>($ million)</w:t>
            </w:r>
          </w:p>
        </w:tc>
        <w:tc>
          <w:tcPr>
            <w:tcW w:w="1217" w:type="dxa"/>
            <w:shd w:val="clear" w:color="auto" w:fill="D9D9D9" w:themeFill="background1" w:themeFillShade="D9"/>
            <w:vAlign w:val="center"/>
          </w:tcPr>
          <w:p w14:paraId="4798C4F1" w14:textId="77777777" w:rsidR="00C257D1" w:rsidRDefault="00C257D1" w:rsidP="00C257D1">
            <w:pPr>
              <w:spacing w:after="0"/>
              <w:jc w:val="center"/>
              <w:rPr>
                <w:lang w:eastAsia="x-none"/>
              </w:rPr>
            </w:pPr>
            <w:r>
              <w:rPr>
                <w:lang w:eastAsia="x-none"/>
              </w:rPr>
              <w:t>% change</w:t>
            </w:r>
          </w:p>
        </w:tc>
      </w:tr>
      <w:tr w:rsidR="00C257D1" w14:paraId="5BDACAF7" w14:textId="77777777" w:rsidTr="00C257D1">
        <w:trPr>
          <w:trHeight w:val="221"/>
        </w:trPr>
        <w:tc>
          <w:tcPr>
            <w:tcW w:w="1717" w:type="dxa"/>
          </w:tcPr>
          <w:p w14:paraId="7D240243" w14:textId="77777777" w:rsidR="00C257D1" w:rsidRDefault="00C257D1" w:rsidP="00C257D1">
            <w:pPr>
              <w:spacing w:after="0"/>
              <w:jc w:val="center"/>
              <w:rPr>
                <w:lang w:eastAsia="x-none"/>
              </w:rPr>
            </w:pPr>
            <w:r>
              <w:rPr>
                <w:lang w:eastAsia="x-none"/>
              </w:rPr>
              <w:t>2012-13</w:t>
            </w:r>
          </w:p>
        </w:tc>
        <w:tc>
          <w:tcPr>
            <w:tcW w:w="1195" w:type="dxa"/>
          </w:tcPr>
          <w:p w14:paraId="6977C750" w14:textId="77777777" w:rsidR="00C257D1" w:rsidRDefault="00C257D1" w:rsidP="00C257D1">
            <w:pPr>
              <w:spacing w:after="0"/>
              <w:jc w:val="center"/>
              <w:rPr>
                <w:lang w:eastAsia="x-none"/>
              </w:rPr>
            </w:pPr>
            <w:r>
              <w:rPr>
                <w:lang w:eastAsia="x-none"/>
              </w:rPr>
              <w:t>9,260.3</w:t>
            </w:r>
          </w:p>
        </w:tc>
        <w:tc>
          <w:tcPr>
            <w:tcW w:w="1217" w:type="dxa"/>
          </w:tcPr>
          <w:p w14:paraId="33263562" w14:textId="77777777" w:rsidR="00C257D1" w:rsidRDefault="00C257D1" w:rsidP="00C257D1">
            <w:pPr>
              <w:spacing w:after="0"/>
              <w:jc w:val="center"/>
              <w:rPr>
                <w:lang w:eastAsia="x-none"/>
              </w:rPr>
            </w:pPr>
            <w:r>
              <w:rPr>
                <w:lang w:eastAsia="x-none"/>
              </w:rPr>
              <w:t>-</w:t>
            </w:r>
          </w:p>
        </w:tc>
      </w:tr>
      <w:tr w:rsidR="00C257D1" w14:paraId="726CEF88" w14:textId="77777777" w:rsidTr="00C257D1">
        <w:tc>
          <w:tcPr>
            <w:tcW w:w="1717" w:type="dxa"/>
          </w:tcPr>
          <w:p w14:paraId="73A941D1" w14:textId="77777777" w:rsidR="00C257D1" w:rsidRDefault="00C257D1" w:rsidP="00C257D1">
            <w:pPr>
              <w:spacing w:after="0"/>
              <w:jc w:val="center"/>
              <w:rPr>
                <w:lang w:eastAsia="x-none"/>
              </w:rPr>
            </w:pPr>
            <w:r>
              <w:rPr>
                <w:lang w:eastAsia="x-none"/>
              </w:rPr>
              <w:t>2013-14</w:t>
            </w:r>
          </w:p>
        </w:tc>
        <w:tc>
          <w:tcPr>
            <w:tcW w:w="1195" w:type="dxa"/>
          </w:tcPr>
          <w:p w14:paraId="3F4ED1D5" w14:textId="77777777" w:rsidR="00C257D1" w:rsidRDefault="00C257D1" w:rsidP="00C257D1">
            <w:pPr>
              <w:spacing w:after="0"/>
              <w:jc w:val="center"/>
              <w:rPr>
                <w:lang w:eastAsia="x-none"/>
              </w:rPr>
            </w:pPr>
            <w:r>
              <w:rPr>
                <w:lang w:eastAsia="x-none"/>
              </w:rPr>
              <w:t>9,807.0</w:t>
            </w:r>
          </w:p>
        </w:tc>
        <w:tc>
          <w:tcPr>
            <w:tcW w:w="1217" w:type="dxa"/>
          </w:tcPr>
          <w:p w14:paraId="4DD4A93A" w14:textId="77777777" w:rsidR="00C257D1" w:rsidRDefault="00C257D1" w:rsidP="00C257D1">
            <w:pPr>
              <w:spacing w:after="0"/>
              <w:jc w:val="center"/>
              <w:rPr>
                <w:lang w:eastAsia="x-none"/>
              </w:rPr>
            </w:pPr>
            <w:r>
              <w:rPr>
                <w:lang w:eastAsia="x-none"/>
              </w:rPr>
              <w:t>5.9</w:t>
            </w:r>
          </w:p>
        </w:tc>
      </w:tr>
      <w:tr w:rsidR="00C257D1" w14:paraId="768D1FF7" w14:textId="77777777" w:rsidTr="00C257D1">
        <w:tc>
          <w:tcPr>
            <w:tcW w:w="1717" w:type="dxa"/>
          </w:tcPr>
          <w:p w14:paraId="582E2FF6" w14:textId="77777777" w:rsidR="00C257D1" w:rsidRDefault="00C257D1" w:rsidP="00C257D1">
            <w:pPr>
              <w:spacing w:after="0"/>
              <w:jc w:val="center"/>
              <w:rPr>
                <w:lang w:eastAsia="x-none"/>
              </w:rPr>
            </w:pPr>
            <w:r>
              <w:rPr>
                <w:lang w:eastAsia="x-none"/>
              </w:rPr>
              <w:t>2014-15</w:t>
            </w:r>
          </w:p>
        </w:tc>
        <w:tc>
          <w:tcPr>
            <w:tcW w:w="1195" w:type="dxa"/>
          </w:tcPr>
          <w:p w14:paraId="7EF2DE6F" w14:textId="77777777" w:rsidR="00C257D1" w:rsidRDefault="00C257D1" w:rsidP="00C257D1">
            <w:pPr>
              <w:spacing w:after="0"/>
              <w:jc w:val="center"/>
              <w:rPr>
                <w:lang w:eastAsia="x-none"/>
              </w:rPr>
            </w:pPr>
            <w:r>
              <w:rPr>
                <w:lang w:eastAsia="x-none"/>
              </w:rPr>
              <w:t>10,131.5</w:t>
            </w:r>
          </w:p>
        </w:tc>
        <w:tc>
          <w:tcPr>
            <w:tcW w:w="1217" w:type="dxa"/>
          </w:tcPr>
          <w:p w14:paraId="464C4202" w14:textId="77777777" w:rsidR="00C257D1" w:rsidRDefault="00C257D1" w:rsidP="00C257D1">
            <w:pPr>
              <w:spacing w:after="0"/>
              <w:jc w:val="center"/>
              <w:rPr>
                <w:lang w:eastAsia="x-none"/>
              </w:rPr>
            </w:pPr>
            <w:r>
              <w:rPr>
                <w:lang w:eastAsia="x-none"/>
              </w:rPr>
              <w:t>3.3</w:t>
            </w:r>
          </w:p>
        </w:tc>
      </w:tr>
      <w:tr w:rsidR="00C257D1" w14:paraId="6F3F811F" w14:textId="77777777" w:rsidTr="00C257D1">
        <w:tc>
          <w:tcPr>
            <w:tcW w:w="1717" w:type="dxa"/>
          </w:tcPr>
          <w:p w14:paraId="1F102D62" w14:textId="77777777" w:rsidR="00C257D1" w:rsidRDefault="00C257D1" w:rsidP="00C257D1">
            <w:pPr>
              <w:spacing w:after="0"/>
              <w:jc w:val="center"/>
              <w:rPr>
                <w:lang w:eastAsia="x-none"/>
              </w:rPr>
            </w:pPr>
            <w:r>
              <w:rPr>
                <w:lang w:eastAsia="x-none"/>
              </w:rPr>
              <w:t>2015-16</w:t>
            </w:r>
          </w:p>
        </w:tc>
        <w:tc>
          <w:tcPr>
            <w:tcW w:w="1195" w:type="dxa"/>
          </w:tcPr>
          <w:p w14:paraId="4AA9DC99" w14:textId="77777777" w:rsidR="00C257D1" w:rsidRDefault="00C257D1" w:rsidP="00C257D1">
            <w:pPr>
              <w:spacing w:after="0"/>
              <w:jc w:val="center"/>
              <w:rPr>
                <w:lang w:eastAsia="x-none"/>
              </w:rPr>
            </w:pPr>
            <w:r>
              <w:rPr>
                <w:lang w:eastAsia="x-none"/>
              </w:rPr>
              <w:t>9,896.6</w:t>
            </w:r>
          </w:p>
        </w:tc>
        <w:tc>
          <w:tcPr>
            <w:tcW w:w="1217" w:type="dxa"/>
          </w:tcPr>
          <w:p w14:paraId="7180A4CF" w14:textId="77777777" w:rsidR="00C257D1" w:rsidRDefault="00C257D1" w:rsidP="00C257D1">
            <w:pPr>
              <w:spacing w:after="0"/>
              <w:jc w:val="center"/>
              <w:rPr>
                <w:lang w:eastAsia="x-none"/>
              </w:rPr>
            </w:pPr>
            <w:r>
              <w:rPr>
                <w:lang w:eastAsia="x-none"/>
              </w:rPr>
              <w:t>-2.3</w:t>
            </w:r>
          </w:p>
        </w:tc>
      </w:tr>
      <w:tr w:rsidR="00C257D1" w14:paraId="205E0333" w14:textId="77777777" w:rsidTr="00C257D1">
        <w:tc>
          <w:tcPr>
            <w:tcW w:w="1717" w:type="dxa"/>
          </w:tcPr>
          <w:p w14:paraId="72498010" w14:textId="77777777" w:rsidR="00C257D1" w:rsidRDefault="00C257D1" w:rsidP="00C257D1">
            <w:pPr>
              <w:spacing w:after="0"/>
              <w:jc w:val="center"/>
              <w:rPr>
                <w:lang w:eastAsia="x-none"/>
              </w:rPr>
            </w:pPr>
            <w:r>
              <w:rPr>
                <w:lang w:eastAsia="x-none"/>
              </w:rPr>
              <w:t>2016-17</w:t>
            </w:r>
          </w:p>
        </w:tc>
        <w:tc>
          <w:tcPr>
            <w:tcW w:w="1195" w:type="dxa"/>
          </w:tcPr>
          <w:p w14:paraId="08C2E51F" w14:textId="77777777" w:rsidR="00C257D1" w:rsidRDefault="00C257D1" w:rsidP="00C257D1">
            <w:pPr>
              <w:spacing w:after="0"/>
              <w:jc w:val="center"/>
              <w:rPr>
                <w:lang w:eastAsia="x-none"/>
              </w:rPr>
            </w:pPr>
            <w:r>
              <w:rPr>
                <w:lang w:eastAsia="x-none"/>
              </w:rPr>
              <w:t>9,730.9</w:t>
            </w:r>
          </w:p>
        </w:tc>
        <w:tc>
          <w:tcPr>
            <w:tcW w:w="1217" w:type="dxa"/>
          </w:tcPr>
          <w:p w14:paraId="37DC7AC1" w14:textId="77777777" w:rsidR="00C257D1" w:rsidRDefault="00C257D1" w:rsidP="00C257D1">
            <w:pPr>
              <w:spacing w:after="0"/>
              <w:jc w:val="center"/>
              <w:rPr>
                <w:lang w:eastAsia="x-none"/>
              </w:rPr>
            </w:pPr>
            <w:r>
              <w:rPr>
                <w:lang w:eastAsia="x-none"/>
              </w:rPr>
              <w:t>-1.7</w:t>
            </w:r>
          </w:p>
        </w:tc>
      </w:tr>
      <w:tr w:rsidR="00C257D1" w14:paraId="153FFFB1" w14:textId="77777777" w:rsidTr="00C257D1">
        <w:tc>
          <w:tcPr>
            <w:tcW w:w="1717" w:type="dxa"/>
          </w:tcPr>
          <w:p w14:paraId="51AD8123" w14:textId="77777777" w:rsidR="00C257D1" w:rsidRDefault="00C257D1" w:rsidP="00C257D1">
            <w:pPr>
              <w:spacing w:after="0"/>
              <w:jc w:val="center"/>
              <w:rPr>
                <w:lang w:eastAsia="x-none"/>
              </w:rPr>
            </w:pPr>
            <w:r>
              <w:rPr>
                <w:lang w:eastAsia="x-none"/>
              </w:rPr>
              <w:t>2017-18</w:t>
            </w:r>
          </w:p>
        </w:tc>
        <w:tc>
          <w:tcPr>
            <w:tcW w:w="1195" w:type="dxa"/>
          </w:tcPr>
          <w:p w14:paraId="083FEBBE" w14:textId="77777777" w:rsidR="00C257D1" w:rsidRDefault="00C257D1" w:rsidP="00C257D1">
            <w:pPr>
              <w:spacing w:after="0"/>
              <w:jc w:val="center"/>
              <w:rPr>
                <w:lang w:eastAsia="x-none"/>
              </w:rPr>
            </w:pPr>
            <w:r>
              <w:rPr>
                <w:lang w:eastAsia="x-none"/>
              </w:rPr>
              <w:t>9,710.1</w:t>
            </w:r>
          </w:p>
        </w:tc>
        <w:tc>
          <w:tcPr>
            <w:tcW w:w="1217" w:type="dxa"/>
          </w:tcPr>
          <w:p w14:paraId="17438B34" w14:textId="77777777" w:rsidR="00C257D1" w:rsidRDefault="00C257D1" w:rsidP="00C257D1">
            <w:pPr>
              <w:spacing w:after="0"/>
              <w:jc w:val="center"/>
              <w:rPr>
                <w:lang w:eastAsia="x-none"/>
              </w:rPr>
            </w:pPr>
            <w:r>
              <w:rPr>
                <w:lang w:eastAsia="x-none"/>
              </w:rPr>
              <w:t>-0.2</w:t>
            </w:r>
          </w:p>
        </w:tc>
      </w:tr>
    </w:tbl>
    <w:p w14:paraId="5340ECCF" w14:textId="77777777" w:rsidR="00C257D1" w:rsidRDefault="00C257D1" w:rsidP="00C257D1">
      <w:pPr>
        <w:rPr>
          <w:lang w:eastAsia="x-none"/>
        </w:rPr>
      </w:pPr>
    </w:p>
    <w:p w14:paraId="7CC9B449" w14:textId="0FFD426C" w:rsidR="00C257D1" w:rsidRDefault="00C257D1" w:rsidP="00C257D1">
      <w:pPr>
        <w:rPr>
          <w:lang w:eastAsia="x-none"/>
        </w:rPr>
      </w:pPr>
      <w:r w:rsidRPr="0036663C">
        <w:rPr>
          <w:lang w:eastAsia="x-none"/>
        </w:rPr>
        <w:t xml:space="preserve">The largest proportion </w:t>
      </w:r>
      <w:r w:rsidRPr="0036663C">
        <w:t>(</w:t>
      </w:r>
      <w:r w:rsidR="0036663C" w:rsidRPr="0036663C">
        <w:t>59</w:t>
      </w:r>
      <w:r w:rsidRPr="0036663C">
        <w:t>%)</w:t>
      </w:r>
      <w:r w:rsidRPr="0036663C">
        <w:rPr>
          <w:lang w:eastAsia="x-none"/>
        </w:rPr>
        <w:t xml:space="preserve"> </w:t>
      </w:r>
      <w:r>
        <w:rPr>
          <w:lang w:eastAsia="x-none"/>
        </w:rPr>
        <w:t xml:space="preserve">of the recovered and exported steel from kerbside recycling is reprocessed in Malaysia. In Malaysia, the production of steel has increased from 5.4 million </w:t>
      </w:r>
      <w:r w:rsidR="00E82F90">
        <w:rPr>
          <w:lang w:eastAsia="x-none"/>
        </w:rPr>
        <w:t>t</w:t>
      </w:r>
      <w:r>
        <w:rPr>
          <w:lang w:eastAsia="x-none"/>
        </w:rPr>
        <w:t xml:space="preserve"> in 2009, to 5.7 million </w:t>
      </w:r>
      <w:r w:rsidR="00E82F90">
        <w:rPr>
          <w:lang w:eastAsia="x-none"/>
        </w:rPr>
        <w:t>t</w:t>
      </w:r>
      <w:r>
        <w:rPr>
          <w:lang w:eastAsia="x-none"/>
        </w:rPr>
        <w:t xml:space="preserve"> in 2010 and 5.9 million </w:t>
      </w:r>
      <w:r w:rsidR="00E82F90">
        <w:rPr>
          <w:lang w:eastAsia="x-none"/>
        </w:rPr>
        <w:t>t</w:t>
      </w:r>
      <w:r>
        <w:rPr>
          <w:lang w:eastAsia="x-none"/>
        </w:rPr>
        <w:t xml:space="preserve"> in 2011. This growth in demand is expected to continue </w:t>
      </w:r>
      <w:r>
        <w:rPr>
          <w:lang w:eastAsia="x-none"/>
        </w:rPr>
        <w:fldChar w:fldCharType="begin"/>
      </w:r>
      <w:r w:rsidR="00F40CE2">
        <w:rPr>
          <w:lang w:eastAsia="x-none"/>
        </w:rPr>
        <w:instrText xml:space="preserve"> ADDIN EN.CITE &lt;EndNote&gt;&lt;Cite&gt;&lt;Author&gt;Tse&lt;/Author&gt;&lt;Year&gt;2013&lt;/Year&gt;&lt;RecNum&gt;678&lt;/RecNum&gt;&lt;DisplayText&gt;(Tse, 2013)&lt;/DisplayText&gt;&lt;record&gt;&lt;rec-number&gt;678&lt;/rec-number&gt;&lt;foreign-keys&gt;&lt;key app="EN" db-id="tfpv5staxsvs2nexzpp5taewzsvpx0er5fap"&gt;678&lt;/key&gt;&lt;/foreign-keys&gt;&lt;ref-type name="Report"&gt;27&lt;/ref-type&gt;&lt;contributors&gt;&lt;authors&gt;&lt;author&gt;Tse, Pui-Kwan&lt;/author&gt;&lt;/authors&gt;&lt;secondary-authors&gt;&lt;author&gt;U.S. Geolocical Survey&lt;/author&gt;&lt;/secondary-authors&gt;&lt;/contributors&gt;&lt;titles&gt;&lt;title&gt;The Mineral Industry of Malaysia&lt;/title&gt;&lt;secondary-title&gt;2011 Minerals Yearbook. Malaysia (Advance Release)&lt;/secondary-title&gt;&lt;/titles&gt;&lt;dates&gt;&lt;year&gt;2013&lt;/year&gt;&lt;/dates&gt;&lt;publisher&gt;U.S. Department of the Interior&lt;/publisher&gt;&lt;urls&gt;&lt;/urls&gt;&lt;/record&gt;&lt;/Cite&gt;&lt;/EndNote&gt;</w:instrText>
      </w:r>
      <w:r>
        <w:rPr>
          <w:lang w:eastAsia="x-none"/>
        </w:rPr>
        <w:fldChar w:fldCharType="separate"/>
      </w:r>
      <w:r w:rsidR="00F40CE2">
        <w:rPr>
          <w:noProof/>
          <w:lang w:eastAsia="x-none"/>
        </w:rPr>
        <w:t>(</w:t>
      </w:r>
      <w:hyperlink w:anchor="_ENREF_78" w:tooltip="Tse, 2013 #678" w:history="1">
        <w:r w:rsidR="00F40CE2">
          <w:rPr>
            <w:noProof/>
            <w:lang w:eastAsia="x-none"/>
          </w:rPr>
          <w:t>Tse, 2013</w:t>
        </w:r>
      </w:hyperlink>
      <w:r w:rsidR="00F40CE2">
        <w:rPr>
          <w:noProof/>
          <w:lang w:eastAsia="x-none"/>
        </w:rPr>
        <w:t>)</w:t>
      </w:r>
      <w:r>
        <w:rPr>
          <w:lang w:eastAsia="x-none"/>
        </w:rPr>
        <w:fldChar w:fldCharType="end"/>
      </w:r>
      <w:r>
        <w:rPr>
          <w:lang w:eastAsia="x-none"/>
        </w:rPr>
        <w:t>.</w:t>
      </w:r>
    </w:p>
    <w:p w14:paraId="611654B8" w14:textId="3F321B44" w:rsidR="00C257D1" w:rsidRDefault="00C257D1" w:rsidP="00C257D1">
      <w:pPr>
        <w:rPr>
          <w:lang w:eastAsia="x-none"/>
        </w:rPr>
      </w:pPr>
      <w:r>
        <w:rPr>
          <w:lang w:eastAsia="x-none"/>
        </w:rPr>
        <w:t xml:space="preserve">Globally, demand for steel is expected to increase from 1,413 million </w:t>
      </w:r>
      <w:r w:rsidR="00E82F90">
        <w:rPr>
          <w:lang w:eastAsia="x-none"/>
        </w:rPr>
        <w:t>t</w:t>
      </w:r>
      <w:r>
        <w:rPr>
          <w:lang w:eastAsia="x-none"/>
        </w:rPr>
        <w:t xml:space="preserve"> in 2012, to 1,454 million </w:t>
      </w:r>
      <w:r w:rsidR="00E82F90">
        <w:rPr>
          <w:lang w:eastAsia="x-none"/>
        </w:rPr>
        <w:t>t</w:t>
      </w:r>
      <w:r>
        <w:rPr>
          <w:lang w:eastAsia="x-none"/>
        </w:rPr>
        <w:t xml:space="preserve"> in 2013 and 1,500 million </w:t>
      </w:r>
      <w:r w:rsidR="00E82F90">
        <w:rPr>
          <w:lang w:eastAsia="x-none"/>
        </w:rPr>
        <w:t>t</w:t>
      </w:r>
      <w:r>
        <w:rPr>
          <w:lang w:eastAsia="x-none"/>
        </w:rPr>
        <w:t xml:space="preserve"> in 2014, corresponding to increases of 1.2%, 2.9% and 3.2%, respectively </w:t>
      </w:r>
      <w:r>
        <w:rPr>
          <w:lang w:eastAsia="x-none"/>
        </w:rPr>
        <w:fldChar w:fldCharType="begin"/>
      </w:r>
      <w:r w:rsidR="00F40CE2">
        <w:rPr>
          <w:lang w:eastAsia="x-none"/>
        </w:rPr>
        <w:instrText xml:space="preserve"> ADDIN EN.CITE &lt;EndNote&gt;&lt;Cite&gt;&lt;Author&gt;World Steel Association&lt;/Author&gt;&lt;Year&gt;2013&lt;/Year&gt;&lt;RecNum&gt;679&lt;/RecNum&gt;&lt;DisplayText&gt;(World Steel Association, 2013)&lt;/DisplayText&gt;&lt;record&gt;&lt;rec-number&gt;679&lt;/rec-number&gt;&lt;foreign-keys&gt;&lt;key app="EN" db-id="tfpv5staxsvs2nexzpp5taewzsvpx0er5fap"&gt;679&lt;/key&gt;&lt;/foreign-keys&gt;&lt;ref-type name="Audiovisual Material"&gt;3&lt;/ref-type&gt;&lt;contributors&gt;&lt;authors&gt;&lt;author&gt;World Steel Association,&lt;/author&gt;&lt;/authors&gt;&lt;/contributors&gt;&lt;titles&gt;&lt;title&gt;Short range outlook for apparent steel use, finished steel products (2012-2014)&lt;/title&gt;&lt;/titles&gt;&lt;dates&gt;&lt;year&gt;2013&lt;/year&gt;&lt;/dates&gt;&lt;pub-location&gt;Brussels and Beijing&lt;/pub-location&gt;&lt;publisher&gt;World Steel Association,&lt;/publisher&gt;&lt;urls&gt;&lt;/urls&gt;&lt;/record&gt;&lt;/Cite&gt;&lt;/EndNote&gt;</w:instrText>
      </w:r>
      <w:r>
        <w:rPr>
          <w:lang w:eastAsia="x-none"/>
        </w:rPr>
        <w:fldChar w:fldCharType="separate"/>
      </w:r>
      <w:r w:rsidR="00F40CE2">
        <w:rPr>
          <w:noProof/>
          <w:lang w:eastAsia="x-none"/>
        </w:rPr>
        <w:t>(</w:t>
      </w:r>
      <w:hyperlink w:anchor="_ENREF_87" w:tooltip="World Steel Association, 2013 #679" w:history="1">
        <w:r w:rsidR="00F40CE2">
          <w:rPr>
            <w:noProof/>
            <w:lang w:eastAsia="x-none"/>
          </w:rPr>
          <w:t>World Steel Association, 2013</w:t>
        </w:r>
      </w:hyperlink>
      <w:r w:rsidR="00F40CE2">
        <w:rPr>
          <w:noProof/>
          <w:lang w:eastAsia="x-none"/>
        </w:rPr>
        <w:t>)</w:t>
      </w:r>
      <w:r>
        <w:rPr>
          <w:lang w:eastAsia="x-none"/>
        </w:rPr>
        <w:fldChar w:fldCharType="end"/>
      </w:r>
      <w:r>
        <w:rPr>
          <w:lang w:eastAsia="x-none"/>
        </w:rPr>
        <w:t xml:space="preserve">. This trend is expected to flow through to Asia, with growths of 1.8%, 3.2% and 2.8% for 2012, 2013 and 2014 respectively </w:t>
      </w:r>
      <w:r>
        <w:rPr>
          <w:lang w:eastAsia="x-none"/>
        </w:rPr>
        <w:fldChar w:fldCharType="begin"/>
      </w:r>
      <w:r w:rsidR="00F40CE2">
        <w:rPr>
          <w:lang w:eastAsia="x-none"/>
        </w:rPr>
        <w:instrText xml:space="preserve"> ADDIN EN.CITE &lt;EndNote&gt;&lt;Cite&gt;&lt;Author&gt;World Steel Association&lt;/Author&gt;&lt;Year&gt;2013&lt;/Year&gt;&lt;RecNum&gt;679&lt;/RecNum&gt;&lt;DisplayText&gt;(World Steel Association, 2013)&lt;/DisplayText&gt;&lt;record&gt;&lt;rec-number&gt;679&lt;/rec-number&gt;&lt;foreign-keys&gt;&lt;key app="EN" db-id="tfpv5staxsvs2nexzpp5taewzsvpx0er5fap"&gt;679&lt;/key&gt;&lt;/foreign-keys&gt;&lt;ref-type name="Audiovisual Material"&gt;3&lt;/ref-type&gt;&lt;contributors&gt;&lt;authors&gt;&lt;author&gt;World Steel Association,&lt;/author&gt;&lt;/authors&gt;&lt;/contributors&gt;&lt;titles&gt;&lt;title&gt;Short range outlook for apparent steel use, finished steel products (2012-2014)&lt;/title&gt;&lt;/titles&gt;&lt;dates&gt;&lt;year&gt;2013&lt;/year&gt;&lt;/dates&gt;&lt;pub-location&gt;Brussels and Beijing&lt;/pub-location&gt;&lt;publisher&gt;World Steel Association,&lt;/publisher&gt;&lt;urls&gt;&lt;/urls&gt;&lt;/record&gt;&lt;/Cite&gt;&lt;/EndNote&gt;</w:instrText>
      </w:r>
      <w:r>
        <w:rPr>
          <w:lang w:eastAsia="x-none"/>
        </w:rPr>
        <w:fldChar w:fldCharType="separate"/>
      </w:r>
      <w:r w:rsidR="00F40CE2">
        <w:rPr>
          <w:noProof/>
          <w:lang w:eastAsia="x-none"/>
        </w:rPr>
        <w:t>(</w:t>
      </w:r>
      <w:hyperlink w:anchor="_ENREF_87" w:tooltip="World Steel Association, 2013 #679" w:history="1">
        <w:r w:rsidR="00F40CE2">
          <w:rPr>
            <w:noProof/>
            <w:lang w:eastAsia="x-none"/>
          </w:rPr>
          <w:t>World Steel Association, 2013</w:t>
        </w:r>
      </w:hyperlink>
      <w:r w:rsidR="00F40CE2">
        <w:rPr>
          <w:noProof/>
          <w:lang w:eastAsia="x-none"/>
        </w:rPr>
        <w:t>)</w:t>
      </w:r>
      <w:r>
        <w:rPr>
          <w:lang w:eastAsia="x-none"/>
        </w:rPr>
        <w:fldChar w:fldCharType="end"/>
      </w:r>
      <w:r>
        <w:rPr>
          <w:lang w:eastAsia="x-none"/>
        </w:rPr>
        <w:t>.</w:t>
      </w:r>
    </w:p>
    <w:p w14:paraId="30BD0EF4" w14:textId="0EA256C1" w:rsidR="00C257D1" w:rsidRDefault="00C257D1" w:rsidP="00C257D1">
      <w:pPr>
        <w:rPr>
          <w:lang w:eastAsia="x-none"/>
        </w:rPr>
      </w:pPr>
      <w:r>
        <w:rPr>
          <w:lang w:eastAsia="x-none"/>
        </w:rPr>
        <w:t xml:space="preserve">Malaysia has limited raw iron and steel production (blast furnace and basic oxygen furnace) capacity and is expected to continue to rely on imported raw materials (including scrap steel) to make up for the short fall in material required to meet steel demand. The majority of raw iron </w:t>
      </w:r>
      <w:r w:rsidR="0036663C">
        <w:rPr>
          <w:lang w:eastAsia="x-none"/>
        </w:rPr>
        <w:t>imported is pig iron from India (</w:t>
      </w:r>
      <w:r w:rsidR="0036663C">
        <w:rPr>
          <w:lang w:eastAsia="x-none"/>
        </w:rPr>
        <w:fldChar w:fldCharType="begin"/>
      </w:r>
      <w:r w:rsidR="0036663C">
        <w:rPr>
          <w:lang w:eastAsia="x-none"/>
        </w:rPr>
        <w:instrText xml:space="preserve"> REF _Ref360577560 \h </w:instrText>
      </w:r>
      <w:r w:rsidR="0036663C">
        <w:rPr>
          <w:lang w:eastAsia="x-none"/>
        </w:rPr>
      </w:r>
      <w:r w:rsidR="0036663C">
        <w:rPr>
          <w:lang w:eastAsia="x-none"/>
        </w:rPr>
        <w:fldChar w:fldCharType="separate"/>
      </w:r>
      <w:r w:rsidR="00564E5C">
        <w:t xml:space="preserve">Table </w:t>
      </w:r>
      <w:r w:rsidR="00564E5C">
        <w:rPr>
          <w:noProof/>
        </w:rPr>
        <w:t>53</w:t>
      </w:r>
      <w:r w:rsidR="0036663C">
        <w:rPr>
          <w:lang w:eastAsia="x-none"/>
        </w:rPr>
        <w:fldChar w:fldCharType="end"/>
      </w:r>
      <w:r w:rsidR="0036663C">
        <w:rPr>
          <w:lang w:eastAsia="x-none"/>
        </w:rPr>
        <w:t xml:space="preserve"> and </w:t>
      </w:r>
      <w:r w:rsidR="0036663C">
        <w:rPr>
          <w:lang w:eastAsia="x-none"/>
        </w:rPr>
        <w:fldChar w:fldCharType="begin"/>
      </w:r>
      <w:r w:rsidR="0036663C">
        <w:rPr>
          <w:lang w:eastAsia="x-none"/>
        </w:rPr>
        <w:instrText xml:space="preserve"> REF _Ref360577508 \h </w:instrText>
      </w:r>
      <w:r w:rsidR="0036663C">
        <w:rPr>
          <w:lang w:eastAsia="x-none"/>
        </w:rPr>
      </w:r>
      <w:r w:rsidR="0036663C">
        <w:rPr>
          <w:lang w:eastAsia="x-none"/>
        </w:rPr>
        <w:fldChar w:fldCharType="separate"/>
      </w:r>
      <w:r w:rsidR="00564E5C">
        <w:t xml:space="preserve">Table </w:t>
      </w:r>
      <w:r w:rsidR="00564E5C">
        <w:rPr>
          <w:noProof/>
        </w:rPr>
        <w:t>54</w:t>
      </w:r>
      <w:r w:rsidR="0036663C">
        <w:rPr>
          <w:lang w:eastAsia="x-none"/>
        </w:rPr>
        <w:fldChar w:fldCharType="end"/>
      </w:r>
      <w:r w:rsidR="0036663C">
        <w:rPr>
          <w:lang w:eastAsia="x-none"/>
        </w:rPr>
        <w:t>).</w:t>
      </w:r>
    </w:p>
    <w:p w14:paraId="32E7F813" w14:textId="06783840" w:rsidR="0036663C" w:rsidRDefault="0036663C" w:rsidP="0036663C">
      <w:pPr>
        <w:pStyle w:val="Caption"/>
        <w:keepNext/>
      </w:pPr>
      <w:bookmarkStart w:id="244" w:name="_Ref360577560"/>
      <w:r>
        <w:lastRenderedPageBreak/>
        <w:t xml:space="preserve">Table </w:t>
      </w:r>
      <w:r w:rsidR="00FC7DE2">
        <w:fldChar w:fldCharType="begin"/>
      </w:r>
      <w:r w:rsidR="00FC7DE2">
        <w:instrText xml:space="preserve"> SEQ Table \* ARABIC </w:instrText>
      </w:r>
      <w:r w:rsidR="00FC7DE2">
        <w:fldChar w:fldCharType="separate"/>
      </w:r>
      <w:r w:rsidR="00564E5C">
        <w:rPr>
          <w:noProof/>
        </w:rPr>
        <w:t>53</w:t>
      </w:r>
      <w:r w:rsidR="00FC7DE2">
        <w:rPr>
          <w:noProof/>
        </w:rPr>
        <w:fldChar w:fldCharType="end"/>
      </w:r>
      <w:bookmarkEnd w:id="244"/>
      <w:r>
        <w:rPr>
          <w:lang w:val="en-AU"/>
        </w:rPr>
        <w:t xml:space="preserve"> </w:t>
      </w:r>
      <w:r w:rsidRPr="004234C3">
        <w:rPr>
          <w:lang w:val="en-AU"/>
        </w:rPr>
        <w:t>Raw iron so</w:t>
      </w:r>
      <w:r>
        <w:rPr>
          <w:lang w:val="en-AU"/>
        </w:rPr>
        <w:t xml:space="preserve">urces in Malaysia for 2010-2012 </w:t>
      </w:r>
      <w:r w:rsidRPr="004234C3">
        <w:rPr>
          <w:lang w:val="en-AU"/>
        </w:rPr>
        <w:t>(UN comtrade, 2013)</w:t>
      </w:r>
      <w:r>
        <w:rPr>
          <w:lang w:val="en-AU"/>
        </w:rPr>
        <w:t>.</w:t>
      </w:r>
    </w:p>
    <w:p w14:paraId="1C8ED51B" w14:textId="77777777" w:rsidR="00C257D1" w:rsidRDefault="00C257D1" w:rsidP="00C257D1">
      <w:pPr>
        <w:rPr>
          <w:lang w:eastAsia="x-none"/>
        </w:rPr>
      </w:pPr>
      <w:r w:rsidRPr="001D2079">
        <w:rPr>
          <w:noProof/>
        </w:rPr>
        <w:drawing>
          <wp:inline distT="0" distB="0" distL="0" distR="0" wp14:anchorId="0C23E097" wp14:editId="576BAF3C">
            <wp:extent cx="5731510" cy="1205466"/>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1205466"/>
                    </a:xfrm>
                    <a:prstGeom prst="rect">
                      <a:avLst/>
                    </a:prstGeom>
                    <a:noFill/>
                    <a:ln>
                      <a:noFill/>
                    </a:ln>
                  </pic:spPr>
                </pic:pic>
              </a:graphicData>
            </a:graphic>
          </wp:inline>
        </w:drawing>
      </w:r>
    </w:p>
    <w:p w14:paraId="650CCD04" w14:textId="21417795" w:rsidR="0036663C" w:rsidRDefault="0036663C" w:rsidP="0036663C">
      <w:pPr>
        <w:pStyle w:val="Caption"/>
        <w:keepNext/>
      </w:pPr>
      <w:bookmarkStart w:id="245" w:name="_Ref360577508"/>
      <w:r>
        <w:t xml:space="preserve">Table </w:t>
      </w:r>
      <w:r w:rsidR="00FC7DE2">
        <w:fldChar w:fldCharType="begin"/>
      </w:r>
      <w:r w:rsidR="00FC7DE2">
        <w:instrText xml:space="preserve"> SEQ Table \* ARABIC </w:instrText>
      </w:r>
      <w:r w:rsidR="00FC7DE2">
        <w:fldChar w:fldCharType="separate"/>
      </w:r>
      <w:r w:rsidR="00564E5C">
        <w:rPr>
          <w:noProof/>
        </w:rPr>
        <w:t>54</w:t>
      </w:r>
      <w:r w:rsidR="00FC7DE2">
        <w:rPr>
          <w:noProof/>
        </w:rPr>
        <w:fldChar w:fldCharType="end"/>
      </w:r>
      <w:bookmarkEnd w:id="245"/>
      <w:r>
        <w:rPr>
          <w:lang w:val="en-AU"/>
        </w:rPr>
        <w:t xml:space="preserve"> </w:t>
      </w:r>
      <w:r w:rsidRPr="00326D64">
        <w:rPr>
          <w:lang w:val="en-AU"/>
        </w:rPr>
        <w:t xml:space="preserve">Largest importers of raw </w:t>
      </w:r>
      <w:r>
        <w:rPr>
          <w:lang w:val="en-AU"/>
        </w:rPr>
        <w:t xml:space="preserve">iron in Malaysia for 2010-2012 </w:t>
      </w:r>
      <w:r w:rsidRPr="00326D64">
        <w:rPr>
          <w:lang w:val="en-AU"/>
        </w:rPr>
        <w:t>(UN comtrade, 2013)</w:t>
      </w:r>
      <w:r>
        <w:rPr>
          <w:lang w:val="en-AU"/>
        </w:rPr>
        <w:t>.</w:t>
      </w:r>
    </w:p>
    <w:p w14:paraId="3A9F17A5" w14:textId="501C8E22" w:rsidR="00C257D1" w:rsidRDefault="00C257D1" w:rsidP="00C257D1">
      <w:pPr>
        <w:rPr>
          <w:lang w:eastAsia="x-none"/>
        </w:rPr>
      </w:pPr>
      <w:r>
        <w:rPr>
          <w:noProof/>
        </w:rPr>
        <w:drawing>
          <wp:inline distT="0" distB="0" distL="0" distR="0" wp14:anchorId="6C2D0715" wp14:editId="3F378600">
            <wp:extent cx="5716905" cy="730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6905" cy="730250"/>
                    </a:xfrm>
                    <a:prstGeom prst="rect">
                      <a:avLst/>
                    </a:prstGeom>
                    <a:noFill/>
                    <a:ln>
                      <a:noFill/>
                    </a:ln>
                  </pic:spPr>
                </pic:pic>
              </a:graphicData>
            </a:graphic>
          </wp:inline>
        </w:drawing>
      </w:r>
    </w:p>
    <w:p w14:paraId="045AE139" w14:textId="77777777" w:rsidR="00C257D1" w:rsidRDefault="00C257D1" w:rsidP="0036663C">
      <w:pPr>
        <w:pStyle w:val="Heading4"/>
      </w:pPr>
      <w:r w:rsidRPr="00600CE8">
        <w:t xml:space="preserve">Mixed paper and </w:t>
      </w:r>
      <w:r>
        <w:t>c</w:t>
      </w:r>
      <w:r w:rsidRPr="00600CE8">
        <w:t>ardboard</w:t>
      </w:r>
    </w:p>
    <w:p w14:paraId="7AF2D1B1" w14:textId="77777777" w:rsidR="00C257D1" w:rsidRDefault="00C257D1" w:rsidP="00C257D1">
      <w:pPr>
        <w:rPr>
          <w:lang w:eastAsia="x-none"/>
        </w:rPr>
      </w:pPr>
      <w:r>
        <w:rPr>
          <w:lang w:eastAsia="x-none"/>
        </w:rPr>
        <w:t>The paper and cardboard sector in Australia is classified under a number of different categories, including:</w:t>
      </w:r>
    </w:p>
    <w:p w14:paraId="506370CE" w14:textId="77777777" w:rsidR="00C257D1" w:rsidRDefault="00C257D1" w:rsidP="009E73CF">
      <w:pPr>
        <w:pStyle w:val="ListParagraph"/>
        <w:numPr>
          <w:ilvl w:val="0"/>
          <w:numId w:val="30"/>
        </w:numPr>
        <w:ind w:left="567" w:hanging="567"/>
        <w:rPr>
          <w:lang w:eastAsia="x-none"/>
        </w:rPr>
      </w:pPr>
      <w:r>
        <w:rPr>
          <w:lang w:eastAsia="x-none"/>
        </w:rPr>
        <w:t>Pulp, paper and paperboard manufacturing</w:t>
      </w:r>
    </w:p>
    <w:p w14:paraId="11EB7245" w14:textId="77777777" w:rsidR="00C257D1" w:rsidRDefault="00C257D1" w:rsidP="009E73CF">
      <w:pPr>
        <w:pStyle w:val="ListParagraph"/>
        <w:numPr>
          <w:ilvl w:val="0"/>
          <w:numId w:val="30"/>
        </w:numPr>
        <w:ind w:left="567" w:hanging="567"/>
        <w:rPr>
          <w:lang w:eastAsia="x-none"/>
        </w:rPr>
      </w:pPr>
      <w:r>
        <w:rPr>
          <w:lang w:eastAsia="x-none"/>
        </w:rPr>
        <w:t>Solid paperboard container manufacturing</w:t>
      </w:r>
    </w:p>
    <w:p w14:paraId="108B75F8" w14:textId="77777777" w:rsidR="00C257D1" w:rsidRDefault="00C257D1" w:rsidP="009E73CF">
      <w:pPr>
        <w:pStyle w:val="ListParagraph"/>
        <w:numPr>
          <w:ilvl w:val="0"/>
          <w:numId w:val="30"/>
        </w:numPr>
        <w:ind w:left="567" w:hanging="567"/>
        <w:rPr>
          <w:lang w:eastAsia="x-none"/>
        </w:rPr>
      </w:pPr>
      <w:r>
        <w:rPr>
          <w:lang w:eastAsia="x-none"/>
        </w:rPr>
        <w:t>Corrugated paperboard container manufacturing</w:t>
      </w:r>
    </w:p>
    <w:p w14:paraId="513967B6" w14:textId="77777777" w:rsidR="00C257D1" w:rsidRDefault="00C257D1" w:rsidP="009E73CF">
      <w:pPr>
        <w:pStyle w:val="ListParagraph"/>
        <w:numPr>
          <w:ilvl w:val="0"/>
          <w:numId w:val="30"/>
        </w:numPr>
        <w:ind w:left="567" w:hanging="567"/>
        <w:rPr>
          <w:lang w:eastAsia="x-none"/>
        </w:rPr>
      </w:pPr>
      <w:r>
        <w:rPr>
          <w:lang w:eastAsia="x-none"/>
        </w:rPr>
        <w:t>Sanitary paper product manufacturing</w:t>
      </w:r>
    </w:p>
    <w:p w14:paraId="224C88EF" w14:textId="77645F6F" w:rsidR="00C257D1" w:rsidRDefault="00C257D1" w:rsidP="00C257D1">
      <w:pPr>
        <w:rPr>
          <w:lang w:eastAsia="x-none"/>
        </w:rPr>
      </w:pPr>
      <w:r>
        <w:rPr>
          <w:lang w:eastAsia="x-none"/>
        </w:rPr>
        <w:t>In Australia, the total production of paper and paper products has been declining since 2007-08, from 3278 k.</w:t>
      </w:r>
      <w:r w:rsidR="00E82F90">
        <w:rPr>
          <w:lang w:eastAsia="x-none"/>
        </w:rPr>
        <w:t>t</w:t>
      </w:r>
      <w:r>
        <w:rPr>
          <w:lang w:eastAsia="x-none"/>
        </w:rPr>
        <w:t xml:space="preserve"> to 3155 k.</w:t>
      </w:r>
      <w:r w:rsidR="00E82F90">
        <w:rPr>
          <w:lang w:eastAsia="x-none"/>
        </w:rPr>
        <w:t>t</w:t>
      </w:r>
      <w:r>
        <w:rPr>
          <w:lang w:eastAsia="x-none"/>
        </w:rPr>
        <w:t xml:space="preserve"> in 2010-11 </w:t>
      </w:r>
      <w:r>
        <w:rPr>
          <w:lang w:eastAsia="x-none"/>
        </w:rPr>
        <w:fldChar w:fldCharType="begin"/>
      </w:r>
      <w:r w:rsidR="00F40CE2">
        <w:rPr>
          <w:lang w:eastAsia="x-none"/>
        </w:rPr>
        <w:instrText xml:space="preserve"> ADDIN EN.CITE &lt;EndNote&gt;&lt;Cite&gt;&lt;Author&gt;ABARES&lt;/Author&gt;&lt;Year&gt;2012&lt;/Year&gt;&lt;RecNum&gt;680&lt;/RecNum&gt;&lt;DisplayText&gt;(ABARES, 2012)&lt;/DisplayText&gt;&lt;record&gt;&lt;rec-number&gt;680&lt;/rec-number&gt;&lt;foreign-keys&gt;&lt;key app="EN" db-id="tfpv5staxsvs2nexzpp5taewzsvpx0er5fap"&gt;680&lt;/key&gt;&lt;/foreign-keys&gt;&lt;ref-type name="Report"&gt;27&lt;/ref-type&gt;&lt;contributors&gt;&lt;authors&gt;&lt;author&gt;ABARES&lt;/author&gt;&lt;/authors&gt;&lt;/contributors&gt;&lt;titles&gt;&lt;title&gt;Agricultural Commodity Statistics 2012. Rural commodities - forestry&lt;/title&gt;&lt;/titles&gt;&lt;dates&gt;&lt;year&gt;2012&lt;/year&gt;&lt;/dates&gt;&lt;publisher&gt;Australian Bureau of Agricultural and Resource Economics and Sciences. Department of Agriculture, Fisheries and Forestry&lt;/publisher&gt;&lt;urls&gt;&lt;/urls&gt;&lt;/record&gt;&lt;/Cite&gt;&lt;/EndNote&gt;</w:instrText>
      </w:r>
      <w:r>
        <w:rPr>
          <w:lang w:eastAsia="x-none"/>
        </w:rPr>
        <w:fldChar w:fldCharType="separate"/>
      </w:r>
      <w:r w:rsidR="00F40CE2">
        <w:rPr>
          <w:noProof/>
          <w:lang w:eastAsia="x-none"/>
        </w:rPr>
        <w:t>(</w:t>
      </w:r>
      <w:hyperlink w:anchor="_ENREF_2" w:tooltip="ABARES, 2012 #680" w:history="1">
        <w:r w:rsidR="00F40CE2">
          <w:rPr>
            <w:noProof/>
            <w:lang w:eastAsia="x-none"/>
          </w:rPr>
          <w:t>ABARES, 2012</w:t>
        </w:r>
      </w:hyperlink>
      <w:r w:rsidR="00F40CE2">
        <w:rPr>
          <w:noProof/>
          <w:lang w:eastAsia="x-none"/>
        </w:rPr>
        <w:t>)</w:t>
      </w:r>
      <w:r>
        <w:rPr>
          <w:lang w:eastAsia="x-none"/>
        </w:rPr>
        <w:fldChar w:fldCharType="end"/>
      </w:r>
      <w:r>
        <w:rPr>
          <w:lang w:eastAsia="x-none"/>
        </w:rPr>
        <w:t>. In contrast, the use of recovered waste paper in Australia over the same period increased from 1728 k.</w:t>
      </w:r>
      <w:r w:rsidR="00E82F90">
        <w:rPr>
          <w:lang w:eastAsia="x-none"/>
        </w:rPr>
        <w:t>t</w:t>
      </w:r>
      <w:r>
        <w:rPr>
          <w:lang w:eastAsia="x-none"/>
        </w:rPr>
        <w:t xml:space="preserve"> in 2007-08 to 1778 k.</w:t>
      </w:r>
      <w:r w:rsidR="00E82F90">
        <w:rPr>
          <w:lang w:eastAsia="x-none"/>
        </w:rPr>
        <w:t>t</w:t>
      </w:r>
      <w:r>
        <w:rPr>
          <w:lang w:eastAsia="x-none"/>
        </w:rPr>
        <w:t xml:space="preserve"> in 2010.11 </w:t>
      </w:r>
      <w:r>
        <w:rPr>
          <w:lang w:eastAsia="x-none"/>
        </w:rPr>
        <w:fldChar w:fldCharType="begin"/>
      </w:r>
      <w:r w:rsidR="00F40CE2">
        <w:rPr>
          <w:lang w:eastAsia="x-none"/>
        </w:rPr>
        <w:instrText xml:space="preserve"> ADDIN EN.CITE &lt;EndNote&gt;&lt;Cite&gt;&lt;Author&gt;ABARES&lt;/Author&gt;&lt;Year&gt;2012&lt;/Year&gt;&lt;RecNum&gt;680&lt;/RecNum&gt;&lt;DisplayText&gt;(ABARES, 2012)&lt;/DisplayText&gt;&lt;record&gt;&lt;rec-number&gt;680&lt;/rec-number&gt;&lt;foreign-keys&gt;&lt;key app="EN" db-id="tfpv5staxsvs2nexzpp5taewzsvpx0er5fap"&gt;680&lt;/key&gt;&lt;/foreign-keys&gt;&lt;ref-type name="Report"&gt;27&lt;/ref-type&gt;&lt;contributors&gt;&lt;authors&gt;&lt;author&gt;ABARES&lt;/author&gt;&lt;/authors&gt;&lt;/contributors&gt;&lt;titles&gt;&lt;title&gt;Agricultural Commodity Statistics 2012. Rural commodities - forestry&lt;/title&gt;&lt;/titles&gt;&lt;dates&gt;&lt;year&gt;2012&lt;/year&gt;&lt;/dates&gt;&lt;publisher&gt;Australian Bureau of Agricultural and Resource Economics and Sciences. Department of Agriculture, Fisheries and Forestry&lt;/publisher&gt;&lt;urls&gt;&lt;/urls&gt;&lt;/record&gt;&lt;/Cite&gt;&lt;/EndNote&gt;</w:instrText>
      </w:r>
      <w:r>
        <w:rPr>
          <w:lang w:eastAsia="x-none"/>
        </w:rPr>
        <w:fldChar w:fldCharType="separate"/>
      </w:r>
      <w:r w:rsidR="00F40CE2">
        <w:rPr>
          <w:noProof/>
          <w:lang w:eastAsia="x-none"/>
        </w:rPr>
        <w:t>(</w:t>
      </w:r>
      <w:hyperlink w:anchor="_ENREF_2" w:tooltip="ABARES, 2012 #680" w:history="1">
        <w:r w:rsidR="00F40CE2">
          <w:rPr>
            <w:noProof/>
            <w:lang w:eastAsia="x-none"/>
          </w:rPr>
          <w:t>ABARES, 2012</w:t>
        </w:r>
      </w:hyperlink>
      <w:r w:rsidR="00F40CE2">
        <w:rPr>
          <w:noProof/>
          <w:lang w:eastAsia="x-none"/>
        </w:rPr>
        <w:t>)</w:t>
      </w:r>
      <w:r>
        <w:rPr>
          <w:lang w:eastAsia="x-none"/>
        </w:rPr>
        <w:fldChar w:fldCharType="end"/>
      </w:r>
      <w:r>
        <w:rPr>
          <w:lang w:eastAsia="x-none"/>
        </w:rPr>
        <w:t xml:space="preserve">. Exports of pulp, paper and paperboard from Australia are expected to increase at annual rate of 15.1% to 2017-18, due to strong demand from Asia </w:t>
      </w:r>
      <w:r>
        <w:rPr>
          <w:lang w:eastAsia="x-none"/>
        </w:rPr>
        <w:fldChar w:fldCharType="begin"/>
      </w:r>
      <w:r w:rsidR="00F40CE2">
        <w:rPr>
          <w:lang w:eastAsia="x-none"/>
        </w:rPr>
        <w:instrText xml:space="preserve"> ADDIN EN.CITE &lt;EndNote&gt;&lt;Cite&gt;&lt;Author&gt;Finch&lt;/Author&gt;&lt;Year&gt;2012&lt;/Year&gt;&lt;RecNum&gt;681&lt;/RecNum&gt;&lt;DisplayText&gt;(Finch, 2012)&lt;/DisplayText&gt;&lt;record&gt;&lt;rec-number&gt;681&lt;/rec-number&gt;&lt;foreign-keys&gt;&lt;key app="EN" db-id="tfpv5staxsvs2nexzpp5taewzsvpx0er5fap"&gt;681&lt;/key&gt;&lt;/foreign-keys&gt;&lt;ref-type name="Report"&gt;27&lt;/ref-type&gt;&lt;contributors&gt;&lt;authors&gt;&lt;author&gt;Finch, C.&lt;/author&gt;&lt;/authors&gt;&lt;/contributors&gt;&lt;titles&gt;&lt;title&gt;IBISWorld Industry Report C1510. Pulp, Paper and Paperboard Manufacturing in Australia&lt;/title&gt;&lt;/titles&gt;&lt;dates&gt;&lt;year&gt;2012&lt;/year&gt;&lt;/dates&gt;&lt;publisher&gt;IBISWorld Pty Ltd.&lt;/publisher&gt;&lt;urls&gt;&lt;/urls&gt;&lt;/record&gt;&lt;/Cite&gt;&lt;/EndNote&gt;</w:instrText>
      </w:r>
      <w:r>
        <w:rPr>
          <w:lang w:eastAsia="x-none"/>
        </w:rPr>
        <w:fldChar w:fldCharType="separate"/>
      </w:r>
      <w:r w:rsidR="00F40CE2">
        <w:rPr>
          <w:noProof/>
          <w:lang w:eastAsia="x-none"/>
        </w:rPr>
        <w:t>(</w:t>
      </w:r>
      <w:hyperlink w:anchor="_ENREF_25" w:tooltip="Finch, 2012 #681" w:history="1">
        <w:r w:rsidR="00F40CE2">
          <w:rPr>
            <w:noProof/>
            <w:lang w:eastAsia="x-none"/>
          </w:rPr>
          <w:t>Finch, 2012</w:t>
        </w:r>
      </w:hyperlink>
      <w:r w:rsidR="00F40CE2">
        <w:rPr>
          <w:noProof/>
          <w:lang w:eastAsia="x-none"/>
        </w:rPr>
        <w:t>)</w:t>
      </w:r>
      <w:r>
        <w:rPr>
          <w:lang w:eastAsia="x-none"/>
        </w:rPr>
        <w:fldChar w:fldCharType="end"/>
      </w:r>
      <w:r>
        <w:rPr>
          <w:lang w:eastAsia="x-none"/>
        </w:rPr>
        <w:t xml:space="preserve">. In contrast, local demand for Australian pulp, paper and paperboard to 2017-18 is expected to decrease due to higher imports. Overall, the revenue in the Australian pulp, paper and paperboard industry is expected to decline over the next five years </w:t>
      </w:r>
      <w:r>
        <w:rPr>
          <w:lang w:eastAsia="x-none"/>
        </w:rPr>
        <w:fldChar w:fldCharType="begin"/>
      </w:r>
      <w:r w:rsidR="00F40CE2">
        <w:rPr>
          <w:lang w:eastAsia="x-none"/>
        </w:rPr>
        <w:instrText xml:space="preserve"> ADDIN EN.CITE &lt;EndNote&gt;&lt;Cite&gt;&lt;Author&gt;Finch&lt;/Author&gt;&lt;Year&gt;2012&lt;/Year&gt;&lt;RecNum&gt;681&lt;/RecNum&gt;&lt;DisplayText&gt;(Finch, 2012)&lt;/DisplayText&gt;&lt;record&gt;&lt;rec-number&gt;681&lt;/rec-number&gt;&lt;foreign-keys&gt;&lt;key app="EN" db-id="tfpv5staxsvs2nexzpp5taewzsvpx0er5fap"&gt;681&lt;/key&gt;&lt;/foreign-keys&gt;&lt;ref-type name="Report"&gt;27&lt;/ref-type&gt;&lt;contributors&gt;&lt;authors&gt;&lt;author&gt;Finch, C.&lt;/author&gt;&lt;/authors&gt;&lt;/contributors&gt;&lt;titles&gt;&lt;title&gt;IBISWorld Industry Report C1510. Pulp, Paper and Paperboard Manufacturing in Australia&lt;/title&gt;&lt;/titles&gt;&lt;dates&gt;&lt;year&gt;2012&lt;/year&gt;&lt;/dates&gt;&lt;publisher&gt;IBISWorld Pty Ltd.&lt;/publisher&gt;&lt;urls&gt;&lt;/urls&gt;&lt;/record&gt;&lt;/Cite&gt;&lt;/EndNote&gt;</w:instrText>
      </w:r>
      <w:r>
        <w:rPr>
          <w:lang w:eastAsia="x-none"/>
        </w:rPr>
        <w:fldChar w:fldCharType="separate"/>
      </w:r>
      <w:r w:rsidR="00F40CE2">
        <w:rPr>
          <w:noProof/>
          <w:lang w:eastAsia="x-none"/>
        </w:rPr>
        <w:t>(</w:t>
      </w:r>
      <w:hyperlink w:anchor="_ENREF_25" w:tooltip="Finch, 2012 #681" w:history="1">
        <w:r w:rsidR="00F40CE2">
          <w:rPr>
            <w:noProof/>
            <w:lang w:eastAsia="x-none"/>
          </w:rPr>
          <w:t>Finch, 2012</w:t>
        </w:r>
      </w:hyperlink>
      <w:r w:rsidR="00F40CE2">
        <w:rPr>
          <w:noProof/>
          <w:lang w:eastAsia="x-none"/>
        </w:rPr>
        <w:t>)</w:t>
      </w:r>
      <w:r>
        <w:rPr>
          <w:lang w:eastAsia="x-none"/>
        </w:rPr>
        <w:fldChar w:fldCharType="end"/>
      </w:r>
      <w:r>
        <w:rPr>
          <w:lang w:eastAsia="x-none"/>
        </w:rPr>
        <w:t>.</w:t>
      </w:r>
    </w:p>
    <w:p w14:paraId="6D2E0E2A" w14:textId="50C9296C" w:rsidR="00C257D1" w:rsidRDefault="00C257D1" w:rsidP="00C257D1">
      <w:pPr>
        <w:rPr>
          <w:lang w:eastAsia="x-none"/>
        </w:rPr>
      </w:pPr>
      <w:r>
        <w:rPr>
          <w:lang w:eastAsia="x-none"/>
        </w:rPr>
        <w:t xml:space="preserve">In 2012, China was the world’s largest consumer of chemical (kraft or sulphite) pulp. Demand for pulp in China is expected to grow from 2012-2016 </w:t>
      </w:r>
      <w:r>
        <w:rPr>
          <w:lang w:eastAsia="x-none"/>
        </w:rPr>
        <w:fldChar w:fldCharType="begin"/>
      </w:r>
      <w:r w:rsidR="00F40CE2">
        <w:rPr>
          <w:lang w:eastAsia="x-none"/>
        </w:rPr>
        <w:instrText xml:space="preserve"> ADDIN EN.CITE &lt;EndNote&gt;&lt;Cite&gt;&lt;Author&gt;Valois&lt;/Author&gt;&lt;Year&gt;2012&lt;/Year&gt;&lt;RecNum&gt;682&lt;/RecNum&gt;&lt;DisplayText&gt;(Valois et al., 2012)&lt;/DisplayText&gt;&lt;record&gt;&lt;rec-number&gt;682&lt;/rec-number&gt;&lt;foreign-keys&gt;&lt;key app="EN" db-id="tfpv5staxsvs2nexzpp5taewzsvpx0er5fap"&gt;682&lt;/key&gt;&lt;/foreign-keys&gt;&lt;ref-type name="Report"&gt;27&lt;/ref-type&gt;&lt;contributors&gt;&lt;authors&gt;&lt;author&gt;Valois, Michel&lt;/author&gt;&lt;author&gt;Akim, Eduard&lt;/author&gt;&lt;author&gt;Lombard, B.&lt;/author&gt;&lt;author&gt;Parik, T.&lt;/author&gt;&lt;/authors&gt;&lt;/contributors&gt;&lt;titles&gt;&lt;title&gt;Forest Products Annual Market Review 2011-2012. Chapter 8. Paper, parperboard and woodpulp markets, 2011-2012&lt;/title&gt;&lt;/titles&gt;&lt;dates&gt;&lt;year&gt;2012&lt;/year&gt;&lt;/dates&gt;&lt;pub-location&gt;New York and Geneva&lt;/pub-location&gt;&lt;publisher&gt;United Nations&lt;/publisher&gt;&lt;urls&gt;&lt;/urls&gt;&lt;/record&gt;&lt;/Cite&gt;&lt;/EndNote&gt;</w:instrText>
      </w:r>
      <w:r>
        <w:rPr>
          <w:lang w:eastAsia="x-none"/>
        </w:rPr>
        <w:fldChar w:fldCharType="separate"/>
      </w:r>
      <w:r w:rsidR="00F40CE2">
        <w:rPr>
          <w:noProof/>
          <w:lang w:eastAsia="x-none"/>
        </w:rPr>
        <w:t>(</w:t>
      </w:r>
      <w:hyperlink w:anchor="_ENREF_81" w:tooltip="Valois, 2012 #682" w:history="1">
        <w:r w:rsidR="00F40CE2">
          <w:rPr>
            <w:noProof/>
            <w:lang w:eastAsia="x-none"/>
          </w:rPr>
          <w:t>Valois et al., 2012</w:t>
        </w:r>
      </w:hyperlink>
      <w:r w:rsidR="00F40CE2">
        <w:rPr>
          <w:noProof/>
          <w:lang w:eastAsia="x-none"/>
        </w:rPr>
        <w:t>)</w:t>
      </w:r>
      <w:r>
        <w:rPr>
          <w:lang w:eastAsia="x-none"/>
        </w:rPr>
        <w:fldChar w:fldCharType="end"/>
      </w:r>
      <w:r>
        <w:rPr>
          <w:lang w:eastAsia="x-none"/>
        </w:rPr>
        <w:t>.</w:t>
      </w:r>
    </w:p>
    <w:p w14:paraId="1AE25D31" w14:textId="294EDA5C" w:rsidR="00C257D1" w:rsidRDefault="00C257D1" w:rsidP="0036663C">
      <w:pPr>
        <w:pStyle w:val="Heading4"/>
      </w:pPr>
      <w:r>
        <w:t xml:space="preserve">Clear PET and </w:t>
      </w:r>
      <w:r w:rsidR="0036663C">
        <w:rPr>
          <w:lang w:val="en-AU"/>
        </w:rPr>
        <w:t>natural</w:t>
      </w:r>
      <w:r>
        <w:t xml:space="preserve"> HDPE</w:t>
      </w:r>
    </w:p>
    <w:p w14:paraId="791DE4E8" w14:textId="41FECCBF" w:rsidR="00C257D1" w:rsidRDefault="00C257D1" w:rsidP="00C257D1">
      <w:pPr>
        <w:rPr>
          <w:lang w:eastAsia="x-none"/>
        </w:rPr>
      </w:pPr>
      <w:r>
        <w:rPr>
          <w:lang w:eastAsia="x-none"/>
        </w:rPr>
        <w:t xml:space="preserve">Clear PET and </w:t>
      </w:r>
      <w:r w:rsidR="0036663C">
        <w:rPr>
          <w:lang w:eastAsia="x-none"/>
        </w:rPr>
        <w:t>natural</w:t>
      </w:r>
      <w:r>
        <w:rPr>
          <w:lang w:eastAsia="x-none"/>
        </w:rPr>
        <w:t xml:space="preserve"> HDPE from the kerbside stream, are reprocessed into plastic blow moulded products.</w:t>
      </w:r>
    </w:p>
    <w:p w14:paraId="0AE39CC2" w14:textId="08377277" w:rsidR="00C257D1" w:rsidRDefault="00C257D1" w:rsidP="00C257D1">
      <w:pPr>
        <w:rPr>
          <w:lang w:eastAsia="x-none"/>
        </w:rPr>
      </w:pPr>
      <w:r>
        <w:rPr>
          <w:lang w:eastAsia="x-none"/>
        </w:rPr>
        <w:t xml:space="preserve">In the Australian sector, demand for blow-moulded products is driven by the food, milk, wine and beverage sector, accounting for 79.7% of revenue </w:t>
      </w:r>
      <w:r>
        <w:rPr>
          <w:lang w:eastAsia="x-none"/>
        </w:rPr>
        <w:fldChar w:fldCharType="begin"/>
      </w:r>
      <w:r w:rsidR="00F40CE2">
        <w:rPr>
          <w:lang w:eastAsia="x-none"/>
        </w:rPr>
        <w:instrText xml:space="preserve"> ADDIN EN.CITE &lt;EndNote&gt;&lt;Cite&gt;&lt;Author&gt;Lin&lt;/Author&gt;&lt;Year&gt;2012&lt;/Year&gt;&lt;RecNum&gt;683&lt;/RecNum&gt;&lt;DisplayText&gt;(Lin, 2012)&lt;/DisplayText&gt;&lt;record&gt;&lt;rec-number&gt;683&lt;/rec-number&gt;&lt;foreign-keys&gt;&lt;key app="EN" db-id="tfpv5staxsvs2nexzpp5taewzsvpx0er5fap"&gt;683&lt;/key&gt;&lt;/foreign-keys&gt;&lt;ref-type name="Report"&gt;27&lt;/ref-type&gt;&lt;contributors&gt;&lt;authors&gt;&lt;author&gt;Lin, R.&lt;/author&gt;&lt;/authors&gt;&lt;/contributors&gt;&lt;titles&gt;&lt;title&gt;IBISWorld Industry Report C1912a. Plastic Blow Moulded Product Manufacturing in Australia&lt;/title&gt;&lt;/titles&gt;&lt;dates&gt;&lt;year&gt;2012&lt;/year&gt;&lt;/dates&gt;&lt;publisher&gt;IBISWorld Pty Ltd.&lt;/publisher&gt;&lt;urls&gt;&lt;/urls&gt;&lt;/record&gt;&lt;/Cite&gt;&lt;/EndNote&gt;</w:instrText>
      </w:r>
      <w:r>
        <w:rPr>
          <w:lang w:eastAsia="x-none"/>
        </w:rPr>
        <w:fldChar w:fldCharType="separate"/>
      </w:r>
      <w:r w:rsidR="00F40CE2">
        <w:rPr>
          <w:noProof/>
          <w:lang w:eastAsia="x-none"/>
        </w:rPr>
        <w:t>(</w:t>
      </w:r>
      <w:hyperlink w:anchor="_ENREF_56" w:tooltip="Lin, 2012 #683" w:history="1">
        <w:r w:rsidR="00F40CE2">
          <w:rPr>
            <w:noProof/>
            <w:lang w:eastAsia="x-none"/>
          </w:rPr>
          <w:t>Lin, 2012</w:t>
        </w:r>
      </w:hyperlink>
      <w:r w:rsidR="00F40CE2">
        <w:rPr>
          <w:noProof/>
          <w:lang w:eastAsia="x-none"/>
        </w:rPr>
        <w:t>)</w:t>
      </w:r>
      <w:r>
        <w:rPr>
          <w:lang w:eastAsia="x-none"/>
        </w:rPr>
        <w:fldChar w:fldCharType="end"/>
      </w:r>
      <w:r>
        <w:rPr>
          <w:lang w:eastAsia="x-none"/>
        </w:rPr>
        <w:t>. Recent advancements in reprocessing technology have allowed PET and HDPE to be closed-loop recycled into products for the food and beverage market. The industry outlook for plastic blow moulded products is positive, with annualised growth of 1.3% expected to 2017-18. The total number of blown bottles is expected to continually increase from 7,361.8 million units in 2012-13 to 7</w:t>
      </w:r>
      <w:r w:rsidR="007C164A">
        <w:rPr>
          <w:lang w:eastAsia="x-none"/>
        </w:rPr>
        <w:t>,596.8 million units in 2017-18.</w:t>
      </w:r>
    </w:p>
    <w:p w14:paraId="59017759" w14:textId="777410B7" w:rsidR="00C257D1" w:rsidRDefault="00C257D1" w:rsidP="00C257D1">
      <w:pPr>
        <w:rPr>
          <w:lang w:eastAsia="x-none"/>
        </w:rPr>
      </w:pPr>
      <w:r>
        <w:rPr>
          <w:lang w:eastAsia="x-none"/>
        </w:rPr>
        <w:t xml:space="preserve">The largest export market for clear PET and HDPE recovered in Australia is China. In the future, the demand for PET in Asia is expected to be driven largely by China. The Asia-Pacific region accounted for 5.12 million </w:t>
      </w:r>
      <w:r w:rsidR="00E82F90">
        <w:rPr>
          <w:lang w:eastAsia="x-none"/>
        </w:rPr>
        <w:t>t</w:t>
      </w:r>
      <w:r>
        <w:rPr>
          <w:lang w:eastAsia="x-none"/>
        </w:rPr>
        <w:t xml:space="preserve"> of PET in 2010 and this is expected to increase to 11.2 million </w:t>
      </w:r>
      <w:r w:rsidR="00E82F90">
        <w:rPr>
          <w:lang w:eastAsia="x-none"/>
        </w:rPr>
        <w:t>t</w:t>
      </w:r>
      <w:r>
        <w:rPr>
          <w:lang w:eastAsia="x-none"/>
        </w:rPr>
        <w:t xml:space="preserve"> in 2020 </w:t>
      </w:r>
      <w:r>
        <w:rPr>
          <w:lang w:eastAsia="x-none"/>
        </w:rPr>
        <w:fldChar w:fldCharType="begin"/>
      </w:r>
      <w:r w:rsidR="00F40CE2">
        <w:rPr>
          <w:lang w:eastAsia="x-none"/>
        </w:rPr>
        <w:instrText xml:space="preserve"> ADDIN EN.CITE &lt;EndNote&gt;&lt;Cite&gt;&lt;Author&gt;FoodProcessing&lt;/Author&gt;&lt;Year&gt;2012&lt;/Year&gt;&lt;RecNum&gt;684&lt;/RecNum&gt;&lt;DisplayText&gt;(FoodProcessing, 2012)&lt;/DisplayText&gt;&lt;record&gt;&lt;rec-number&gt;684&lt;/rec-number&gt;&lt;foreign-keys&gt;&lt;key app="EN" db-id="tfpv5staxsvs2nexzpp5taewzsvpx0er5fap"&gt;684&lt;/key&gt;&lt;/foreign-keys&gt;&lt;ref-type name="Electronic Article"&gt;43&lt;/ref-type&gt;&lt;contributors&gt;&lt;authors&gt;&lt;author&gt;FoodProcessing&lt;/author&gt;&lt;/authors&gt;&lt;/contributors&gt;&lt;titles&gt;&lt;title&gt;China will lead PET market by 2020, says GBI Research&lt;/title&gt;&lt;/titles&gt;&lt;dates&gt;&lt;year&gt;2012&lt;/year&gt;&lt;pub-dates&gt;&lt;date&gt;23/05/2013&lt;/date&gt;&lt;/pub-dates&gt;&lt;/dates&gt;&lt;publisher&gt;FoodProcessing&lt;/publisher&gt;&lt;urls&gt;&lt;related-urls&gt;&lt;url&gt;www.foodprocessing.com.au/news/53428-China-will-lead-PET-market-by-2-2-says-GBI-Research&lt;/url&gt;&lt;/related-urls&gt;&lt;/urls&gt;&lt;/record&gt;&lt;/Cite&gt;&lt;/EndNote&gt;</w:instrText>
      </w:r>
      <w:r>
        <w:rPr>
          <w:lang w:eastAsia="x-none"/>
        </w:rPr>
        <w:fldChar w:fldCharType="separate"/>
      </w:r>
      <w:r w:rsidR="00F40CE2">
        <w:rPr>
          <w:noProof/>
          <w:lang w:eastAsia="x-none"/>
        </w:rPr>
        <w:t>(</w:t>
      </w:r>
      <w:hyperlink w:anchor="_ENREF_27" w:tooltip="FoodProcessing, 2012 #684" w:history="1">
        <w:r w:rsidR="00F40CE2">
          <w:rPr>
            <w:noProof/>
            <w:lang w:eastAsia="x-none"/>
          </w:rPr>
          <w:t>FoodProcessing, 2012</w:t>
        </w:r>
      </w:hyperlink>
      <w:r w:rsidR="00F40CE2">
        <w:rPr>
          <w:noProof/>
          <w:lang w:eastAsia="x-none"/>
        </w:rPr>
        <w:t>)</w:t>
      </w:r>
      <w:r>
        <w:rPr>
          <w:lang w:eastAsia="x-none"/>
        </w:rPr>
        <w:fldChar w:fldCharType="end"/>
      </w:r>
      <w:r>
        <w:rPr>
          <w:lang w:eastAsia="x-none"/>
        </w:rPr>
        <w:t xml:space="preserve">. Similarly, demand for HDPE in China is expected to grow from 9.2 million </w:t>
      </w:r>
      <w:r w:rsidR="00E82F90">
        <w:rPr>
          <w:lang w:eastAsia="x-none"/>
        </w:rPr>
        <w:t>t</w:t>
      </w:r>
      <w:r>
        <w:rPr>
          <w:lang w:eastAsia="x-none"/>
        </w:rPr>
        <w:t xml:space="preserve"> in 2009 to 12.5 million </w:t>
      </w:r>
      <w:r w:rsidR="00E82F90">
        <w:rPr>
          <w:lang w:eastAsia="x-none"/>
        </w:rPr>
        <w:t>t</w:t>
      </w:r>
      <w:r>
        <w:rPr>
          <w:lang w:eastAsia="x-none"/>
        </w:rPr>
        <w:t xml:space="preserve"> in 2017 </w:t>
      </w:r>
      <w:r>
        <w:rPr>
          <w:lang w:eastAsia="x-none"/>
        </w:rPr>
        <w:fldChar w:fldCharType="begin"/>
      </w:r>
      <w:r w:rsidR="00F40CE2">
        <w:rPr>
          <w:lang w:eastAsia="x-none"/>
        </w:rPr>
        <w:instrText xml:space="preserve"> ADDIN EN.CITE &lt;EndNote&gt;&lt;Cite&gt;&lt;Author&gt;CNCIC Consulting&lt;/Author&gt;&lt;Year&gt;2013&lt;/Year&gt;&lt;RecNum&gt;685&lt;/RecNum&gt;&lt;DisplayText&gt;(CNCIC Consulting, 2013)&lt;/DisplayText&gt;&lt;record&gt;&lt;rec-number&gt;685&lt;/rec-number&gt;&lt;foreign-keys&gt;&lt;key app="EN" db-id="tfpv5staxsvs2nexzpp5taewzsvpx0er5fap"&gt;685&lt;/key&gt;&lt;/foreign-keys&gt;&lt;ref-type name="Audiovisual Material"&gt;3&lt;/ref-type&gt;&lt;contributors&gt;&lt;authors&gt;&lt;author&gt;CNCIC Consulting,&lt;/author&gt;&lt;/authors&gt;&lt;/contributors&gt;&lt;titles&gt;&lt;title&gt;Demand status and forecast of polyolefins in China&lt;/title&gt;&lt;/titles&gt;&lt;dates&gt;&lt;year&gt;2013&lt;/year&gt;&lt;/dates&gt;&lt;publisher&gt;China National Chemical Information Center&lt;/publisher&gt;&lt;urls&gt;&lt;/urls&gt;&lt;/record&gt;&lt;/Cite&gt;&lt;/EndNote&gt;</w:instrText>
      </w:r>
      <w:r>
        <w:rPr>
          <w:lang w:eastAsia="x-none"/>
        </w:rPr>
        <w:fldChar w:fldCharType="separate"/>
      </w:r>
      <w:r w:rsidR="00F40CE2">
        <w:rPr>
          <w:noProof/>
          <w:lang w:eastAsia="x-none"/>
        </w:rPr>
        <w:t>(</w:t>
      </w:r>
      <w:hyperlink w:anchor="_ENREF_14" w:tooltip="CNCIC Consulting, 2013 #685" w:history="1">
        <w:r w:rsidR="00F40CE2">
          <w:rPr>
            <w:noProof/>
            <w:lang w:eastAsia="x-none"/>
          </w:rPr>
          <w:t>CNCIC Consulting, 2013</w:t>
        </w:r>
      </w:hyperlink>
      <w:r w:rsidR="00F40CE2">
        <w:rPr>
          <w:noProof/>
          <w:lang w:eastAsia="x-none"/>
        </w:rPr>
        <w:t>)</w:t>
      </w:r>
      <w:r>
        <w:rPr>
          <w:lang w:eastAsia="x-none"/>
        </w:rPr>
        <w:fldChar w:fldCharType="end"/>
      </w:r>
      <w:r>
        <w:rPr>
          <w:lang w:eastAsia="x-none"/>
        </w:rPr>
        <w:t>.</w:t>
      </w:r>
    </w:p>
    <w:p w14:paraId="284C6601" w14:textId="77777777" w:rsidR="00C257D1" w:rsidRDefault="00C257D1" w:rsidP="0036663C">
      <w:pPr>
        <w:pStyle w:val="Heading4"/>
      </w:pPr>
      <w:r>
        <w:lastRenderedPageBreak/>
        <w:t>Mixed plastics</w:t>
      </w:r>
    </w:p>
    <w:p w14:paraId="15F1F195" w14:textId="41A26227" w:rsidR="00C257D1" w:rsidRPr="008B0790" w:rsidRDefault="00C257D1" w:rsidP="00C257D1">
      <w:pPr>
        <w:rPr>
          <w:lang w:eastAsia="x-none"/>
        </w:rPr>
      </w:pPr>
      <w:r>
        <w:rPr>
          <w:lang w:eastAsia="x-none"/>
        </w:rPr>
        <w:t xml:space="preserve">The largest market for exported mixed plastics is China. In China, the demand for waste plastics more broadly, is expected to increase from 15 million </w:t>
      </w:r>
      <w:r w:rsidR="00E82F90">
        <w:rPr>
          <w:lang w:eastAsia="x-none"/>
        </w:rPr>
        <w:t>t</w:t>
      </w:r>
      <w:r>
        <w:rPr>
          <w:lang w:eastAsia="x-none"/>
        </w:rPr>
        <w:t xml:space="preserve"> in 2007 to 45 million </w:t>
      </w:r>
      <w:r w:rsidR="00E82F90">
        <w:rPr>
          <w:lang w:eastAsia="x-none"/>
        </w:rPr>
        <w:t>t</w:t>
      </w:r>
      <w:r>
        <w:rPr>
          <w:lang w:eastAsia="x-none"/>
        </w:rPr>
        <w:t xml:space="preserve"> and 85 million </w:t>
      </w:r>
      <w:r w:rsidR="00E82F90">
        <w:rPr>
          <w:lang w:eastAsia="x-none"/>
        </w:rPr>
        <w:t>t</w:t>
      </w:r>
      <w:r>
        <w:rPr>
          <w:lang w:eastAsia="x-none"/>
        </w:rPr>
        <w:t xml:space="preserve"> in 2015 and 2020, respectively </w:t>
      </w:r>
      <w:r>
        <w:rPr>
          <w:lang w:eastAsia="x-none"/>
        </w:rPr>
        <w:fldChar w:fldCharType="begin"/>
      </w:r>
      <w:r w:rsidR="00F40CE2">
        <w:rPr>
          <w:lang w:eastAsia="x-none"/>
        </w:rPr>
        <w:instrText xml:space="preserve"> ADDIN EN.CITE &lt;EndNote&gt;&lt;Cite&gt;&lt;Author&gt;IPTS&lt;/Author&gt;&lt;Year&gt;2013&lt;/Year&gt;&lt;RecNum&gt;686&lt;/RecNum&gt;&lt;DisplayText&gt;(IPTS, 2013)&lt;/DisplayText&gt;&lt;record&gt;&lt;rec-number&gt;686&lt;/rec-number&gt;&lt;foreign-keys&gt;&lt;key app="EN" db-id="tfpv5staxsvs2nexzpp5taewzsvpx0er5fap"&gt;686&lt;/key&gt;&lt;/foreign-keys&gt;&lt;ref-type name="Report"&gt;27&lt;/ref-type&gt;&lt;contributors&gt;&lt;authors&gt;&lt;author&gt;IPTS&lt;/author&gt;&lt;/authors&gt;&lt;/contributors&gt;&lt;titles&gt;&lt;title&gt;End-of-waste criteria for waste plastic for conversion. Technical proposals. Final Draft Report.&lt;/title&gt;&lt;/titles&gt;&lt;dates&gt;&lt;year&gt;2013&lt;/year&gt;&lt;/dates&gt;&lt;publisher&gt;JRC European Commission. Institute for Prospective Technological Studies.&lt;/publisher&gt;&lt;urls&gt;&lt;/urls&gt;&lt;/record&gt;&lt;/Cite&gt;&lt;/EndNote&gt;</w:instrText>
      </w:r>
      <w:r>
        <w:rPr>
          <w:lang w:eastAsia="x-none"/>
        </w:rPr>
        <w:fldChar w:fldCharType="separate"/>
      </w:r>
      <w:r w:rsidR="00F40CE2">
        <w:rPr>
          <w:noProof/>
          <w:lang w:eastAsia="x-none"/>
        </w:rPr>
        <w:t>(</w:t>
      </w:r>
      <w:hyperlink w:anchor="_ENREF_52" w:tooltip="IPTS, 2013 #686" w:history="1">
        <w:r w:rsidR="00F40CE2">
          <w:rPr>
            <w:noProof/>
            <w:lang w:eastAsia="x-none"/>
          </w:rPr>
          <w:t>IPTS, 2013</w:t>
        </w:r>
      </w:hyperlink>
      <w:r w:rsidR="00F40CE2">
        <w:rPr>
          <w:noProof/>
          <w:lang w:eastAsia="x-none"/>
        </w:rPr>
        <w:t>)</w:t>
      </w:r>
      <w:r>
        <w:rPr>
          <w:lang w:eastAsia="x-none"/>
        </w:rPr>
        <w:fldChar w:fldCharType="end"/>
      </w:r>
      <w:r>
        <w:rPr>
          <w:lang w:eastAsia="x-none"/>
        </w:rPr>
        <w:t xml:space="preserve">. </w:t>
      </w:r>
    </w:p>
    <w:p w14:paraId="7DCDA3F6" w14:textId="77777777" w:rsidR="00C257D1" w:rsidRDefault="00C257D1" w:rsidP="0036663C">
      <w:pPr>
        <w:pStyle w:val="Heading4"/>
      </w:pPr>
      <w:r>
        <w:t>Organics</w:t>
      </w:r>
    </w:p>
    <w:p w14:paraId="55181578" w14:textId="61B19F97" w:rsidR="00C257D1" w:rsidRPr="00F00DE3" w:rsidRDefault="00D57F82" w:rsidP="00C257D1">
      <w:pPr>
        <w:rPr>
          <w:lang w:eastAsia="x-none"/>
        </w:rPr>
      </w:pPr>
      <w:r>
        <w:rPr>
          <w:lang w:eastAsia="x-none"/>
        </w:rPr>
        <w:t>A key future</w:t>
      </w:r>
      <w:r w:rsidR="00C257D1">
        <w:rPr>
          <w:lang w:eastAsia="x-none"/>
        </w:rPr>
        <w:t xml:space="preserve"> market for reprocessed organic material is agriculture. The agriculture sector includes the production of fruit and vegetables, grains and sugar cane, meat, dairy and egg products. The annual revenue growth of the sector is expected to be 1.8% annualised over five years to 2017-18, driven by forecast increases in demand for exports </w:t>
      </w:r>
      <w:r w:rsidR="00C257D1">
        <w:rPr>
          <w:lang w:eastAsia="x-none"/>
        </w:rPr>
        <w:fldChar w:fldCharType="begin"/>
      </w:r>
      <w:r w:rsidR="00F40CE2">
        <w:rPr>
          <w:lang w:eastAsia="x-none"/>
        </w:rPr>
        <w:instrText xml:space="preserve"> ADDIN EN.CITE &lt;EndNote&gt;&lt;Cite&gt;&lt;Author&gt;Outlaw&lt;/Author&gt;&lt;Year&gt;2013&lt;/Year&gt;&lt;RecNum&gt;694&lt;/RecNum&gt;&lt;DisplayText&gt;(Outlaw, 2013)&lt;/DisplayText&gt;&lt;record&gt;&lt;rec-number&gt;694&lt;/rec-number&gt;&lt;foreign-keys&gt;&lt;key app="EN" db-id="tfpv5staxsvs2nexzpp5taewzsvpx0er5fap"&gt;694&lt;/key&gt;&lt;/foreign-keys&gt;&lt;ref-type name="Report"&gt;27&lt;/ref-type&gt;&lt;contributors&gt;&lt;authors&gt;&lt;author&gt;Outlaw, K.&lt;/author&gt;&lt;/authors&gt;&lt;/contributors&gt;&lt;titles&gt;&lt;title&gt;IBISWorld Industry Report X0005. Agribusiness in Australia&lt;/title&gt;&lt;/titles&gt;&lt;dates&gt;&lt;year&gt;2013&lt;/year&gt;&lt;/dates&gt;&lt;publisher&gt;IBISWorld Pty Ltd.&lt;/publisher&gt;&lt;urls&gt;&lt;/urls&gt;&lt;/record&gt;&lt;/Cite&gt;&lt;/EndNote&gt;</w:instrText>
      </w:r>
      <w:r w:rsidR="00C257D1">
        <w:rPr>
          <w:lang w:eastAsia="x-none"/>
        </w:rPr>
        <w:fldChar w:fldCharType="separate"/>
      </w:r>
      <w:r w:rsidR="00F40CE2">
        <w:rPr>
          <w:noProof/>
          <w:lang w:eastAsia="x-none"/>
        </w:rPr>
        <w:t>(</w:t>
      </w:r>
      <w:hyperlink w:anchor="_ENREF_63" w:tooltip="Outlaw, 2013 #694" w:history="1">
        <w:r w:rsidR="00F40CE2">
          <w:rPr>
            <w:noProof/>
            <w:lang w:eastAsia="x-none"/>
          </w:rPr>
          <w:t>Outlaw, 2013</w:t>
        </w:r>
      </w:hyperlink>
      <w:r w:rsidR="00F40CE2">
        <w:rPr>
          <w:noProof/>
          <w:lang w:eastAsia="x-none"/>
        </w:rPr>
        <w:t>)</w:t>
      </w:r>
      <w:r w:rsidR="00C257D1">
        <w:rPr>
          <w:lang w:eastAsia="x-none"/>
        </w:rPr>
        <w:fldChar w:fldCharType="end"/>
      </w:r>
      <w:r w:rsidR="00C257D1">
        <w:rPr>
          <w:lang w:eastAsia="x-none"/>
        </w:rPr>
        <w:t xml:space="preserve">. Agricultural output volumes are also expected to increase </w:t>
      </w:r>
      <w:r w:rsidR="00C257D1">
        <w:rPr>
          <w:lang w:eastAsia="x-none"/>
        </w:rPr>
        <w:fldChar w:fldCharType="begin"/>
      </w:r>
      <w:r w:rsidR="00F40CE2">
        <w:rPr>
          <w:lang w:eastAsia="x-none"/>
        </w:rPr>
        <w:instrText xml:space="preserve"> ADDIN EN.CITE &lt;EndNote&gt;&lt;Cite&gt;&lt;Author&gt;Outlaw&lt;/Author&gt;&lt;Year&gt;2013&lt;/Year&gt;&lt;RecNum&gt;694&lt;/RecNum&gt;&lt;DisplayText&gt;(Outlaw, 2013)&lt;/DisplayText&gt;&lt;record&gt;&lt;rec-number&gt;694&lt;/rec-number&gt;&lt;foreign-keys&gt;&lt;key app="EN" db-id="tfpv5staxsvs2nexzpp5taewzsvpx0er5fap"&gt;694&lt;/key&gt;&lt;/foreign-keys&gt;&lt;ref-type name="Report"&gt;27&lt;/ref-type&gt;&lt;contributors&gt;&lt;authors&gt;&lt;author&gt;Outlaw, K.&lt;/author&gt;&lt;/authors&gt;&lt;/contributors&gt;&lt;titles&gt;&lt;title&gt;IBISWorld Industry Report X0005. Agribusiness in Australia&lt;/title&gt;&lt;/titles&gt;&lt;dates&gt;&lt;year&gt;2013&lt;/year&gt;&lt;/dates&gt;&lt;publisher&gt;IBISWorld Pty Ltd.&lt;/publisher&gt;&lt;urls&gt;&lt;/urls&gt;&lt;/record&gt;&lt;/Cite&gt;&lt;/EndNote&gt;</w:instrText>
      </w:r>
      <w:r w:rsidR="00C257D1">
        <w:rPr>
          <w:lang w:eastAsia="x-none"/>
        </w:rPr>
        <w:fldChar w:fldCharType="separate"/>
      </w:r>
      <w:r w:rsidR="00F40CE2">
        <w:rPr>
          <w:noProof/>
          <w:lang w:eastAsia="x-none"/>
        </w:rPr>
        <w:t>(</w:t>
      </w:r>
      <w:hyperlink w:anchor="_ENREF_63" w:tooltip="Outlaw, 2013 #694" w:history="1">
        <w:r w:rsidR="00F40CE2">
          <w:rPr>
            <w:noProof/>
            <w:lang w:eastAsia="x-none"/>
          </w:rPr>
          <w:t>Outlaw, 2013</w:t>
        </w:r>
      </w:hyperlink>
      <w:r w:rsidR="00F40CE2">
        <w:rPr>
          <w:noProof/>
          <w:lang w:eastAsia="x-none"/>
        </w:rPr>
        <w:t>)</w:t>
      </w:r>
      <w:r w:rsidR="00C257D1">
        <w:rPr>
          <w:lang w:eastAsia="x-none"/>
        </w:rPr>
        <w:fldChar w:fldCharType="end"/>
      </w:r>
      <w:r w:rsidR="00C257D1">
        <w:rPr>
          <w:lang w:eastAsia="x-none"/>
        </w:rPr>
        <w:t xml:space="preserve">. The modelling approach in the main study assumes that reprocessed organics avoided the production of synthetic nitrogen (N), phosphorous (P) and potassium (K) fertilisers. The growth in demand for food production is coupled with fertiliser production and as such, the demand for fertiliser is expected to increase over the five years to 2017-18, with revenue also expected to increase at an annualised rate of 1.8% over this period </w:t>
      </w:r>
      <w:r w:rsidR="00C257D1">
        <w:rPr>
          <w:lang w:eastAsia="x-none"/>
        </w:rPr>
        <w:fldChar w:fldCharType="begin"/>
      </w:r>
      <w:r w:rsidR="00F40CE2">
        <w:rPr>
          <w:lang w:eastAsia="x-none"/>
        </w:rPr>
        <w:instrText xml:space="preserve"> ADDIN EN.CITE &lt;EndNote&gt;&lt;Cite&gt;&lt;Author&gt;Richardson&lt;/Author&gt;&lt;Year&gt;2013&lt;/Year&gt;&lt;RecNum&gt;695&lt;/RecNum&gt;&lt;DisplayText&gt;(Richardson, 2013)&lt;/DisplayText&gt;&lt;record&gt;&lt;rec-number&gt;695&lt;/rec-number&gt;&lt;foreign-keys&gt;&lt;key app="EN" db-id="tfpv5staxsvs2nexzpp5taewzsvpx0er5fap"&gt;695&lt;/key&gt;&lt;/foreign-keys&gt;&lt;ref-type name="Report"&gt;27&lt;/ref-type&gt;&lt;contributors&gt;&lt;authors&gt;&lt;author&gt;Richardson, Arna&lt;/author&gt;&lt;/authors&gt;&lt;/contributors&gt;&lt;titles&gt;&lt;title&gt;IBISWorld Industry Report C1831. Fertiliser Manufacturing in Australia&lt;/title&gt;&lt;/titles&gt;&lt;dates&gt;&lt;year&gt;2013&lt;/year&gt;&lt;/dates&gt;&lt;publisher&gt;IBISWorld Pty Ltd.&lt;/publisher&gt;&lt;urls&gt;&lt;/urls&gt;&lt;/record&gt;&lt;/Cite&gt;&lt;/EndNote&gt;</w:instrText>
      </w:r>
      <w:r w:rsidR="00C257D1">
        <w:rPr>
          <w:lang w:eastAsia="x-none"/>
        </w:rPr>
        <w:fldChar w:fldCharType="separate"/>
      </w:r>
      <w:r w:rsidR="00F40CE2">
        <w:rPr>
          <w:noProof/>
          <w:lang w:eastAsia="x-none"/>
        </w:rPr>
        <w:t>(</w:t>
      </w:r>
      <w:hyperlink w:anchor="_ENREF_68" w:tooltip="Richardson, 2013 #695" w:history="1">
        <w:r w:rsidR="00F40CE2">
          <w:rPr>
            <w:noProof/>
            <w:lang w:eastAsia="x-none"/>
          </w:rPr>
          <w:t>Richardson, 2013</w:t>
        </w:r>
      </w:hyperlink>
      <w:r w:rsidR="00F40CE2">
        <w:rPr>
          <w:noProof/>
          <w:lang w:eastAsia="x-none"/>
        </w:rPr>
        <w:t>)</w:t>
      </w:r>
      <w:r w:rsidR="00C257D1">
        <w:rPr>
          <w:lang w:eastAsia="x-none"/>
        </w:rPr>
        <w:fldChar w:fldCharType="end"/>
      </w:r>
      <w:r w:rsidR="00C257D1">
        <w:rPr>
          <w:lang w:eastAsia="x-none"/>
        </w:rPr>
        <w:t>. An alternate market for reprocess</w:t>
      </w:r>
      <w:r w:rsidR="001420B6">
        <w:rPr>
          <w:lang w:eastAsia="x-none"/>
        </w:rPr>
        <w:t>ed</w:t>
      </w:r>
      <w:r w:rsidR="00C257D1">
        <w:rPr>
          <w:lang w:eastAsia="x-none"/>
        </w:rPr>
        <w:t xml:space="preserve"> organic material is garden supply retailers. The forecast for this market is also positive, with revenue expected to grow at annualised rate of 1.5% to 2017-18 </w:t>
      </w:r>
      <w:r w:rsidR="00C257D1">
        <w:rPr>
          <w:lang w:eastAsia="x-none"/>
        </w:rPr>
        <w:fldChar w:fldCharType="begin"/>
      </w:r>
      <w:r w:rsidR="00F40CE2">
        <w:rPr>
          <w:lang w:eastAsia="x-none"/>
        </w:rPr>
        <w:instrText xml:space="preserve"> ADDIN EN.CITE &lt;EndNote&gt;&lt;Cite&gt;&lt;Author&gt;Fitzpatrick&lt;/Author&gt;&lt;Year&gt;2013&lt;/Year&gt;&lt;RecNum&gt;696&lt;/RecNum&gt;&lt;DisplayText&gt;(Fitzpatrick, 2013)&lt;/DisplayText&gt;&lt;record&gt;&lt;rec-number&gt;696&lt;/rec-number&gt;&lt;foreign-keys&gt;&lt;key app="EN" db-id="tfpv5staxsvs2nexzpp5taewzsvpx0er5fap"&gt;696&lt;/key&gt;&lt;/foreign-keys&gt;&lt;ref-type name="Report"&gt;27&lt;/ref-type&gt;&lt;contributors&gt;&lt;authors&gt;&lt;author&gt;Fitzpatrick, Nigel&lt;/author&gt;&lt;/authors&gt;&lt;/contributors&gt;&lt;titles&gt;&lt;title&gt;IBISWorld Industry Report G4232. Garden Supplies Retailing in Australia&lt;/title&gt;&lt;/titles&gt;&lt;dates&gt;&lt;year&gt;2013&lt;/year&gt;&lt;/dates&gt;&lt;publisher&gt;IBISWorld Pty Ltd.&lt;/publisher&gt;&lt;urls&gt;&lt;/urls&gt;&lt;/record&gt;&lt;/Cite&gt;&lt;/EndNote&gt;</w:instrText>
      </w:r>
      <w:r w:rsidR="00C257D1">
        <w:rPr>
          <w:lang w:eastAsia="x-none"/>
        </w:rPr>
        <w:fldChar w:fldCharType="separate"/>
      </w:r>
      <w:r w:rsidR="00F40CE2">
        <w:rPr>
          <w:noProof/>
          <w:lang w:eastAsia="x-none"/>
        </w:rPr>
        <w:t>(</w:t>
      </w:r>
      <w:hyperlink w:anchor="_ENREF_26" w:tooltip="Fitzpatrick, 2013 #696" w:history="1">
        <w:r w:rsidR="00F40CE2">
          <w:rPr>
            <w:noProof/>
            <w:lang w:eastAsia="x-none"/>
          </w:rPr>
          <w:t>Fitzpatrick, 2013</w:t>
        </w:r>
      </w:hyperlink>
      <w:r w:rsidR="00F40CE2">
        <w:rPr>
          <w:noProof/>
          <w:lang w:eastAsia="x-none"/>
        </w:rPr>
        <w:t>)</w:t>
      </w:r>
      <w:r w:rsidR="00C257D1">
        <w:rPr>
          <w:lang w:eastAsia="x-none"/>
        </w:rPr>
        <w:fldChar w:fldCharType="end"/>
      </w:r>
      <w:r w:rsidR="00C257D1">
        <w:rPr>
          <w:lang w:eastAsia="x-none"/>
        </w:rPr>
        <w:t>.</w:t>
      </w:r>
    </w:p>
    <w:p w14:paraId="17FC753D" w14:textId="77777777" w:rsidR="00C257D1" w:rsidRPr="00041296" w:rsidRDefault="00C257D1" w:rsidP="0036663C">
      <w:pPr>
        <w:pStyle w:val="Heading3"/>
      </w:pPr>
      <w:bookmarkStart w:id="246" w:name="_Toc433964585"/>
      <w:r>
        <w:t>Discussion</w:t>
      </w:r>
      <w:bookmarkEnd w:id="246"/>
    </w:p>
    <w:p w14:paraId="4B2A5411" w14:textId="77777777" w:rsidR="00C257D1" w:rsidRDefault="00C257D1" w:rsidP="0036663C">
      <w:pPr>
        <w:pStyle w:val="Heading4"/>
      </w:pPr>
      <w:r>
        <w:t>Packaging Glass</w:t>
      </w:r>
    </w:p>
    <w:p w14:paraId="31E7DEC7" w14:textId="0659C38B" w:rsidR="00C257D1" w:rsidRDefault="00C257D1" w:rsidP="00C257D1">
      <w:pPr>
        <w:rPr>
          <w:lang w:eastAsia="x-none"/>
        </w:rPr>
      </w:pPr>
      <w:r>
        <w:rPr>
          <w:lang w:eastAsia="x-none"/>
        </w:rPr>
        <w:t xml:space="preserve">Although the limited growth in the packaging glass sector would likely lead to continual use and increase in demand for cullet, a contraction in the demand for local (Australian) glass could mean that any additional cullet (from the recycling supply chain) would not be used in the production of new glass bottles. Cullet is only used domestically as the economics are not favourable for international reprocessing. As such, if the demand for cullet decreases as a result of reduced domestic packaging glass production, the environmental credit for its use in packaging glass </w:t>
      </w:r>
      <w:r w:rsidR="001420B6">
        <w:rPr>
          <w:lang w:eastAsia="x-none"/>
        </w:rPr>
        <w:t>would</w:t>
      </w:r>
      <w:r>
        <w:rPr>
          <w:lang w:eastAsia="x-none"/>
        </w:rPr>
        <w:t xml:space="preserve"> no longer </w:t>
      </w:r>
      <w:r w:rsidR="001420B6">
        <w:rPr>
          <w:lang w:eastAsia="x-none"/>
        </w:rPr>
        <w:t xml:space="preserve">be </w:t>
      </w:r>
      <w:r>
        <w:rPr>
          <w:lang w:eastAsia="x-none"/>
        </w:rPr>
        <w:t xml:space="preserve">applicable. Rather, the fate of cullet may take one or more different pathways, including stock-piling or reprocessing and use as a substitute for sand/aggregate </w:t>
      </w:r>
      <w:r>
        <w:rPr>
          <w:lang w:eastAsia="x-none"/>
        </w:rPr>
        <w:fldChar w:fldCharType="begin"/>
      </w:r>
      <w:r w:rsidR="00F40CE2">
        <w:rPr>
          <w:lang w:eastAsia="x-none"/>
        </w:rPr>
        <w:instrText xml:space="preserve"> ADDIN EN.CITE &lt;EndNote&gt;&lt;Cite&gt;&lt;Author&gt;GHD&lt;/Author&gt;&lt;Year&gt;2008&lt;/Year&gt;&lt;RecNum&gt;697&lt;/RecNum&gt;&lt;DisplayText&gt;(GHD, 2008)&lt;/DisplayText&gt;&lt;record&gt;&lt;rec-number&gt;697&lt;/rec-number&gt;&lt;foreign-keys&gt;&lt;key app="EN" db-id="tfpv5staxsvs2nexzpp5taewzsvpx0er5fap"&gt;697&lt;/key&gt;&lt;/foreign-keys&gt;&lt;ref-type name="Report"&gt;27&lt;/ref-type&gt;&lt;contributors&gt;&lt;authors&gt;&lt;author&gt;GHD&lt;/author&gt;&lt;/authors&gt;&lt;/contributors&gt;&lt;titles&gt;&lt;title&gt;The use of Crushed Glass as both an Aggregate Substitute in Road Base and in Asphalt in Australia. Business Case.&lt;/title&gt;&lt;secondary-title&gt;Packaging Stewardship Forum, Australian Food and Grocery Council&lt;/secondary-title&gt;&lt;/titles&gt;&lt;number&gt;21/17662/142653&lt;/number&gt;&lt;dates&gt;&lt;year&gt;2008&lt;/year&gt;&lt;/dates&gt;&lt;urls&gt;&lt;/urls&gt;&lt;/record&gt;&lt;/Cite&gt;&lt;/EndNote&gt;</w:instrText>
      </w:r>
      <w:r>
        <w:rPr>
          <w:lang w:eastAsia="x-none"/>
        </w:rPr>
        <w:fldChar w:fldCharType="separate"/>
      </w:r>
      <w:r w:rsidR="00F40CE2">
        <w:rPr>
          <w:noProof/>
          <w:lang w:eastAsia="x-none"/>
        </w:rPr>
        <w:t>(</w:t>
      </w:r>
      <w:hyperlink w:anchor="_ENREF_31" w:tooltip="GHD, 2008 #697" w:history="1">
        <w:r w:rsidR="00F40CE2">
          <w:rPr>
            <w:noProof/>
            <w:lang w:eastAsia="x-none"/>
          </w:rPr>
          <w:t>GHD, 2008</w:t>
        </w:r>
      </w:hyperlink>
      <w:r w:rsidR="00F40CE2">
        <w:rPr>
          <w:noProof/>
          <w:lang w:eastAsia="x-none"/>
        </w:rPr>
        <w:t>)</w:t>
      </w:r>
      <w:r>
        <w:rPr>
          <w:lang w:eastAsia="x-none"/>
        </w:rPr>
        <w:fldChar w:fldCharType="end"/>
      </w:r>
      <w:r>
        <w:rPr>
          <w:lang w:eastAsia="x-none"/>
        </w:rPr>
        <w:t xml:space="preserve">. The use of reprocessed glass waste for sand/aggregate can have environmental benefits </w:t>
      </w:r>
      <w:r>
        <w:rPr>
          <w:lang w:eastAsia="x-none"/>
        </w:rPr>
        <w:fldChar w:fldCharType="begin"/>
      </w:r>
      <w:r w:rsidR="00F40CE2">
        <w:rPr>
          <w:lang w:eastAsia="x-none"/>
        </w:rPr>
        <w:instrText xml:space="preserve"> ADDIN EN.CITE &lt;EndNote&gt;&lt;Cite&gt;&lt;Author&gt;Hedayati&lt;/Author&gt;&lt;Year&gt;2013&lt;/Year&gt;&lt;RecNum&gt;698&lt;/RecNum&gt;&lt;DisplayText&gt;(Hedayati, 2013)&lt;/DisplayText&gt;&lt;record&gt;&lt;rec-number&gt;698&lt;/rec-number&gt;&lt;foreign-keys&gt;&lt;key app="EN" db-id="tfpv5staxsvs2nexzpp5taewzsvpx0er5fap"&gt;698&lt;/key&gt;&lt;/foreign-keys&gt;&lt;ref-type name="Report"&gt;27&lt;/ref-type&gt;&lt;contributors&gt;&lt;authors&gt;&lt;author&gt;Hedayati, M.&lt;/author&gt;&lt;/authors&gt;&lt;/contributors&gt;&lt;titles&gt;&lt;title&gt;Life cycle assessment of recycled sand. ISO 14040:2006 compliant LCA prepared for Alex Fraser Pty. Ltd.&lt;/title&gt;&lt;/titles&gt;&lt;dates&gt;&lt;year&gt;2013&lt;/year&gt;&lt;/dates&gt;&lt;pub-location&gt;Melbourne&lt;/pub-location&gt;&lt;publisher&gt;Centre for Design, RMIT University&lt;/publisher&gt;&lt;urls&gt;&lt;/urls&gt;&lt;/record&gt;&lt;/Cite&gt;&lt;/EndNote&gt;</w:instrText>
      </w:r>
      <w:r>
        <w:rPr>
          <w:lang w:eastAsia="x-none"/>
        </w:rPr>
        <w:fldChar w:fldCharType="separate"/>
      </w:r>
      <w:r w:rsidR="00F40CE2">
        <w:rPr>
          <w:noProof/>
          <w:lang w:eastAsia="x-none"/>
        </w:rPr>
        <w:t>(</w:t>
      </w:r>
      <w:hyperlink w:anchor="_ENREF_42" w:tooltip="Hedayati, 2013 #698" w:history="1">
        <w:r w:rsidR="00F40CE2">
          <w:rPr>
            <w:noProof/>
            <w:lang w:eastAsia="x-none"/>
          </w:rPr>
          <w:t>Hedayati, 2013</w:t>
        </w:r>
      </w:hyperlink>
      <w:r w:rsidR="00F40CE2">
        <w:rPr>
          <w:noProof/>
          <w:lang w:eastAsia="x-none"/>
        </w:rPr>
        <w:t>)</w:t>
      </w:r>
      <w:r>
        <w:rPr>
          <w:lang w:eastAsia="x-none"/>
        </w:rPr>
        <w:fldChar w:fldCharType="end"/>
      </w:r>
      <w:r>
        <w:rPr>
          <w:lang w:eastAsia="x-none"/>
        </w:rPr>
        <w:t>, although this is sensitive to transport distances and market dynamics.</w:t>
      </w:r>
    </w:p>
    <w:p w14:paraId="275A4087" w14:textId="230267CD" w:rsidR="00C257D1" w:rsidRDefault="00C257D1" w:rsidP="00C257D1">
      <w:pPr>
        <w:rPr>
          <w:lang w:eastAsia="x-none"/>
        </w:rPr>
      </w:pPr>
      <w:r>
        <w:rPr>
          <w:lang w:eastAsia="x-none"/>
        </w:rPr>
        <w:t>It is suggested that the domestic production</w:t>
      </w:r>
      <w:r w:rsidR="001420B6">
        <w:rPr>
          <w:lang w:eastAsia="x-none"/>
        </w:rPr>
        <w:t xml:space="preserve"> of packaging glass be monitored</w:t>
      </w:r>
      <w:r>
        <w:rPr>
          <w:lang w:eastAsia="x-none"/>
        </w:rPr>
        <w:t>.</w:t>
      </w:r>
      <w:r w:rsidR="001420B6">
        <w:rPr>
          <w:lang w:eastAsia="x-none"/>
        </w:rPr>
        <w:t xml:space="preserve"> </w:t>
      </w:r>
      <w:r>
        <w:rPr>
          <w:lang w:eastAsia="x-none"/>
        </w:rPr>
        <w:t>The consequences of any future reductions in production volume (mass) would need to be assessed, but will likely limit the environmental benefits of cullet use in new bottle packaging.</w:t>
      </w:r>
    </w:p>
    <w:p w14:paraId="4C6A326A" w14:textId="77777777" w:rsidR="00C257D1" w:rsidRDefault="00C257D1" w:rsidP="0036663C">
      <w:pPr>
        <w:pStyle w:val="Heading4"/>
      </w:pPr>
      <w:r>
        <w:t>Aluminium</w:t>
      </w:r>
    </w:p>
    <w:p w14:paraId="211CEF44" w14:textId="40B01047" w:rsidR="00C257D1" w:rsidRDefault="00C257D1" w:rsidP="00C257D1">
      <w:pPr>
        <w:rPr>
          <w:lang w:eastAsia="x-none"/>
        </w:rPr>
      </w:pPr>
      <w:r>
        <w:rPr>
          <w:lang w:eastAsia="x-none"/>
        </w:rPr>
        <w:t>The projections by SRU for increased demand of aluminium cans in Australia would mean that any recycled aluminium used for new production would displace virgin production. Therefore, the assessment in this study that recycling</w:t>
      </w:r>
      <w:r w:rsidR="001420B6">
        <w:rPr>
          <w:lang w:eastAsia="x-none"/>
        </w:rPr>
        <w:t xml:space="preserve"> aluminium</w:t>
      </w:r>
      <w:r>
        <w:rPr>
          <w:lang w:eastAsia="x-none"/>
        </w:rPr>
        <w:t xml:space="preserve"> avoids virgin production is considered sound. Howe</w:t>
      </w:r>
      <w:r w:rsidR="001420B6">
        <w:rPr>
          <w:lang w:eastAsia="x-none"/>
        </w:rPr>
        <w:t>ver, the basi</w:t>
      </w:r>
      <w:r>
        <w:rPr>
          <w:lang w:eastAsia="x-none"/>
        </w:rPr>
        <w:t>s for the SRU demand projection</w:t>
      </w:r>
      <w:r w:rsidR="001420B6">
        <w:rPr>
          <w:lang w:eastAsia="x-none"/>
        </w:rPr>
        <w:t xml:space="preserve"> is </w:t>
      </w:r>
      <w:r>
        <w:rPr>
          <w:lang w:eastAsia="x-none"/>
        </w:rPr>
        <w:t xml:space="preserve">uncertain. If a decrease in demand for aluminium cans produced in Australia was to occur, then the demand for reprocessed aluminium would reduce. Under these circumstances, virgin aluminium in Australia, sourced from Australia, would no longer be displaced and the demand for scrap aluminium would reduce. Given that aluminium scrap is already exported to South Korea and the projected increased demand for scrap in South Korea, it is considered likely that any additional aluminium scrap available in Australia (in the case of reduced local demand) would be exported to South Korea. Given the projected increased demand for aluminium in South Korea, the reprocessing of scrap aluminium in South Korea would displace the need for virgin production. In South Korea, the majority of virgin aluminium is sourced from Australia. As such, the environmental benefits of recycling aluminium </w:t>
      </w:r>
      <w:r w:rsidR="001420B6">
        <w:rPr>
          <w:lang w:eastAsia="x-none"/>
        </w:rPr>
        <w:t xml:space="preserve">from the </w:t>
      </w:r>
      <w:r>
        <w:rPr>
          <w:lang w:eastAsia="x-none"/>
        </w:rPr>
        <w:t>kerbside would be similar to t</w:t>
      </w:r>
      <w:r w:rsidR="001420B6">
        <w:rPr>
          <w:lang w:eastAsia="x-none"/>
        </w:rPr>
        <w:t>hose</w:t>
      </w:r>
      <w:r>
        <w:rPr>
          <w:lang w:eastAsia="x-none"/>
        </w:rPr>
        <w:t xml:space="preserve"> reported in this study. </w:t>
      </w:r>
    </w:p>
    <w:p w14:paraId="07B756BF" w14:textId="77777777" w:rsidR="00C257D1" w:rsidRDefault="00C257D1" w:rsidP="0036663C">
      <w:pPr>
        <w:pStyle w:val="Heading4"/>
      </w:pPr>
      <w:r>
        <w:lastRenderedPageBreak/>
        <w:t>Steel</w:t>
      </w:r>
    </w:p>
    <w:p w14:paraId="1F878B78" w14:textId="13591601" w:rsidR="00C257D1" w:rsidRDefault="00C257D1" w:rsidP="00C257D1">
      <w:pPr>
        <w:rPr>
          <w:lang w:eastAsia="x-none"/>
        </w:rPr>
      </w:pPr>
      <w:r>
        <w:rPr>
          <w:lang w:eastAsia="x-none"/>
        </w:rPr>
        <w:t xml:space="preserve">The forecast for reduced demand for steel produced in Australia means that in the future, any reprocessed scrap steel (recovered from the kerbside) would most likely not displace all virgin production in Australia. Rather, given favourable pricing, it is likely that the recovered scrap steel would be exported for reprocessing elsewhere. The end-destination is uncertain; however it could be assumed (given the current export reprocessing pathway) that this would be Malaysia. The use of scrap steel in electric arc furnaces negates the need to produce steel from raw iron, via the </w:t>
      </w:r>
      <w:r w:rsidR="009B703B">
        <w:rPr>
          <w:lang w:eastAsia="x-none"/>
        </w:rPr>
        <w:t>blast furnace basic oxygen steelmaking</w:t>
      </w:r>
      <w:r>
        <w:rPr>
          <w:lang w:eastAsia="x-none"/>
        </w:rPr>
        <w:t xml:space="preserve"> (</w:t>
      </w:r>
      <w:r w:rsidR="009B703B">
        <w:rPr>
          <w:lang w:eastAsia="x-none"/>
        </w:rPr>
        <w:t>BF-BOS</w:t>
      </w:r>
      <w:r>
        <w:rPr>
          <w:lang w:eastAsia="x-none"/>
        </w:rPr>
        <w:t>) pathway. Given the forecast increase in demand for steel in Malaysia and Asia more broadly, the displacement of steel via the B</w:t>
      </w:r>
      <w:r w:rsidR="009B703B">
        <w:rPr>
          <w:lang w:eastAsia="x-none"/>
        </w:rPr>
        <w:t>F-BOS</w:t>
      </w:r>
      <w:r>
        <w:rPr>
          <w:lang w:eastAsia="x-none"/>
        </w:rPr>
        <w:t xml:space="preserve"> pathway is likely to occur in the future. In Malaysia, the largest raw iron source (for production of steel via the B</w:t>
      </w:r>
      <w:r w:rsidR="009B703B">
        <w:rPr>
          <w:lang w:eastAsia="x-none"/>
        </w:rPr>
        <w:t>F-BOS</w:t>
      </w:r>
      <w:r>
        <w:rPr>
          <w:lang w:eastAsia="x-none"/>
        </w:rPr>
        <w:t xml:space="preserve"> process) was pig iron (from blast furnaces) from India. Thus, in the future, the avoided product for kerbside recycling of steel is likely to be </w:t>
      </w:r>
      <w:r w:rsidR="009B703B">
        <w:rPr>
          <w:lang w:eastAsia="x-none"/>
        </w:rPr>
        <w:t>BF-BOS</w:t>
      </w:r>
      <w:r>
        <w:rPr>
          <w:lang w:eastAsia="x-none"/>
        </w:rPr>
        <w:t xml:space="preserve"> processing in Malaysia, fed by pig-iron produced in India. An assessment on future recycling pathways could be warranted, to better quantify potential environmental benefits.</w:t>
      </w:r>
    </w:p>
    <w:p w14:paraId="2DFE4945" w14:textId="77777777" w:rsidR="00C257D1" w:rsidRPr="004E4032" w:rsidRDefault="00C257D1" w:rsidP="0036663C">
      <w:pPr>
        <w:pStyle w:val="Heading4"/>
      </w:pPr>
      <w:r w:rsidRPr="004E4032">
        <w:t xml:space="preserve">Mixed paper and </w:t>
      </w:r>
      <w:r>
        <w:t>c</w:t>
      </w:r>
      <w:r w:rsidRPr="004E4032">
        <w:t>ardboard</w:t>
      </w:r>
    </w:p>
    <w:p w14:paraId="0F4DAB45" w14:textId="77777777" w:rsidR="00C257D1" w:rsidRDefault="00C257D1" w:rsidP="00C257D1">
      <w:pPr>
        <w:rPr>
          <w:lang w:eastAsia="x-none"/>
        </w:rPr>
      </w:pPr>
      <w:r>
        <w:rPr>
          <w:lang w:eastAsia="x-none"/>
        </w:rPr>
        <w:t>The forecast for reduced demand for Australian produced pulp, due to higher imports, means that in the future, any paper and cardboard recovered for reprocessing from the kerbside will be unlikely to displace all local virgin production. The future end-destination for excess recovered paper and cardboard is unknown. Given the recent trends for exporting recovered paper and cardboard to China, and China’s forecast demand for pulp, it might be expected that paper and cardboard from the kerbside would be reprocessed in China, thereby displacing virgin chemical pulp production in China.</w:t>
      </w:r>
    </w:p>
    <w:p w14:paraId="31B02952" w14:textId="77777777" w:rsidR="00C257D1" w:rsidRDefault="00C257D1" w:rsidP="00C257D1">
      <w:pPr>
        <w:rPr>
          <w:lang w:eastAsia="x-none"/>
        </w:rPr>
      </w:pPr>
      <w:r>
        <w:rPr>
          <w:lang w:eastAsia="x-none"/>
        </w:rPr>
        <w:t xml:space="preserve">In the future, the export of fibre to China may be affected by the “Green Fence” policy, which restricts the importation of contaminated recyclate. The policy may mean that recyclate needs additional processing at MRFs, which increases recyclate production cost (through increased infrastructure and processing costs). Increases in recyclate production cost may mean that the recyclate is no longer economically viable to produce. In this instance, the recyclate could be regarded as a waste (with a value of less than zero). If this was to occur, the applicability of environmental benefits for avoided virgin production and landfill avoidance may not be applicable. </w:t>
      </w:r>
    </w:p>
    <w:p w14:paraId="4E2DEB8E" w14:textId="176DE528" w:rsidR="00C257D1" w:rsidRDefault="00C257D1" w:rsidP="00C257D1">
      <w:pPr>
        <w:rPr>
          <w:lang w:eastAsia="x-none"/>
        </w:rPr>
      </w:pPr>
      <w:r>
        <w:rPr>
          <w:lang w:eastAsia="x-none"/>
        </w:rPr>
        <w:t xml:space="preserve">It is recommended that the exports masses of paper and cardboard scrap to all countries be monitored, and the consequences of any export reductions to China be assessed. In addition, it is recommended that data on the contents of exported product (e.g. proportion of single streams and contamination), as well as price data for the single export streams, be </w:t>
      </w:r>
      <w:r w:rsidR="00D60B4B">
        <w:rPr>
          <w:lang w:eastAsia="x-none"/>
        </w:rPr>
        <w:t>collected, reported</w:t>
      </w:r>
      <w:r>
        <w:rPr>
          <w:lang w:eastAsia="x-none"/>
        </w:rPr>
        <w:t xml:space="preserve"> and monitored.</w:t>
      </w:r>
    </w:p>
    <w:p w14:paraId="52B28C56" w14:textId="77777777" w:rsidR="00C257D1" w:rsidRDefault="00C257D1" w:rsidP="0036663C">
      <w:pPr>
        <w:pStyle w:val="Heading4"/>
      </w:pPr>
      <w:bookmarkStart w:id="247" w:name="_Ref362989440"/>
      <w:r>
        <w:t>Clear PET and clear HDPE</w:t>
      </w:r>
      <w:bookmarkEnd w:id="247"/>
    </w:p>
    <w:p w14:paraId="26BEB2B5" w14:textId="6DFCFAC2" w:rsidR="00C257D1" w:rsidRDefault="00C257D1" w:rsidP="00C257D1">
      <w:pPr>
        <w:rPr>
          <w:lang w:eastAsia="x-none"/>
        </w:rPr>
      </w:pPr>
      <w:r>
        <w:rPr>
          <w:lang w:eastAsia="x-none"/>
        </w:rPr>
        <w:t>The forecast increase in demand for clear PET and clear HDPE in Australia, together with new technology to allow close</w:t>
      </w:r>
      <w:r w:rsidR="00D60B4B">
        <w:rPr>
          <w:lang w:eastAsia="x-none"/>
        </w:rPr>
        <w:t>d</w:t>
      </w:r>
      <w:r>
        <w:rPr>
          <w:lang w:eastAsia="x-none"/>
        </w:rPr>
        <w:t>-loop recycling of these materials, means that in the future, recycling of clear PET and clear HDPE are expected to displace the need for PET and HDPE from virgin sources. Similarly, given the forecast demand for clear PET and clear HDPE in China, it is expected that any exported clear PET and clear HDPE would displace virgin PET and HDPE in China.</w:t>
      </w:r>
    </w:p>
    <w:p w14:paraId="7CDAA011" w14:textId="559F6AC9" w:rsidR="00C257D1" w:rsidRDefault="00C257D1" w:rsidP="00C257D1">
      <w:pPr>
        <w:rPr>
          <w:lang w:eastAsia="x-none"/>
        </w:rPr>
      </w:pPr>
      <w:r>
        <w:rPr>
          <w:lang w:eastAsia="x-none"/>
        </w:rPr>
        <w:t>An aspect which may affect the viability of exporting PET and HDPE (and indeed other plastics) is China’s new “Green Fence” policy. This policy may mean that scrap needs additional processing at the MRFs prior to export. The additional processing would likely result in an increase in processing costs, which may affect the economic viability of producing recyclate streams. If the clear PET and clear HDPE plastic recyclate is no longer economical to produce, then it could be reclassified as waste. If the recyclate is reclassified as waste, then displacement of virgin production will not occur, meaning that any environmental benefits associated with avoided virgin production will not be realised. The consequences of avoided landfill benefits are unknown, as it is not known what the effect a reduction in economic viability (of production of recyclate) would have on the fate of the recyclate (e.g. being sent to landfill or stock-piled). If the recyclate is classified as a waste stream, then benefits of landfill avoidance may not be applicable.</w:t>
      </w:r>
    </w:p>
    <w:p w14:paraId="6A3BB5F7" w14:textId="03D91553" w:rsidR="00C257D1" w:rsidRDefault="00C257D1" w:rsidP="00C257D1">
      <w:pPr>
        <w:rPr>
          <w:lang w:eastAsia="x-none"/>
        </w:rPr>
      </w:pPr>
      <w:r>
        <w:rPr>
          <w:lang w:eastAsia="x-none"/>
        </w:rPr>
        <w:lastRenderedPageBreak/>
        <w:t>It</w:t>
      </w:r>
      <w:r w:rsidR="00D60B4B">
        <w:rPr>
          <w:lang w:eastAsia="x-none"/>
        </w:rPr>
        <w:t xml:space="preserve"> is recommended that the export</w:t>
      </w:r>
      <w:r>
        <w:rPr>
          <w:lang w:eastAsia="x-none"/>
        </w:rPr>
        <w:t xml:space="preserve"> masses of clear PET and clear HDPE scrap to all countries be monitored, and the consequences of any export reductions to China be assessed. In addition, it is recommended that data on the contents of exported product (e.g. proportion of single streams and contamination), as well as price dat</w:t>
      </w:r>
      <w:r w:rsidR="00D60B4B">
        <w:rPr>
          <w:lang w:eastAsia="x-none"/>
        </w:rPr>
        <w:t>a for the single export streams</w:t>
      </w:r>
      <w:r>
        <w:rPr>
          <w:lang w:eastAsia="x-none"/>
        </w:rPr>
        <w:t xml:space="preserve"> be </w:t>
      </w:r>
      <w:r w:rsidR="00D60B4B">
        <w:rPr>
          <w:lang w:eastAsia="x-none"/>
        </w:rPr>
        <w:t>collected, reported</w:t>
      </w:r>
      <w:r>
        <w:rPr>
          <w:lang w:eastAsia="x-none"/>
        </w:rPr>
        <w:t xml:space="preserve"> and monitored. Such reporting would provide data to inform a clearer understanding of the make-up and quality of exports, as well as informing the economic viability of production of the clear PET and clear HDPE streams.</w:t>
      </w:r>
    </w:p>
    <w:p w14:paraId="0FC0C66F" w14:textId="77777777" w:rsidR="00C257D1" w:rsidRDefault="00C257D1" w:rsidP="0036663C">
      <w:pPr>
        <w:pStyle w:val="Heading4"/>
      </w:pPr>
      <w:r>
        <w:t>Mixed plastics</w:t>
      </w:r>
    </w:p>
    <w:p w14:paraId="718953E8" w14:textId="77777777" w:rsidR="00C257D1" w:rsidRDefault="00C257D1" w:rsidP="00C257D1">
      <w:pPr>
        <w:rPr>
          <w:lang w:eastAsia="x-none"/>
        </w:rPr>
      </w:pPr>
      <w:r>
        <w:rPr>
          <w:lang w:eastAsia="x-none"/>
        </w:rPr>
        <w:t>The forecast increase in demand for mixed plastic in Chian means that, the displacement of virgin production, by exported and reprocessed mixed plastics from Australia, will most likely continue. As discussed previously, policy changes in China may mean that additional processing in Australia is required to meet new requirements for mixed plastic waste entering China (for further reprocessing).  Like for the clear PET and clear HDPE streams, additional processing requirements may result in mixed plastics being not economical to produce, meaning that any environmental benefits associated with avoided virgin production will not be realised. In addition, benefits for landfill avoidance may not necessarily apply. Similarly for the clear PET and clear HDPE streams, it is recommended that data be collected on price, exports mass (to all countries) and make-up of single streams be reported, so as to inform understanding of the economic viability of the system, which in-turn, affect the environmental impacts/benefits associated with the recycling system.</w:t>
      </w:r>
    </w:p>
    <w:p w14:paraId="3C64E557" w14:textId="79628E0D" w:rsidR="00C257D1" w:rsidRDefault="00C257D1" w:rsidP="00C257D1">
      <w:pPr>
        <w:rPr>
          <w:lang w:eastAsia="x-none"/>
        </w:rPr>
      </w:pPr>
      <w:r>
        <w:rPr>
          <w:lang w:eastAsia="x-none"/>
        </w:rPr>
        <w:t>The identification of the displaced virgin product remains uncertain. WRAP acknowledge that it is “impossible to track specific end market applications for every consignment of recovered plastic sent to China for recycling”</w:t>
      </w:r>
      <w:r w:rsidRPr="00A0019B">
        <w:rPr>
          <w:lang w:eastAsia="x-none"/>
        </w:rPr>
        <w:t xml:space="preserve"> </w:t>
      </w:r>
      <w:r>
        <w:rPr>
          <w:lang w:eastAsia="x-none"/>
        </w:rPr>
        <w:fldChar w:fldCharType="begin"/>
      </w:r>
      <w:r w:rsidR="00F40CE2">
        <w:rPr>
          <w:lang w:eastAsia="x-none"/>
        </w:rPr>
        <w:instrText xml:space="preserve"> ADDIN EN.CITE &lt;EndNote&gt;&lt;Cite&gt;&lt;Author&gt;WRAP&lt;/Author&gt;&lt;Year&gt;2011&lt;/Year&gt;&lt;RecNum&gt;699&lt;/RecNum&gt;&lt;DisplayText&gt;(WRAP, 2011)&lt;/DisplayText&gt;&lt;record&gt;&lt;rec-number&gt;699&lt;/rec-number&gt;&lt;foreign-keys&gt;&lt;key app="EN" db-id="tfpv5staxsvs2nexzpp5taewzsvpx0er5fap"&gt;699&lt;/key&gt;&lt;/foreign-keys&gt;&lt;ref-type name="Report"&gt;27&lt;/ref-type&gt;&lt;contributors&gt;&lt;authors&gt;&lt;author&gt;WRAP&lt;/author&gt;&lt;/authors&gt;&lt;/contributors&gt;&lt;titles&gt;&lt;title&gt;The Chinese markets for recovered paper and plastics – an update&lt;/title&gt;&lt;secondary-title&gt;Market Situation Report – Spring 2011&lt;/secondary-title&gt;&lt;/titles&gt;&lt;dates&gt;&lt;year&gt;2011&lt;/year&gt;&lt;/dates&gt;&lt;publisher&gt;Waste &amp;amp; Resources Action Programme&lt;/publisher&gt;&lt;urls&gt;&lt;/urls&gt;&lt;/record&gt;&lt;/Cite&gt;&lt;/EndNote&gt;</w:instrText>
      </w:r>
      <w:r>
        <w:rPr>
          <w:lang w:eastAsia="x-none"/>
        </w:rPr>
        <w:fldChar w:fldCharType="separate"/>
      </w:r>
      <w:r w:rsidR="00F40CE2">
        <w:rPr>
          <w:noProof/>
          <w:lang w:eastAsia="x-none"/>
        </w:rPr>
        <w:t>(</w:t>
      </w:r>
      <w:hyperlink w:anchor="_ENREF_90" w:tooltip="WRAP, 2011 #699" w:history="1">
        <w:r w:rsidR="00F40CE2">
          <w:rPr>
            <w:noProof/>
            <w:lang w:eastAsia="x-none"/>
          </w:rPr>
          <w:t>WRAP, 2011</w:t>
        </w:r>
      </w:hyperlink>
      <w:r w:rsidR="00F40CE2">
        <w:rPr>
          <w:noProof/>
          <w:lang w:eastAsia="x-none"/>
        </w:rPr>
        <w:t>)</w:t>
      </w:r>
      <w:r>
        <w:rPr>
          <w:lang w:eastAsia="x-none"/>
        </w:rPr>
        <w:fldChar w:fldCharType="end"/>
      </w:r>
      <w:r>
        <w:rPr>
          <w:lang w:eastAsia="x-none"/>
        </w:rPr>
        <w:t xml:space="preserve">. Analysis by WRAP suggest that mixed plastics are sorted and reprocessed in single streams, then used in a variety of applications, including packaging, construction materials (e.g. piping, wood-plastic composites), electronic appliances and everyday consumer goods, such as toothbrushes and coat hangers </w:t>
      </w:r>
      <w:r>
        <w:rPr>
          <w:lang w:eastAsia="x-none"/>
        </w:rPr>
        <w:fldChar w:fldCharType="begin"/>
      </w:r>
      <w:r w:rsidR="00F40CE2">
        <w:rPr>
          <w:lang w:eastAsia="x-none"/>
        </w:rPr>
        <w:instrText xml:space="preserve"> ADDIN EN.CITE &lt;EndNote&gt;&lt;Cite&gt;&lt;Author&gt;WRAP&lt;/Author&gt;&lt;Year&gt;2011&lt;/Year&gt;&lt;RecNum&gt;699&lt;/RecNum&gt;&lt;DisplayText&gt;(WRAP, 2011)&lt;/DisplayText&gt;&lt;record&gt;&lt;rec-number&gt;699&lt;/rec-number&gt;&lt;foreign-keys&gt;&lt;key app="EN" db-id="tfpv5staxsvs2nexzpp5taewzsvpx0er5fap"&gt;699&lt;/key&gt;&lt;/foreign-keys&gt;&lt;ref-type name="Report"&gt;27&lt;/ref-type&gt;&lt;contributors&gt;&lt;authors&gt;&lt;author&gt;WRAP&lt;/author&gt;&lt;/authors&gt;&lt;/contributors&gt;&lt;titles&gt;&lt;title&gt;The Chinese markets for recovered paper and plastics – an update&lt;/title&gt;&lt;secondary-title&gt;Market Situation Report – Spring 2011&lt;/secondary-title&gt;&lt;/titles&gt;&lt;dates&gt;&lt;year&gt;2011&lt;/year&gt;&lt;/dates&gt;&lt;publisher&gt;Waste &amp;amp; Resources Action Programme&lt;/publisher&gt;&lt;urls&gt;&lt;/urls&gt;&lt;/record&gt;&lt;/Cite&gt;&lt;/EndNote&gt;</w:instrText>
      </w:r>
      <w:r>
        <w:rPr>
          <w:lang w:eastAsia="x-none"/>
        </w:rPr>
        <w:fldChar w:fldCharType="separate"/>
      </w:r>
      <w:r w:rsidR="00F40CE2">
        <w:rPr>
          <w:noProof/>
          <w:lang w:eastAsia="x-none"/>
        </w:rPr>
        <w:t>(</w:t>
      </w:r>
      <w:hyperlink w:anchor="_ENREF_90" w:tooltip="WRAP, 2011 #699" w:history="1">
        <w:r w:rsidR="00F40CE2">
          <w:rPr>
            <w:noProof/>
            <w:lang w:eastAsia="x-none"/>
          </w:rPr>
          <w:t>WRAP, 2011</w:t>
        </w:r>
      </w:hyperlink>
      <w:r w:rsidR="00F40CE2">
        <w:rPr>
          <w:noProof/>
          <w:lang w:eastAsia="x-none"/>
        </w:rPr>
        <w:t>)</w:t>
      </w:r>
      <w:r>
        <w:rPr>
          <w:lang w:eastAsia="x-none"/>
        </w:rPr>
        <w:fldChar w:fldCharType="end"/>
      </w:r>
      <w:r>
        <w:rPr>
          <w:lang w:eastAsia="x-none"/>
        </w:rPr>
        <w:t>.</w:t>
      </w:r>
    </w:p>
    <w:p w14:paraId="05BF1067" w14:textId="77777777" w:rsidR="00C257D1" w:rsidRDefault="00C257D1" w:rsidP="0036663C">
      <w:pPr>
        <w:pStyle w:val="Heading4"/>
      </w:pPr>
      <w:r>
        <w:t>Organics</w:t>
      </w:r>
    </w:p>
    <w:p w14:paraId="0DE4F213" w14:textId="77777777" w:rsidR="00C257D1" w:rsidRPr="00F46B1D" w:rsidRDefault="00C257D1" w:rsidP="00C257D1">
      <w:pPr>
        <w:rPr>
          <w:lang w:eastAsia="x-none"/>
        </w:rPr>
      </w:pPr>
      <w:r>
        <w:rPr>
          <w:lang w:eastAsia="x-none"/>
        </w:rPr>
        <w:t xml:space="preserve">The forecast increase in demand for food production in Australia, coupled with fertiliser production, means that the displacement of synthetic fertilisers will most likely continue in the future. </w:t>
      </w:r>
    </w:p>
    <w:p w14:paraId="3ABEC6E1" w14:textId="0343A6D9" w:rsidR="00C257D1" w:rsidRDefault="00C257D1" w:rsidP="0036663C">
      <w:pPr>
        <w:pStyle w:val="Heading3"/>
      </w:pPr>
      <w:bookmarkStart w:id="248" w:name="_Toc433964586"/>
      <w:r>
        <w:t xml:space="preserve">Conclusions </w:t>
      </w:r>
      <w:r w:rsidR="0013255F">
        <w:rPr>
          <w:lang w:val="en-AU"/>
        </w:rPr>
        <w:t>to Consequential Analysis</w:t>
      </w:r>
      <w:bookmarkEnd w:id="248"/>
    </w:p>
    <w:p w14:paraId="43E06FD8" w14:textId="333A8A58" w:rsidR="00C257D1" w:rsidRPr="00EC59EB" w:rsidRDefault="00C257D1" w:rsidP="00C257D1">
      <w:pPr>
        <w:ind w:right="521"/>
      </w:pPr>
      <w:r>
        <w:t xml:space="preserve">This </w:t>
      </w:r>
      <w:r w:rsidR="00CF6B21">
        <w:t xml:space="preserve">section </w:t>
      </w:r>
      <w:r>
        <w:t xml:space="preserve">assesses whether or not the findings of the main study apply to future scenarios. Specifically, it explores the applicability of the credit for avoiding virgin production is sound by examining market trends. </w:t>
      </w:r>
    </w:p>
    <w:p w14:paraId="142F7D99" w14:textId="77777777" w:rsidR="00C257D1" w:rsidRPr="008B7097" w:rsidRDefault="00C257D1" w:rsidP="00C257D1">
      <w:pPr>
        <w:ind w:left="567" w:right="521"/>
        <w:rPr>
          <w:i/>
        </w:rPr>
      </w:pPr>
      <w:r>
        <w:rPr>
          <w:i/>
        </w:rPr>
        <w:t>In the future, w</w:t>
      </w:r>
      <w:r w:rsidRPr="008B7097">
        <w:rPr>
          <w:i/>
        </w:rPr>
        <w:t>ould recycl</w:t>
      </w:r>
      <w:r>
        <w:rPr>
          <w:i/>
        </w:rPr>
        <w:t>ing a</w:t>
      </w:r>
      <w:r w:rsidRPr="008B7097">
        <w:rPr>
          <w:i/>
        </w:rPr>
        <w:t xml:space="preserve"> material </w:t>
      </w:r>
      <w:r>
        <w:rPr>
          <w:i/>
        </w:rPr>
        <w:t xml:space="preserve">from the kerbside stream displace </w:t>
      </w:r>
      <w:r w:rsidRPr="008B7097">
        <w:rPr>
          <w:i/>
        </w:rPr>
        <w:t>virgin material production?</w:t>
      </w:r>
    </w:p>
    <w:p w14:paraId="7CF21F09" w14:textId="77777777" w:rsidR="00C257D1" w:rsidRDefault="00C257D1" w:rsidP="00C257D1">
      <w:pPr>
        <w:rPr>
          <w:lang w:eastAsia="x-none"/>
        </w:rPr>
      </w:pPr>
      <w:r>
        <w:rPr>
          <w:lang w:eastAsia="x-none"/>
        </w:rPr>
        <w:t xml:space="preserve">Overall, it was considered that, in the short-term future, recycling of material from the kerbside will continue to displace virgin material production. The displacement of virgin production is sensitive to the demand for end-products, as well as the economical viability of producing recyclate. The forecast for the demand of these end-products is uncertain, particularly for glass packaging and aluminium cans. As such, it is recommended that the demand for end-products by monitored. The environmental consequences of any decrease in local demand would need to be assessed. </w:t>
      </w:r>
    </w:p>
    <w:p w14:paraId="6F9D8EE8" w14:textId="42DE3B8F" w:rsidR="00C257D1" w:rsidRDefault="00C257D1" w:rsidP="00C257D1">
      <w:pPr>
        <w:rPr>
          <w:lang w:eastAsia="x-none"/>
        </w:rPr>
      </w:pPr>
      <w:r>
        <w:rPr>
          <w:lang w:eastAsia="x-none"/>
        </w:rPr>
        <w:t>China’s “Green Fence” policy could force additional infrastructure and processing costs on local MRFs, meaning that in the future, the production of clear PET, clear HDPE, mixed plastics and mixed paper and cardboard recyclate streams for export could become uneconomical. If this occurs, then these streams could be considered waste, meaning that environmental benefits associated with virgin production and landfill avoidance may not apply. I</w:t>
      </w:r>
      <w:r w:rsidR="0013255F">
        <w:rPr>
          <w:lang w:eastAsia="x-none"/>
        </w:rPr>
        <w:t>t is recommended that the export</w:t>
      </w:r>
      <w:r>
        <w:rPr>
          <w:lang w:eastAsia="x-none"/>
        </w:rPr>
        <w:t xml:space="preserve"> masses of these streams be monitored, and the consequences of any export reductions to China be assessed. In addition, it is recommended that data on the contents of exported product (e.g. proportion of single streams and contamination), as well as price data for the single export streams, be reported, collected and monitored. </w:t>
      </w:r>
    </w:p>
    <w:p w14:paraId="0A80570A" w14:textId="77777777" w:rsidR="00C257D1" w:rsidRDefault="00C257D1" w:rsidP="00C257D1">
      <w:pPr>
        <w:rPr>
          <w:lang w:eastAsia="x-none"/>
        </w:rPr>
      </w:pPr>
      <w:r>
        <w:rPr>
          <w:lang w:eastAsia="x-none"/>
        </w:rPr>
        <w:lastRenderedPageBreak/>
        <w:t>Market forecasts are inherently uncertain and subject to change. The future application of credits for avoided virgin production relies on market projections, and as such, the conclusions in this study are limited by the uncertainty of the market forecasts. Similarly, many commodities examined in this study are traded globally and subject to regional price variations. The regions identified for reprocessing, as well as for displaced virgin production, are best estimates only and do not necessarily reflect future conditions.</w:t>
      </w:r>
    </w:p>
    <w:p w14:paraId="251FCEBF" w14:textId="09075479" w:rsidR="00C257D1" w:rsidRDefault="00C257D1" w:rsidP="00C257D1">
      <w:pPr>
        <w:rPr>
          <w:lang w:eastAsia="x-none"/>
        </w:rPr>
      </w:pPr>
    </w:p>
    <w:p w14:paraId="4C9847CD" w14:textId="77777777" w:rsidR="00C257D1" w:rsidRDefault="00C257D1" w:rsidP="00C257D1">
      <w:pPr>
        <w:rPr>
          <w:lang w:eastAsia="x-none"/>
        </w:rPr>
      </w:pPr>
    </w:p>
    <w:p w14:paraId="39C24757" w14:textId="77777777" w:rsidR="00C257D1" w:rsidRDefault="00C257D1" w:rsidP="00C257D1">
      <w:pPr>
        <w:rPr>
          <w:lang w:eastAsia="x-none"/>
        </w:rPr>
      </w:pPr>
    </w:p>
    <w:p w14:paraId="0D49457D" w14:textId="77777777" w:rsidR="00383B0E" w:rsidRDefault="00383B0E" w:rsidP="00CF6B21">
      <w:pPr>
        <w:pStyle w:val="Heading1"/>
      </w:pPr>
      <w:bookmarkStart w:id="249" w:name="_Ref363048056"/>
      <w:bookmarkStart w:id="250" w:name="_Toc433964587"/>
      <w:r>
        <w:lastRenderedPageBreak/>
        <w:t>Conclusion</w:t>
      </w:r>
      <w:bookmarkEnd w:id="249"/>
      <w:bookmarkEnd w:id="250"/>
    </w:p>
    <w:p w14:paraId="0D49457E" w14:textId="430759D1" w:rsidR="00A30BD9" w:rsidRDefault="00154251" w:rsidP="00154251">
      <w:pPr>
        <w:rPr>
          <w:lang w:eastAsia="x-none"/>
        </w:rPr>
      </w:pPr>
      <w:r>
        <w:rPr>
          <w:lang w:eastAsia="x-none"/>
        </w:rPr>
        <w:t>The study set out to assess the net environmental benefits or burdens o</w:t>
      </w:r>
      <w:r w:rsidR="00A30BD9">
        <w:rPr>
          <w:lang w:eastAsia="x-none"/>
        </w:rPr>
        <w:t>f recycling activity in Victoria,</w:t>
      </w:r>
      <w:r>
        <w:rPr>
          <w:lang w:eastAsia="x-none"/>
        </w:rPr>
        <w:t xml:space="preserve"> </w:t>
      </w:r>
      <w:r w:rsidR="008A15DB">
        <w:rPr>
          <w:lang w:eastAsia="x-none"/>
        </w:rPr>
        <w:t xml:space="preserve">by </w:t>
      </w:r>
      <w:r>
        <w:rPr>
          <w:lang w:eastAsia="x-none"/>
        </w:rPr>
        <w:t xml:space="preserve">building upon the study “Stage 2 Report for Life Cycle Assessment for Paper and Packaging Waste Management Scenarios in </w:t>
      </w:r>
      <w:r w:rsidR="00A30BD9">
        <w:rPr>
          <w:lang w:eastAsia="x-none"/>
        </w:rPr>
        <w:t xml:space="preserve">Victoria” (Grant et al., 2001a). </w:t>
      </w:r>
      <w:r w:rsidR="00DD0050">
        <w:rPr>
          <w:lang w:eastAsia="x-none"/>
        </w:rPr>
        <w:t>It</w:t>
      </w:r>
      <w:r w:rsidR="00A30BD9">
        <w:rPr>
          <w:lang w:eastAsia="x-none"/>
        </w:rPr>
        <w:t xml:space="preserve"> has addressed this objective by utilising the life cycle assessment methodology, as defined by ISO14044, to assess the potential environmental benefits/burdens of recycling versus an alternative </w:t>
      </w:r>
      <w:r w:rsidR="00F270DF">
        <w:rPr>
          <w:lang w:eastAsia="x-none"/>
        </w:rPr>
        <w:t>approach centred around landfill.</w:t>
      </w:r>
    </w:p>
    <w:p w14:paraId="67DA2463" w14:textId="7C86B07F" w:rsidR="00CF6B21" w:rsidRDefault="00F270DF" w:rsidP="00154251">
      <w:pPr>
        <w:rPr>
          <w:lang w:eastAsia="x-none"/>
        </w:rPr>
      </w:pPr>
      <w:r>
        <w:rPr>
          <w:lang w:eastAsia="x-none"/>
        </w:rPr>
        <w:t xml:space="preserve">The study determined that the existing materials recycled by Victorians generate a net environmental benefit, as shown in </w:t>
      </w:r>
      <w:r>
        <w:rPr>
          <w:lang w:eastAsia="x-none"/>
        </w:rPr>
        <w:fldChar w:fldCharType="begin"/>
      </w:r>
      <w:r>
        <w:rPr>
          <w:lang w:eastAsia="x-none"/>
        </w:rPr>
        <w:instrText xml:space="preserve"> REF _Ref358472347 \h </w:instrText>
      </w:r>
      <w:r>
        <w:rPr>
          <w:lang w:eastAsia="x-none"/>
        </w:rPr>
      </w:r>
      <w:r>
        <w:rPr>
          <w:lang w:eastAsia="x-none"/>
        </w:rPr>
        <w:fldChar w:fldCharType="separate"/>
      </w:r>
      <w:r w:rsidR="00564E5C">
        <w:t xml:space="preserve">Table </w:t>
      </w:r>
      <w:r w:rsidR="00564E5C">
        <w:rPr>
          <w:noProof/>
        </w:rPr>
        <w:t>36</w:t>
      </w:r>
      <w:r>
        <w:rPr>
          <w:lang w:eastAsia="x-none"/>
        </w:rPr>
        <w:fldChar w:fldCharType="end"/>
      </w:r>
      <w:r>
        <w:rPr>
          <w:lang w:eastAsia="x-none"/>
        </w:rPr>
        <w:t>. Each indicator considered achieved a favourable outcome versus the alternative.</w:t>
      </w:r>
      <w:r w:rsidR="00CF6B21">
        <w:rPr>
          <w:lang w:eastAsia="x-none"/>
        </w:rPr>
        <w:t xml:space="preserve"> Underpinning this finding, the uncertainty analysis undertaken also showed that benefits were consistently demonstrated by recycling in 95</w:t>
      </w:r>
      <w:r w:rsidR="00DD0050">
        <w:rPr>
          <w:lang w:eastAsia="x-none"/>
        </w:rPr>
        <w:t>0</w:t>
      </w:r>
      <w:r w:rsidR="00CF6B21">
        <w:rPr>
          <w:lang w:eastAsia="x-none"/>
        </w:rPr>
        <w:t xml:space="preserve"> out </w:t>
      </w:r>
      <w:r w:rsidR="008A15DB">
        <w:rPr>
          <w:lang w:eastAsia="x-none"/>
        </w:rPr>
        <w:t xml:space="preserve">of </w:t>
      </w:r>
      <w:r w:rsidR="00CF6B21">
        <w:rPr>
          <w:lang w:eastAsia="x-none"/>
        </w:rPr>
        <w:t>100</w:t>
      </w:r>
      <w:r w:rsidR="00DD0050">
        <w:rPr>
          <w:lang w:eastAsia="x-none"/>
        </w:rPr>
        <w:t>0</w:t>
      </w:r>
      <w:r w:rsidR="00CF6B21">
        <w:rPr>
          <w:lang w:eastAsia="x-none"/>
        </w:rPr>
        <w:t xml:space="preserve"> Monte Carlo simulations.</w:t>
      </w:r>
    </w:p>
    <w:p w14:paraId="0D494580" w14:textId="34C12B72" w:rsidR="00F270DF" w:rsidRPr="00DD3FA9" w:rsidRDefault="008061C9" w:rsidP="00154251">
      <w:pPr>
        <w:rPr>
          <w:lang w:eastAsia="x-none"/>
        </w:rPr>
      </w:pPr>
      <w:r>
        <w:rPr>
          <w:lang w:eastAsia="x-none"/>
        </w:rPr>
        <w:t xml:space="preserve">Each material recycling system was </w:t>
      </w:r>
      <w:r w:rsidR="00CF6B21">
        <w:rPr>
          <w:lang w:eastAsia="x-none"/>
        </w:rPr>
        <w:t xml:space="preserve">also </w:t>
      </w:r>
      <w:r>
        <w:rPr>
          <w:lang w:eastAsia="x-none"/>
        </w:rPr>
        <w:t>assessed individually, with the majority achieving beneficial outcomes in all indicators considered</w:t>
      </w:r>
      <w:r w:rsidR="00CF6B21">
        <w:rPr>
          <w:lang w:eastAsia="x-none"/>
        </w:rPr>
        <w:t>.</w:t>
      </w:r>
    </w:p>
    <w:p w14:paraId="0D494581" w14:textId="42A7DECF" w:rsidR="00154251" w:rsidRPr="00DD3FA9" w:rsidRDefault="008061C9" w:rsidP="00154251">
      <w:pPr>
        <w:rPr>
          <w:lang w:eastAsia="x-none"/>
        </w:rPr>
      </w:pPr>
      <w:r w:rsidRPr="00DD3FA9">
        <w:rPr>
          <w:lang w:eastAsia="x-none"/>
        </w:rPr>
        <w:t>A comparison of the study findings</w:t>
      </w:r>
      <w:r w:rsidR="0011310D" w:rsidRPr="00DD3FA9">
        <w:rPr>
          <w:lang w:eastAsia="x-none"/>
        </w:rPr>
        <w:t xml:space="preserve"> </w:t>
      </w:r>
      <w:r w:rsidRPr="00DD3FA9">
        <w:rPr>
          <w:lang w:eastAsia="x-none"/>
        </w:rPr>
        <w:t>to the prior study showed that</w:t>
      </w:r>
      <w:r w:rsidR="0003295F" w:rsidRPr="00DD3FA9">
        <w:rPr>
          <w:lang w:eastAsia="x-none"/>
        </w:rPr>
        <w:t xml:space="preserve"> the environmental benefits of recycling have increased since </w:t>
      </w:r>
      <w:r w:rsidR="002E1C2D">
        <w:rPr>
          <w:lang w:eastAsia="x-none"/>
        </w:rPr>
        <w:fldChar w:fldCharType="begin"/>
      </w:r>
      <w:r w:rsidR="00F40CE2">
        <w:rPr>
          <w:lang w:eastAsia="x-none"/>
        </w:rPr>
        <w:instrText xml:space="preserve"> ADDIN EN.CITE &lt;EndNote&gt;&lt;Cite AuthorYear="1"&gt;&lt;Author&gt;Grant&lt;/Author&gt;&lt;Year&gt;2001&lt;/Year&gt;&lt;RecNum&gt;25&lt;/RecNum&gt;&lt;DisplayText&gt;Grant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2E1C2D">
        <w:rPr>
          <w:lang w:eastAsia="x-none"/>
        </w:rPr>
        <w:fldChar w:fldCharType="separate"/>
      </w:r>
      <w:hyperlink w:anchor="_ENREF_35" w:tooltip="Grant, 2001 #262" w:history="1">
        <w:r w:rsidR="00F40CE2">
          <w:rPr>
            <w:noProof/>
            <w:lang w:eastAsia="x-none"/>
          </w:rPr>
          <w:t>Grant et al. (2001a</w:t>
        </w:r>
      </w:hyperlink>
      <w:r w:rsidR="00F40CE2">
        <w:rPr>
          <w:noProof/>
          <w:lang w:eastAsia="x-none"/>
        </w:rPr>
        <w:t>)</w:t>
      </w:r>
      <w:r w:rsidR="002E1C2D">
        <w:rPr>
          <w:lang w:eastAsia="x-none"/>
        </w:rPr>
        <w:fldChar w:fldCharType="end"/>
      </w:r>
      <w:r w:rsidR="0003295F" w:rsidRPr="00DD3FA9">
        <w:rPr>
          <w:lang w:eastAsia="x-none"/>
        </w:rPr>
        <w:t xml:space="preserve">. For most materials, the results achieved in this study are comparable to those achieved in </w:t>
      </w:r>
      <w:r w:rsidR="002E1C2D">
        <w:rPr>
          <w:lang w:eastAsia="x-none"/>
        </w:rPr>
        <w:fldChar w:fldCharType="begin"/>
      </w:r>
      <w:r w:rsidR="00F40CE2">
        <w:rPr>
          <w:lang w:eastAsia="x-none"/>
        </w:rPr>
        <w:instrText xml:space="preserve"> ADDIN EN.CITE &lt;EndNote&gt;&lt;Cite AuthorYear="1"&gt;&lt;Author&gt;Grant&lt;/Author&gt;&lt;Year&gt;2001&lt;/Year&gt;&lt;RecNum&gt;25&lt;/RecNum&gt;&lt;DisplayText&gt;Grant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002E1C2D">
        <w:rPr>
          <w:lang w:eastAsia="x-none"/>
        </w:rPr>
        <w:fldChar w:fldCharType="separate"/>
      </w:r>
      <w:hyperlink w:anchor="_ENREF_35" w:tooltip="Grant, 2001 #262" w:history="1">
        <w:r w:rsidR="00F40CE2">
          <w:rPr>
            <w:noProof/>
            <w:lang w:eastAsia="x-none"/>
          </w:rPr>
          <w:t>Grant et al. (2001a</w:t>
        </w:r>
      </w:hyperlink>
      <w:r w:rsidR="00F40CE2">
        <w:rPr>
          <w:noProof/>
          <w:lang w:eastAsia="x-none"/>
        </w:rPr>
        <w:t>)</w:t>
      </w:r>
      <w:r w:rsidR="002E1C2D">
        <w:rPr>
          <w:lang w:eastAsia="x-none"/>
        </w:rPr>
        <w:fldChar w:fldCharType="end"/>
      </w:r>
      <w:r w:rsidR="0003295F" w:rsidRPr="00DD3FA9">
        <w:rPr>
          <w:lang w:eastAsia="x-none"/>
        </w:rPr>
        <w:t>, despite the increase in international material reprocessing.</w:t>
      </w:r>
    </w:p>
    <w:p w14:paraId="0D494583" w14:textId="1BE1148C" w:rsidR="0003295F" w:rsidRPr="00DD3FA9" w:rsidRDefault="00B2608F" w:rsidP="00154251">
      <w:pPr>
        <w:rPr>
          <w:lang w:eastAsia="x-none"/>
        </w:rPr>
      </w:pPr>
      <w:r w:rsidRPr="00DD3FA9">
        <w:rPr>
          <w:lang w:eastAsia="x-none"/>
        </w:rPr>
        <w:t>A series of sensitivity studies were undertaken to address data concerns and point</w:t>
      </w:r>
      <w:r w:rsidR="00DD0050">
        <w:rPr>
          <w:lang w:eastAsia="x-none"/>
        </w:rPr>
        <w:t>s</w:t>
      </w:r>
      <w:r w:rsidRPr="00DD3FA9">
        <w:rPr>
          <w:lang w:eastAsia="x-none"/>
        </w:rPr>
        <w:t xml:space="preserve"> of interest. Of these studies, the review of green and garden waste reprocessing was the most useful, indicating the over</w:t>
      </w:r>
      <w:r w:rsidR="00DD0050">
        <w:rPr>
          <w:lang w:eastAsia="x-none"/>
        </w:rPr>
        <w:t>all study result is most significantly influenced by assumptions in this area, however directional study conclusions remain</w:t>
      </w:r>
      <w:r w:rsidR="008A15DB">
        <w:rPr>
          <w:lang w:eastAsia="x-none"/>
        </w:rPr>
        <w:t>ed</w:t>
      </w:r>
      <w:r w:rsidR="00DD0050">
        <w:rPr>
          <w:lang w:eastAsia="x-none"/>
        </w:rPr>
        <w:t xml:space="preserve"> unchanged.</w:t>
      </w:r>
    </w:p>
    <w:p w14:paraId="0D494584" w14:textId="28CBEDC7" w:rsidR="00B2608F" w:rsidRPr="00DD3FA9" w:rsidRDefault="00B2608F" w:rsidP="00154251">
      <w:pPr>
        <w:rPr>
          <w:lang w:eastAsia="x-none"/>
        </w:rPr>
      </w:pPr>
      <w:r w:rsidRPr="00DD3FA9">
        <w:rPr>
          <w:lang w:eastAsia="x-none"/>
        </w:rPr>
        <w:t xml:space="preserve">Broadly, the conclusion of the sensitivity analysis is that the conclusion that </w:t>
      </w:r>
      <w:r w:rsidR="00FF5EAB">
        <w:rPr>
          <w:lang w:eastAsia="x-none"/>
        </w:rPr>
        <w:t>‘</w:t>
      </w:r>
      <w:r w:rsidRPr="00DD3FA9">
        <w:rPr>
          <w:lang w:eastAsia="x-none"/>
        </w:rPr>
        <w:t>recycling generates a benefit versus landfill</w:t>
      </w:r>
      <w:r w:rsidR="00FF5EAB">
        <w:rPr>
          <w:lang w:eastAsia="x-none"/>
        </w:rPr>
        <w:t>’</w:t>
      </w:r>
      <w:r w:rsidRPr="00DD3FA9">
        <w:rPr>
          <w:lang w:eastAsia="x-none"/>
        </w:rPr>
        <w:t xml:space="preserve"> across each of the indicators considered is sound and robust. Even significant </w:t>
      </w:r>
      <w:r w:rsidR="00FF5EAB">
        <w:rPr>
          <w:lang w:eastAsia="x-none"/>
        </w:rPr>
        <w:t xml:space="preserve">changes to assumptions in </w:t>
      </w:r>
      <w:r w:rsidRPr="00DD3FA9">
        <w:rPr>
          <w:lang w:eastAsia="x-none"/>
        </w:rPr>
        <w:t xml:space="preserve">garden </w:t>
      </w:r>
      <w:r w:rsidR="00FF5EAB">
        <w:rPr>
          <w:lang w:eastAsia="x-none"/>
        </w:rPr>
        <w:t xml:space="preserve">and green </w:t>
      </w:r>
      <w:r w:rsidRPr="00DD3FA9">
        <w:rPr>
          <w:lang w:eastAsia="x-none"/>
        </w:rPr>
        <w:t>waste did not lead to an adverse outcome for the system.</w:t>
      </w:r>
      <w:r w:rsidR="00AB02D1">
        <w:rPr>
          <w:lang w:eastAsia="x-none"/>
        </w:rPr>
        <w:t xml:space="preserve"> The uncertainty ranges described at the base of </w:t>
      </w:r>
      <w:r w:rsidR="00AB02D1">
        <w:rPr>
          <w:lang w:eastAsia="x-none"/>
        </w:rPr>
        <w:fldChar w:fldCharType="begin"/>
      </w:r>
      <w:r w:rsidR="00AB02D1">
        <w:rPr>
          <w:lang w:eastAsia="x-none"/>
        </w:rPr>
        <w:instrText xml:space="preserve"> REF _Ref358472347 \h </w:instrText>
      </w:r>
      <w:r w:rsidR="00AB02D1">
        <w:rPr>
          <w:lang w:eastAsia="x-none"/>
        </w:rPr>
      </w:r>
      <w:r w:rsidR="00AB02D1">
        <w:rPr>
          <w:lang w:eastAsia="x-none"/>
        </w:rPr>
        <w:fldChar w:fldCharType="separate"/>
      </w:r>
      <w:r w:rsidR="00564E5C">
        <w:t xml:space="preserve">Table </w:t>
      </w:r>
      <w:r w:rsidR="00564E5C">
        <w:rPr>
          <w:noProof/>
        </w:rPr>
        <w:t>36</w:t>
      </w:r>
      <w:r w:rsidR="00AB02D1">
        <w:rPr>
          <w:lang w:eastAsia="x-none"/>
        </w:rPr>
        <w:fldChar w:fldCharType="end"/>
      </w:r>
      <w:r w:rsidR="00AB02D1">
        <w:rPr>
          <w:lang w:eastAsia="x-none"/>
        </w:rPr>
        <w:t xml:space="preserve"> </w:t>
      </w:r>
      <w:r w:rsidR="008A15DB">
        <w:rPr>
          <w:lang w:eastAsia="x-none"/>
        </w:rPr>
        <w:t>serve to</w:t>
      </w:r>
      <w:r w:rsidR="00AB02D1">
        <w:rPr>
          <w:lang w:eastAsia="x-none"/>
        </w:rPr>
        <w:t xml:space="preserve"> indicate the accuracy of the findings.</w:t>
      </w:r>
    </w:p>
    <w:p w14:paraId="0D494586" w14:textId="6D37D0D0" w:rsidR="00DD3FA9" w:rsidRPr="00DD3FA9" w:rsidRDefault="0011310D" w:rsidP="00DD3FA9">
      <w:pPr>
        <w:rPr>
          <w:lang w:eastAsia="x-none"/>
        </w:rPr>
      </w:pPr>
      <w:r w:rsidRPr="00DD3FA9">
        <w:rPr>
          <w:lang w:eastAsia="x-none"/>
        </w:rPr>
        <w:t xml:space="preserve">Finally, a consequential rather than attributional interpretation was undertaken. This study </w:t>
      </w:r>
      <w:r w:rsidR="00DD3FA9" w:rsidRPr="00DD3FA9">
        <w:rPr>
          <w:lang w:eastAsia="x-none"/>
        </w:rPr>
        <w:t>concluded that, overall, recycling of material from the kerbside will continue to displace virgin material production in the immediate future. The displacement of virgin production is sensitive to the demand for end-products. The forecast for the demand of these end-products is uncertain, particularly for glass packaging and aluminium cans. As such, it is recommended tha</w:t>
      </w:r>
      <w:r w:rsidR="00FF5EAB">
        <w:rPr>
          <w:lang w:eastAsia="x-none"/>
        </w:rPr>
        <w:t>t the demand for end-products be</w:t>
      </w:r>
      <w:r w:rsidR="00DD3FA9" w:rsidRPr="00DD3FA9">
        <w:rPr>
          <w:lang w:eastAsia="x-none"/>
        </w:rPr>
        <w:t xml:space="preserve"> monitored. The environmental consequences of any decrease in local demand would need to be assessed. Of these materials, glass is potentially problematic as </w:t>
      </w:r>
      <w:r w:rsidR="008A15DB">
        <w:rPr>
          <w:lang w:eastAsia="x-none"/>
        </w:rPr>
        <w:t xml:space="preserve">the export of recovered cullet </w:t>
      </w:r>
      <w:r w:rsidR="00DD3FA9" w:rsidRPr="00DD3FA9">
        <w:rPr>
          <w:lang w:eastAsia="x-none"/>
        </w:rPr>
        <w:t>is not considered economically viable.</w:t>
      </w:r>
      <w:r w:rsidR="00FF5EAB">
        <w:rPr>
          <w:lang w:eastAsia="x-none"/>
        </w:rPr>
        <w:t xml:space="preserve"> Implementation of China’s ‘Green Fence’ policy</w:t>
      </w:r>
      <w:r w:rsidR="008A15DB">
        <w:rPr>
          <w:lang w:eastAsia="x-none"/>
        </w:rPr>
        <w:t>,</w:t>
      </w:r>
      <w:r w:rsidR="00FF5EAB">
        <w:rPr>
          <w:lang w:eastAsia="x-none"/>
        </w:rPr>
        <w:t xml:space="preserve"> restricting the import of contaminated recyclate streams</w:t>
      </w:r>
      <w:r w:rsidR="008A15DB">
        <w:rPr>
          <w:lang w:eastAsia="x-none"/>
        </w:rPr>
        <w:t>,</w:t>
      </w:r>
      <w:r w:rsidR="00FF5EAB">
        <w:rPr>
          <w:lang w:eastAsia="x-none"/>
        </w:rPr>
        <w:t xml:space="preserve"> is also seen as a risk, particularly for papers and plastics.</w:t>
      </w:r>
    </w:p>
    <w:p w14:paraId="0D494587" w14:textId="3A647155" w:rsidR="0011310D" w:rsidRDefault="0011310D" w:rsidP="00154251">
      <w:pPr>
        <w:rPr>
          <w:lang w:eastAsia="x-none"/>
        </w:rPr>
      </w:pPr>
      <w:r w:rsidRPr="00DD3FA9">
        <w:rPr>
          <w:lang w:eastAsia="x-none"/>
        </w:rPr>
        <w:t xml:space="preserve">Overall, the study verified that recycling in Victoria </w:t>
      </w:r>
      <w:r w:rsidR="00FF5EAB">
        <w:rPr>
          <w:lang w:eastAsia="x-none"/>
        </w:rPr>
        <w:t>continues to generate</w:t>
      </w:r>
      <w:r w:rsidRPr="00DD3FA9">
        <w:rPr>
          <w:lang w:eastAsia="x-none"/>
        </w:rPr>
        <w:t xml:space="preserve"> a net </w:t>
      </w:r>
      <w:r w:rsidR="008F5F1F" w:rsidRPr="00DD3FA9">
        <w:rPr>
          <w:lang w:eastAsia="x-none"/>
        </w:rPr>
        <w:t>environmental</w:t>
      </w:r>
      <w:r w:rsidRPr="00DD3FA9">
        <w:rPr>
          <w:lang w:eastAsia="x-none"/>
        </w:rPr>
        <w:t xml:space="preserve"> benefit for the state, in terms of the indicators considered. </w:t>
      </w:r>
    </w:p>
    <w:p w14:paraId="0D494589" w14:textId="77777777" w:rsidR="006323FC" w:rsidRDefault="006323FC" w:rsidP="00C31AAF">
      <w:pPr>
        <w:pStyle w:val="Heading4"/>
        <w:rPr>
          <w:lang w:val="en-AU"/>
        </w:rPr>
      </w:pPr>
      <w:r>
        <w:rPr>
          <w:lang w:val="en-AU"/>
        </w:rPr>
        <w:t>Further work</w:t>
      </w:r>
    </w:p>
    <w:p w14:paraId="0D49458A" w14:textId="33122E88" w:rsidR="0011310D" w:rsidRDefault="0011310D" w:rsidP="0011310D">
      <w:pPr>
        <w:rPr>
          <w:lang w:eastAsia="x-none"/>
        </w:rPr>
      </w:pPr>
      <w:r>
        <w:rPr>
          <w:lang w:eastAsia="x-none"/>
        </w:rPr>
        <w:t xml:space="preserve">A key challenge of the study involved determining the exact </w:t>
      </w:r>
      <w:r w:rsidR="00FF5EAB">
        <w:rPr>
          <w:lang w:eastAsia="x-none"/>
        </w:rPr>
        <w:t>fate</w:t>
      </w:r>
      <w:r>
        <w:rPr>
          <w:lang w:eastAsia="x-none"/>
        </w:rPr>
        <w:t xml:space="preserve"> of recyclate streams recovered by MRFs. This data was not provided by MRF operators and was difficult to source in secondary form. Although the analysis undertaken in this study attempted to address data uncertainties using Monte Carlo analysis and sensitivity analysis, broader issues of waste stewardship became apparent as the stud</w:t>
      </w:r>
      <w:r w:rsidR="004928A0">
        <w:rPr>
          <w:lang w:eastAsia="x-none"/>
        </w:rPr>
        <w:t>y</w:t>
      </w:r>
      <w:r>
        <w:rPr>
          <w:lang w:eastAsia="x-none"/>
        </w:rPr>
        <w:t xml:space="preserve"> was completed. The analysis suggests that the globalisation of the recycling system to incorporate overseas reprocessors </w:t>
      </w:r>
      <w:r w:rsidR="00F402EB">
        <w:rPr>
          <w:lang w:eastAsia="x-none"/>
        </w:rPr>
        <w:t xml:space="preserve">does not necessarily have significant environmental consequences, however the lack of transparency of the system leaves significant cause for doubt, especially with respect to issues that go beyond the scope of </w:t>
      </w:r>
      <w:r w:rsidR="00FF5EAB">
        <w:rPr>
          <w:lang w:eastAsia="x-none"/>
        </w:rPr>
        <w:t xml:space="preserve">this </w:t>
      </w:r>
      <w:r w:rsidR="00F402EB">
        <w:rPr>
          <w:lang w:eastAsia="x-none"/>
        </w:rPr>
        <w:t>LCA</w:t>
      </w:r>
      <w:r w:rsidR="00FF5EAB">
        <w:rPr>
          <w:lang w:eastAsia="x-none"/>
        </w:rPr>
        <w:t xml:space="preserve"> study</w:t>
      </w:r>
      <w:r w:rsidR="00F402EB">
        <w:rPr>
          <w:lang w:eastAsia="x-none"/>
        </w:rPr>
        <w:t>. For this reason it is highly recommended that further work be undertaken to establish reporting mechanisms that transparently describe the fate of materials deposited in kerbside recycling bins in Victoria.</w:t>
      </w:r>
    </w:p>
    <w:p w14:paraId="0D49458B" w14:textId="77777777" w:rsidR="004928A0" w:rsidRDefault="004928A0" w:rsidP="0011310D">
      <w:pPr>
        <w:rPr>
          <w:lang w:eastAsia="x-none"/>
        </w:rPr>
      </w:pPr>
      <w:r>
        <w:rPr>
          <w:lang w:eastAsia="x-none"/>
        </w:rPr>
        <w:t>Key areas where improved reporting is required are as follows:</w:t>
      </w:r>
    </w:p>
    <w:p w14:paraId="0D49458C" w14:textId="77777777" w:rsidR="004928A0" w:rsidRDefault="004928A0" w:rsidP="0011310D">
      <w:pPr>
        <w:rPr>
          <w:lang w:eastAsia="x-none"/>
        </w:rPr>
      </w:pPr>
      <w:r>
        <w:rPr>
          <w:lang w:eastAsia="x-none"/>
        </w:rPr>
        <w:lastRenderedPageBreak/>
        <w:t xml:space="preserve">Glass – Cullet versus fines: The environmental benefit from cullet recovery is significantly greater than fines recovery. For this reason it is vital that future reporting distinguish between glass recovered as cullet and glass recovered as fines. </w:t>
      </w:r>
    </w:p>
    <w:p w14:paraId="0D49458D" w14:textId="77777777" w:rsidR="004928A0" w:rsidRDefault="004928A0" w:rsidP="0011310D">
      <w:pPr>
        <w:rPr>
          <w:lang w:eastAsia="x-none"/>
        </w:rPr>
      </w:pPr>
      <w:r>
        <w:rPr>
          <w:lang w:eastAsia="x-none"/>
        </w:rPr>
        <w:t>Mixed bails versus segregated streams: Plastic recovery is currently reported by polymer, even though these polymers are often incorporated in a mixed plastic bail when they leave the MRF. As the environmental benefit of plastics recycling is significantly greater for segregated materials (they don’t attract a sorting burden) reporting should be limited to exactly what is recovered by the MRF and not disaggregated based on the assumed contents of mixed bails.</w:t>
      </w:r>
    </w:p>
    <w:p w14:paraId="0D49458E" w14:textId="7B3AD232" w:rsidR="004928A0" w:rsidRDefault="004928A0" w:rsidP="0011310D">
      <w:pPr>
        <w:rPr>
          <w:lang w:eastAsia="x-none"/>
        </w:rPr>
      </w:pPr>
      <w:r>
        <w:rPr>
          <w:lang w:eastAsia="x-none"/>
        </w:rPr>
        <w:t xml:space="preserve">Fate analysis: </w:t>
      </w:r>
      <w:r w:rsidR="00DD3FA9">
        <w:rPr>
          <w:lang w:eastAsia="x-none"/>
        </w:rPr>
        <w:t>Throughout</w:t>
      </w:r>
      <w:r>
        <w:rPr>
          <w:lang w:eastAsia="x-none"/>
        </w:rPr>
        <w:t xml:space="preserve"> this study it was </w:t>
      </w:r>
      <w:r w:rsidR="008A15DB">
        <w:rPr>
          <w:lang w:eastAsia="x-none"/>
        </w:rPr>
        <w:t xml:space="preserve">often </w:t>
      </w:r>
      <w:r>
        <w:rPr>
          <w:lang w:eastAsia="x-none"/>
        </w:rPr>
        <w:t xml:space="preserve">necessary to estimate the fate of reprocessed materials as </w:t>
      </w:r>
      <w:r w:rsidR="008A15DB">
        <w:rPr>
          <w:lang w:eastAsia="x-none"/>
        </w:rPr>
        <w:t>data was difficult to source</w:t>
      </w:r>
      <w:r>
        <w:rPr>
          <w:lang w:eastAsia="x-none"/>
        </w:rPr>
        <w:t>. In future</w:t>
      </w:r>
      <w:r w:rsidR="008A15DB">
        <w:rPr>
          <w:lang w:eastAsia="x-none"/>
        </w:rPr>
        <w:t>,</w:t>
      </w:r>
      <w:r>
        <w:rPr>
          <w:lang w:eastAsia="x-none"/>
        </w:rPr>
        <w:t xml:space="preserve"> reporting should track recyclate flows to at least the first receiver of the materials. As time progresses this tracking could be increased to determine a fate of the material. Such tracking, although potentially burdensome, is necessary if </w:t>
      </w:r>
      <w:r w:rsidR="00DD3FA9">
        <w:rPr>
          <w:lang w:eastAsia="x-none"/>
        </w:rPr>
        <w:t>genuine waste stewardship is to be achieved.</w:t>
      </w:r>
    </w:p>
    <w:p w14:paraId="0D49458F" w14:textId="77777777" w:rsidR="007856A9" w:rsidRDefault="007856A9" w:rsidP="00AD5B76">
      <w:pPr>
        <w:pStyle w:val="Heading1"/>
        <w:rPr>
          <w:lang w:val="en-AU"/>
        </w:rPr>
      </w:pPr>
      <w:bookmarkStart w:id="251" w:name="_Toc303345297"/>
      <w:bookmarkStart w:id="252" w:name="_Toc433964588"/>
      <w:r>
        <w:rPr>
          <w:lang w:val="en-AU"/>
        </w:rPr>
        <w:lastRenderedPageBreak/>
        <w:t>Glossary</w:t>
      </w:r>
      <w:bookmarkEnd w:id="252"/>
    </w:p>
    <w:p w14:paraId="0D494590" w14:textId="4ED0C56F" w:rsidR="009F58E7" w:rsidRDefault="009F58E7" w:rsidP="009F58E7">
      <w:pPr>
        <w:spacing w:after="0"/>
        <w:rPr>
          <w:lang w:eastAsia="x-none"/>
        </w:rPr>
      </w:pPr>
      <w:r>
        <w:rPr>
          <w:b/>
          <w:lang w:eastAsia="x-none"/>
        </w:rPr>
        <w:t xml:space="preserve">Alternative System: </w:t>
      </w:r>
      <w:r>
        <w:rPr>
          <w:lang w:eastAsia="x-none"/>
        </w:rPr>
        <w:t>The system defined by the system boundary to the right of</w:t>
      </w:r>
      <w:r w:rsidR="00BC1CED">
        <w:rPr>
          <w:lang w:eastAsia="x-none"/>
        </w:rPr>
        <w:t xml:space="preserve"> </w:t>
      </w:r>
      <w:r w:rsidR="00BC1CED">
        <w:rPr>
          <w:lang w:eastAsia="x-none"/>
        </w:rPr>
        <w:fldChar w:fldCharType="begin"/>
      </w:r>
      <w:r w:rsidR="00BC1CED">
        <w:rPr>
          <w:lang w:eastAsia="x-none"/>
        </w:rPr>
        <w:instrText xml:space="preserve"> REF _Ref358407972 \h </w:instrText>
      </w:r>
      <w:r w:rsidR="00BC1CED">
        <w:rPr>
          <w:lang w:eastAsia="x-none"/>
        </w:rPr>
      </w:r>
      <w:r w:rsidR="00BC1CED">
        <w:rPr>
          <w:lang w:eastAsia="x-none"/>
        </w:rPr>
        <w:fldChar w:fldCharType="separate"/>
      </w:r>
      <w:r w:rsidR="00564E5C">
        <w:t xml:space="preserve">Figure </w:t>
      </w:r>
      <w:r w:rsidR="00564E5C">
        <w:rPr>
          <w:noProof/>
        </w:rPr>
        <w:t>8</w:t>
      </w:r>
      <w:r w:rsidR="00BC1CED">
        <w:rPr>
          <w:lang w:eastAsia="x-none"/>
        </w:rPr>
        <w:fldChar w:fldCharType="end"/>
      </w:r>
      <w:r>
        <w:rPr>
          <w:lang w:eastAsia="x-none"/>
        </w:rPr>
        <w:t>.</w:t>
      </w:r>
    </w:p>
    <w:p w14:paraId="0D494591" w14:textId="77777777" w:rsidR="009F58E7" w:rsidRPr="009F58E7" w:rsidRDefault="009F58E7" w:rsidP="009F58E7">
      <w:pPr>
        <w:spacing w:after="0"/>
        <w:rPr>
          <w:lang w:eastAsia="x-none"/>
        </w:rPr>
      </w:pPr>
    </w:p>
    <w:p w14:paraId="0D494592" w14:textId="77777777" w:rsidR="007856A9" w:rsidRDefault="007856A9" w:rsidP="009F58E7">
      <w:pPr>
        <w:spacing w:after="0"/>
        <w:rPr>
          <w:lang w:eastAsia="x-none"/>
        </w:rPr>
      </w:pPr>
      <w:r w:rsidRPr="00F9282A">
        <w:rPr>
          <w:b/>
          <w:lang w:eastAsia="x-none"/>
        </w:rPr>
        <w:t>Aerobic composting:</w:t>
      </w:r>
      <w:r>
        <w:rPr>
          <w:lang w:eastAsia="x-none"/>
        </w:rPr>
        <w:t xml:space="preserve"> the controlled biological decomposition of organic materials under aerobic conditions (i.e. in the presence of oxygen), accomplished in windrows (see below) or open static piles. Aerobic composting involves the action of thermophilic (heat loving) micro-organisms that thrive under increased temperature conditions. If correctly managed, it results in the destruction of seeds and disease-causing organisms.(B)</w:t>
      </w:r>
    </w:p>
    <w:p w14:paraId="0D494593" w14:textId="77777777" w:rsidR="009F58E7" w:rsidRDefault="009F58E7" w:rsidP="009F58E7">
      <w:pPr>
        <w:spacing w:after="0"/>
        <w:rPr>
          <w:lang w:eastAsia="x-none"/>
        </w:rPr>
      </w:pPr>
    </w:p>
    <w:p w14:paraId="0D494594" w14:textId="77777777" w:rsidR="007856A9" w:rsidRPr="00D67857" w:rsidRDefault="007856A9" w:rsidP="009F58E7">
      <w:pPr>
        <w:widowControl/>
        <w:autoSpaceDE w:val="0"/>
        <w:autoSpaceDN w:val="0"/>
        <w:adjustRightInd w:val="0"/>
        <w:spacing w:after="0"/>
        <w:jc w:val="left"/>
        <w:rPr>
          <w:lang w:eastAsia="x-none"/>
        </w:rPr>
      </w:pPr>
      <w:r w:rsidRPr="00363F49">
        <w:rPr>
          <w:b/>
          <w:lang w:eastAsia="x-none"/>
        </w:rPr>
        <w:t>Carbon dioxide equivalent (CO2-e):</w:t>
      </w:r>
      <w:r w:rsidR="00A94700">
        <w:rPr>
          <w:b/>
          <w:lang w:eastAsia="x-none"/>
        </w:rPr>
        <w:t xml:space="preserve"> </w:t>
      </w:r>
      <w:r w:rsidRPr="00D67857">
        <w:rPr>
          <w:lang w:eastAsia="x-none"/>
        </w:rPr>
        <w:t>a metric measure used to compare the emissions of various different greenhouse gases based on their global warming potential.</w:t>
      </w:r>
      <w:r>
        <w:rPr>
          <w:lang w:eastAsia="x-none"/>
        </w:rPr>
        <w:t>(B)</w:t>
      </w:r>
    </w:p>
    <w:p w14:paraId="0D494595" w14:textId="77777777" w:rsidR="007856A9" w:rsidRDefault="007856A9" w:rsidP="009F58E7">
      <w:pPr>
        <w:widowControl/>
        <w:autoSpaceDE w:val="0"/>
        <w:autoSpaceDN w:val="0"/>
        <w:adjustRightInd w:val="0"/>
        <w:spacing w:after="0"/>
        <w:jc w:val="left"/>
        <w:rPr>
          <w:b/>
          <w:lang w:eastAsia="x-none"/>
        </w:rPr>
      </w:pPr>
    </w:p>
    <w:p w14:paraId="0D494596" w14:textId="77777777" w:rsidR="007856A9" w:rsidRDefault="007856A9" w:rsidP="009F58E7">
      <w:pPr>
        <w:widowControl/>
        <w:autoSpaceDE w:val="0"/>
        <w:autoSpaceDN w:val="0"/>
        <w:adjustRightInd w:val="0"/>
        <w:spacing w:after="0"/>
        <w:jc w:val="left"/>
        <w:rPr>
          <w:lang w:eastAsia="x-none"/>
        </w:rPr>
      </w:pPr>
      <w:r w:rsidRPr="00D67857">
        <w:rPr>
          <w:b/>
          <w:lang w:eastAsia="x-none"/>
        </w:rPr>
        <w:t>Compost:</w:t>
      </w:r>
      <w:r w:rsidRPr="00D67857">
        <w:rPr>
          <w:lang w:eastAsia="x-none"/>
        </w:rPr>
        <w:t xml:space="preserve"> material resulting from the controlled microbiological transformation of organic materials such as animal manures, bark fines, biosolids, leaf mulch, sawdust and shredded green waste, under aerobic and thermophilic conditions, rendering them safe for use in growing situations. Compost may also be produced through anaerobic processes.</w:t>
      </w:r>
      <w:r>
        <w:rPr>
          <w:lang w:eastAsia="x-none"/>
        </w:rPr>
        <w:t>(B)</w:t>
      </w:r>
    </w:p>
    <w:p w14:paraId="0D494597" w14:textId="77777777" w:rsidR="007856A9" w:rsidRPr="00D67857" w:rsidRDefault="007856A9" w:rsidP="009F58E7">
      <w:pPr>
        <w:widowControl/>
        <w:autoSpaceDE w:val="0"/>
        <w:autoSpaceDN w:val="0"/>
        <w:adjustRightInd w:val="0"/>
        <w:spacing w:after="0"/>
        <w:jc w:val="left"/>
        <w:rPr>
          <w:lang w:eastAsia="x-none"/>
        </w:rPr>
      </w:pPr>
    </w:p>
    <w:p w14:paraId="0D494598" w14:textId="77777777" w:rsidR="007856A9" w:rsidRDefault="007856A9" w:rsidP="009F58E7">
      <w:pPr>
        <w:widowControl/>
        <w:autoSpaceDE w:val="0"/>
        <w:autoSpaceDN w:val="0"/>
        <w:adjustRightInd w:val="0"/>
        <w:spacing w:after="0"/>
        <w:jc w:val="left"/>
        <w:rPr>
          <w:lang w:eastAsia="x-none"/>
        </w:rPr>
      </w:pPr>
      <w:r w:rsidRPr="00D67857">
        <w:rPr>
          <w:b/>
          <w:lang w:eastAsia="x-none"/>
        </w:rPr>
        <w:t>Composting:</w:t>
      </w:r>
      <w:r>
        <w:rPr>
          <w:b/>
          <w:lang w:eastAsia="x-none"/>
        </w:rPr>
        <w:t xml:space="preserve"> </w:t>
      </w:r>
      <w:r w:rsidRPr="00D67857">
        <w:rPr>
          <w:lang w:eastAsia="x-none"/>
        </w:rPr>
        <w:t>the aerobic or anaerobic processes that produce compost, with or without mechanical treatment and processing.</w:t>
      </w:r>
      <w:r>
        <w:rPr>
          <w:lang w:eastAsia="x-none"/>
        </w:rPr>
        <w:t>(B)</w:t>
      </w:r>
    </w:p>
    <w:p w14:paraId="0D494599" w14:textId="77777777" w:rsidR="007856A9" w:rsidRPr="00C534DF" w:rsidRDefault="007856A9" w:rsidP="009F58E7">
      <w:pPr>
        <w:widowControl/>
        <w:autoSpaceDE w:val="0"/>
        <w:autoSpaceDN w:val="0"/>
        <w:adjustRightInd w:val="0"/>
        <w:spacing w:after="0"/>
        <w:jc w:val="left"/>
        <w:rPr>
          <w:lang w:eastAsia="x-none"/>
        </w:rPr>
      </w:pPr>
    </w:p>
    <w:p w14:paraId="0D49459A" w14:textId="77777777" w:rsidR="009F58E7" w:rsidRDefault="007856A9" w:rsidP="009F58E7">
      <w:pPr>
        <w:pStyle w:val="CM50"/>
        <w:spacing w:line="260" w:lineRule="atLeast"/>
        <w:ind w:right="137"/>
        <w:rPr>
          <w:color w:val="000000"/>
          <w:sz w:val="20"/>
          <w:szCs w:val="20"/>
        </w:rPr>
      </w:pPr>
      <w:r>
        <w:rPr>
          <w:b/>
          <w:bCs/>
          <w:color w:val="000000"/>
          <w:sz w:val="20"/>
          <w:szCs w:val="20"/>
        </w:rPr>
        <w:t xml:space="preserve">Commingled materials: </w:t>
      </w:r>
      <w:r>
        <w:rPr>
          <w:color w:val="000000"/>
          <w:sz w:val="20"/>
          <w:szCs w:val="20"/>
        </w:rPr>
        <w:t>Materials mixed together, such as plastic bottles with glass and metal containers. Commingled recyclable materials require sorting after collection before they can be recycled.(A)</w:t>
      </w:r>
    </w:p>
    <w:p w14:paraId="0D49459B" w14:textId="77777777" w:rsidR="009F58E7" w:rsidRDefault="009F58E7" w:rsidP="009F58E7">
      <w:pPr>
        <w:widowControl/>
        <w:autoSpaceDE w:val="0"/>
        <w:autoSpaceDN w:val="0"/>
        <w:adjustRightInd w:val="0"/>
        <w:spacing w:after="0"/>
        <w:jc w:val="left"/>
        <w:rPr>
          <w:b/>
          <w:lang w:eastAsia="x-none"/>
        </w:rPr>
      </w:pPr>
    </w:p>
    <w:p w14:paraId="0D49459C" w14:textId="77777777" w:rsidR="007856A9" w:rsidRPr="00D67857" w:rsidRDefault="007856A9" w:rsidP="009F58E7">
      <w:pPr>
        <w:widowControl/>
        <w:autoSpaceDE w:val="0"/>
        <w:autoSpaceDN w:val="0"/>
        <w:adjustRightInd w:val="0"/>
        <w:spacing w:after="0"/>
        <w:jc w:val="left"/>
        <w:rPr>
          <w:lang w:eastAsia="x-none"/>
        </w:rPr>
      </w:pPr>
      <w:r w:rsidRPr="00D67857">
        <w:rPr>
          <w:b/>
          <w:lang w:eastAsia="x-none"/>
        </w:rPr>
        <w:t>Cullet:</w:t>
      </w:r>
      <w:r w:rsidRPr="00D67857">
        <w:rPr>
          <w:lang w:eastAsia="x-none"/>
        </w:rPr>
        <w:t xml:space="preserve"> glass that is crushed finely for recycling into new glass.</w:t>
      </w:r>
      <w:r>
        <w:rPr>
          <w:lang w:eastAsia="x-none"/>
        </w:rPr>
        <w:t>(B)</w:t>
      </w:r>
    </w:p>
    <w:p w14:paraId="0D49459D" w14:textId="77777777" w:rsidR="007856A9" w:rsidRDefault="007856A9" w:rsidP="009F58E7">
      <w:pPr>
        <w:widowControl/>
        <w:autoSpaceDE w:val="0"/>
        <w:autoSpaceDN w:val="0"/>
        <w:adjustRightInd w:val="0"/>
        <w:spacing w:after="0"/>
        <w:jc w:val="left"/>
        <w:rPr>
          <w:b/>
          <w:lang w:eastAsia="x-none"/>
        </w:rPr>
      </w:pPr>
    </w:p>
    <w:p w14:paraId="0D49459E" w14:textId="77777777" w:rsidR="007856A9" w:rsidRDefault="007856A9" w:rsidP="009F58E7">
      <w:pPr>
        <w:widowControl/>
        <w:autoSpaceDE w:val="0"/>
        <w:autoSpaceDN w:val="0"/>
        <w:adjustRightInd w:val="0"/>
        <w:spacing w:after="0"/>
        <w:jc w:val="left"/>
        <w:rPr>
          <w:lang w:eastAsia="x-none"/>
        </w:rPr>
      </w:pPr>
      <w:r w:rsidRPr="00363F49">
        <w:rPr>
          <w:b/>
          <w:lang w:eastAsia="x-none"/>
        </w:rPr>
        <w:t>Diversion:</w:t>
      </w:r>
      <w:r w:rsidR="00A94700">
        <w:rPr>
          <w:b/>
          <w:lang w:eastAsia="x-none"/>
        </w:rPr>
        <w:t xml:space="preserve"> </w:t>
      </w:r>
      <w:r w:rsidRPr="00D67857">
        <w:rPr>
          <w:lang w:eastAsia="x-none"/>
        </w:rPr>
        <w:t>the act of diverting a waste away from landfill for another purpose such as re-use or recycling.</w:t>
      </w:r>
      <w:r>
        <w:rPr>
          <w:lang w:eastAsia="x-none"/>
        </w:rPr>
        <w:t>(B)</w:t>
      </w:r>
    </w:p>
    <w:p w14:paraId="0D49459F" w14:textId="77777777" w:rsidR="007856A9" w:rsidRPr="00D67857" w:rsidRDefault="007856A9" w:rsidP="009F58E7">
      <w:pPr>
        <w:widowControl/>
        <w:autoSpaceDE w:val="0"/>
        <w:autoSpaceDN w:val="0"/>
        <w:adjustRightInd w:val="0"/>
        <w:spacing w:after="0"/>
        <w:jc w:val="left"/>
        <w:rPr>
          <w:lang w:eastAsia="x-none"/>
        </w:rPr>
      </w:pPr>
    </w:p>
    <w:p w14:paraId="0D4945A0" w14:textId="77777777" w:rsidR="007856A9" w:rsidRDefault="007856A9" w:rsidP="009F58E7">
      <w:pPr>
        <w:pStyle w:val="CM50"/>
        <w:spacing w:line="260" w:lineRule="atLeast"/>
        <w:ind w:right="137"/>
        <w:rPr>
          <w:color w:val="000000"/>
          <w:sz w:val="20"/>
          <w:szCs w:val="20"/>
        </w:rPr>
      </w:pPr>
      <w:r>
        <w:rPr>
          <w:b/>
          <w:bCs/>
          <w:color w:val="000000"/>
          <w:sz w:val="20"/>
          <w:szCs w:val="20"/>
        </w:rPr>
        <w:t xml:space="preserve">Garden organics: </w:t>
      </w:r>
      <w:r>
        <w:rPr>
          <w:color w:val="000000"/>
          <w:sz w:val="20"/>
          <w:szCs w:val="20"/>
        </w:rPr>
        <w:t>Organics derived from garden sources e.g. grass clippings and</w:t>
      </w:r>
      <w:r w:rsidR="006D454C">
        <w:rPr>
          <w:color w:val="000000"/>
          <w:sz w:val="20"/>
          <w:szCs w:val="20"/>
        </w:rPr>
        <w:t xml:space="preserve"> pruned</w:t>
      </w:r>
      <w:r>
        <w:rPr>
          <w:color w:val="000000"/>
          <w:sz w:val="20"/>
          <w:szCs w:val="20"/>
        </w:rPr>
        <w:t xml:space="preserve"> tree </w:t>
      </w:r>
      <w:r w:rsidR="006D454C">
        <w:rPr>
          <w:color w:val="000000"/>
          <w:sz w:val="20"/>
          <w:szCs w:val="20"/>
        </w:rPr>
        <w:t>branches</w:t>
      </w:r>
      <w:r>
        <w:rPr>
          <w:color w:val="000000"/>
          <w:sz w:val="20"/>
          <w:szCs w:val="20"/>
        </w:rPr>
        <w:t>.(A)</w:t>
      </w:r>
    </w:p>
    <w:p w14:paraId="0D4945A1" w14:textId="77777777" w:rsidR="007856A9" w:rsidRDefault="007856A9" w:rsidP="009F58E7">
      <w:pPr>
        <w:widowControl/>
        <w:autoSpaceDE w:val="0"/>
        <w:autoSpaceDN w:val="0"/>
        <w:adjustRightInd w:val="0"/>
        <w:spacing w:after="0"/>
        <w:jc w:val="left"/>
        <w:rPr>
          <w:b/>
          <w:lang w:eastAsia="x-none"/>
        </w:rPr>
      </w:pPr>
    </w:p>
    <w:p w14:paraId="0D4945A2" w14:textId="77777777" w:rsidR="007856A9" w:rsidRDefault="007856A9" w:rsidP="009F58E7">
      <w:pPr>
        <w:widowControl/>
        <w:autoSpaceDE w:val="0"/>
        <w:autoSpaceDN w:val="0"/>
        <w:adjustRightInd w:val="0"/>
        <w:spacing w:after="0"/>
        <w:jc w:val="left"/>
        <w:rPr>
          <w:lang w:eastAsia="x-none"/>
        </w:rPr>
      </w:pPr>
      <w:r w:rsidRPr="00D67857">
        <w:rPr>
          <w:b/>
          <w:lang w:eastAsia="x-none"/>
        </w:rPr>
        <w:t>Global warming potential:</w:t>
      </w:r>
      <w:r w:rsidRPr="00D67857">
        <w:rPr>
          <w:lang w:eastAsia="x-none"/>
        </w:rPr>
        <w:t xml:space="preserve"> a system of multipliers devised to enable comparison among warming effects of different gases. For example, over the next 100 years, a gram of methane in the atmosphere is currently estimated as having 25 times the warming effect of a gram of carbon dioxide; methane’s 100-year global warming potential is thus 25.</w:t>
      </w:r>
      <w:r>
        <w:rPr>
          <w:lang w:eastAsia="x-none"/>
        </w:rPr>
        <w:t>(B)</w:t>
      </w:r>
    </w:p>
    <w:p w14:paraId="0D4945A3" w14:textId="77777777" w:rsidR="007856A9" w:rsidRDefault="007856A9" w:rsidP="009F58E7">
      <w:pPr>
        <w:widowControl/>
        <w:autoSpaceDE w:val="0"/>
        <w:autoSpaceDN w:val="0"/>
        <w:adjustRightInd w:val="0"/>
        <w:spacing w:after="0"/>
        <w:jc w:val="left"/>
        <w:rPr>
          <w:lang w:eastAsia="x-none"/>
        </w:rPr>
      </w:pPr>
    </w:p>
    <w:p w14:paraId="0D4945A4" w14:textId="77777777" w:rsidR="007856A9" w:rsidRPr="00363F49" w:rsidRDefault="007856A9" w:rsidP="009F58E7">
      <w:pPr>
        <w:widowControl/>
        <w:autoSpaceDE w:val="0"/>
        <w:autoSpaceDN w:val="0"/>
        <w:adjustRightInd w:val="0"/>
        <w:spacing w:after="0"/>
        <w:jc w:val="left"/>
        <w:rPr>
          <w:lang w:eastAsia="x-none"/>
        </w:rPr>
      </w:pPr>
      <w:r w:rsidRPr="00363F49">
        <w:rPr>
          <w:b/>
          <w:lang w:eastAsia="x-none"/>
        </w:rPr>
        <w:t>Green waste:</w:t>
      </w:r>
      <w:r w:rsidRPr="00363F49">
        <w:rPr>
          <w:lang w:eastAsia="x-none"/>
        </w:rPr>
        <w:t xml:space="preserve"> generally refers to biodegradable garden or park waste such as grass clippings or leaves.</w:t>
      </w:r>
      <w:r>
        <w:rPr>
          <w:lang w:eastAsia="x-none"/>
        </w:rPr>
        <w:t>(B)</w:t>
      </w:r>
    </w:p>
    <w:p w14:paraId="0D4945A5" w14:textId="77777777" w:rsidR="007856A9" w:rsidRDefault="007856A9" w:rsidP="009F58E7">
      <w:pPr>
        <w:widowControl/>
        <w:autoSpaceDE w:val="0"/>
        <w:autoSpaceDN w:val="0"/>
        <w:adjustRightInd w:val="0"/>
        <w:spacing w:after="0"/>
        <w:jc w:val="left"/>
        <w:rPr>
          <w:b/>
          <w:lang w:eastAsia="x-none"/>
        </w:rPr>
      </w:pPr>
    </w:p>
    <w:p w14:paraId="0D4945A6" w14:textId="77777777" w:rsidR="007856A9" w:rsidRPr="00363F49" w:rsidRDefault="007856A9" w:rsidP="009F58E7">
      <w:pPr>
        <w:widowControl/>
        <w:autoSpaceDE w:val="0"/>
        <w:autoSpaceDN w:val="0"/>
        <w:adjustRightInd w:val="0"/>
        <w:spacing w:after="0"/>
        <w:jc w:val="left"/>
        <w:rPr>
          <w:lang w:eastAsia="x-none"/>
        </w:rPr>
      </w:pPr>
      <w:r w:rsidRPr="00363F49">
        <w:rPr>
          <w:b/>
          <w:lang w:eastAsia="x-none"/>
        </w:rPr>
        <w:t>Greenhouse gas emissions:</w:t>
      </w:r>
      <w:r w:rsidRPr="00363F49">
        <w:rPr>
          <w:lang w:eastAsia="x-none"/>
        </w:rPr>
        <w:t xml:space="preserve"> releases to the atmosphere of substances that contribute to the enhanced greenhouse effect and climate change. The main greenhouse gases generated by human activity are carbon dioxide (CO2), methane and nitrous oxide. There are also manufactured gases such as chlorofluorocarbons (CFCs), halocarbons and some of their replacements.</w:t>
      </w:r>
      <w:r>
        <w:rPr>
          <w:lang w:eastAsia="x-none"/>
        </w:rPr>
        <w:t>(B)</w:t>
      </w:r>
    </w:p>
    <w:p w14:paraId="0D4945A7" w14:textId="77777777" w:rsidR="007856A9" w:rsidRDefault="007856A9" w:rsidP="009F58E7">
      <w:pPr>
        <w:pStyle w:val="CM50"/>
        <w:spacing w:line="260" w:lineRule="atLeast"/>
        <w:ind w:right="137"/>
        <w:rPr>
          <w:b/>
          <w:bCs/>
          <w:color w:val="000000"/>
          <w:sz w:val="20"/>
          <w:szCs w:val="20"/>
        </w:rPr>
      </w:pPr>
    </w:p>
    <w:p w14:paraId="0D4945A8" w14:textId="77777777" w:rsidR="009F58E7" w:rsidRDefault="009F58E7" w:rsidP="009F58E7">
      <w:pPr>
        <w:spacing w:after="0"/>
        <w:rPr>
          <w:lang w:eastAsia="x-none"/>
        </w:rPr>
      </w:pPr>
      <w:r w:rsidRPr="009F58E7">
        <w:rPr>
          <w:b/>
          <w:lang w:eastAsia="x-none"/>
        </w:rPr>
        <w:t>HDPE:</w:t>
      </w:r>
      <w:r>
        <w:rPr>
          <w:lang w:eastAsia="x-none"/>
        </w:rPr>
        <w:t xml:space="preserve"> High density polyethethylene</w:t>
      </w:r>
    </w:p>
    <w:p w14:paraId="0D4945A9" w14:textId="77777777" w:rsidR="009F58E7" w:rsidRDefault="009F58E7" w:rsidP="009F58E7">
      <w:pPr>
        <w:pStyle w:val="CM50"/>
        <w:spacing w:line="260" w:lineRule="atLeast"/>
        <w:ind w:right="137"/>
        <w:rPr>
          <w:b/>
          <w:bCs/>
          <w:color w:val="000000"/>
          <w:sz w:val="20"/>
          <w:szCs w:val="20"/>
        </w:rPr>
      </w:pPr>
    </w:p>
    <w:p w14:paraId="0D4945AA" w14:textId="77777777" w:rsidR="007856A9" w:rsidRDefault="007856A9" w:rsidP="009F58E7">
      <w:pPr>
        <w:pStyle w:val="CM50"/>
        <w:spacing w:line="260" w:lineRule="atLeast"/>
        <w:ind w:right="137"/>
        <w:rPr>
          <w:color w:val="000000"/>
          <w:sz w:val="20"/>
          <w:szCs w:val="20"/>
        </w:rPr>
      </w:pPr>
      <w:r>
        <w:rPr>
          <w:b/>
          <w:bCs/>
          <w:color w:val="000000"/>
          <w:sz w:val="20"/>
          <w:szCs w:val="20"/>
        </w:rPr>
        <w:t xml:space="preserve">Kerbside collection: </w:t>
      </w:r>
      <w:r>
        <w:rPr>
          <w:color w:val="000000"/>
          <w:sz w:val="20"/>
          <w:szCs w:val="20"/>
        </w:rPr>
        <w:t>Collection of household recyclable materials (separated or commingled) that are left at the kerbside for collection by local collection services.(A)</w:t>
      </w:r>
    </w:p>
    <w:p w14:paraId="0D4945AB" w14:textId="77777777" w:rsidR="009F58E7" w:rsidRDefault="009F58E7" w:rsidP="009F58E7">
      <w:pPr>
        <w:spacing w:after="0"/>
        <w:rPr>
          <w:b/>
          <w:bCs/>
          <w:color w:val="000000"/>
        </w:rPr>
      </w:pPr>
    </w:p>
    <w:p w14:paraId="0D4945AC" w14:textId="77777777" w:rsidR="007856A9" w:rsidRPr="00AD5B76" w:rsidRDefault="007856A9" w:rsidP="009F58E7">
      <w:pPr>
        <w:spacing w:after="0"/>
        <w:rPr>
          <w:lang w:eastAsia="x-none"/>
        </w:rPr>
      </w:pPr>
      <w:r>
        <w:rPr>
          <w:b/>
          <w:bCs/>
          <w:color w:val="000000"/>
        </w:rPr>
        <w:t xml:space="preserve">Landfill: </w:t>
      </w:r>
      <w:r>
        <w:rPr>
          <w:color w:val="000000"/>
        </w:rPr>
        <w:t>Sites that are licensed by EPA Victoria for the disposal of materials (both waste and potentially recyclable materials). Also known as tips.(A)</w:t>
      </w:r>
    </w:p>
    <w:p w14:paraId="0D4945AD" w14:textId="77777777" w:rsidR="009F58E7" w:rsidRDefault="009F58E7" w:rsidP="009F58E7">
      <w:pPr>
        <w:widowControl/>
        <w:autoSpaceDE w:val="0"/>
        <w:autoSpaceDN w:val="0"/>
        <w:adjustRightInd w:val="0"/>
        <w:spacing w:after="0"/>
        <w:jc w:val="left"/>
        <w:rPr>
          <w:b/>
          <w:lang w:eastAsia="x-none"/>
        </w:rPr>
      </w:pPr>
    </w:p>
    <w:p w14:paraId="0D4945AE" w14:textId="77777777" w:rsidR="007856A9" w:rsidRDefault="007856A9" w:rsidP="009F58E7">
      <w:pPr>
        <w:widowControl/>
        <w:autoSpaceDE w:val="0"/>
        <w:autoSpaceDN w:val="0"/>
        <w:adjustRightInd w:val="0"/>
        <w:spacing w:after="0"/>
        <w:jc w:val="left"/>
        <w:rPr>
          <w:lang w:eastAsia="x-none"/>
        </w:rPr>
      </w:pPr>
      <w:r w:rsidRPr="00363F49">
        <w:rPr>
          <w:b/>
          <w:lang w:eastAsia="x-none"/>
        </w:rPr>
        <w:t>Landfill gas:</w:t>
      </w:r>
      <w:r w:rsidRPr="00363F49">
        <w:rPr>
          <w:lang w:eastAsia="x-none"/>
        </w:rPr>
        <w:t xml:space="preserve"> gas generated by the natural degradation and decomposition of solid waste by anaerobic micro-organisms in landfills. Consists of approximately equal parts methane (the primary component of natural gas) and carbon dioxide, as well as traces of non-methane organic compounds.</w:t>
      </w:r>
      <w:r>
        <w:rPr>
          <w:lang w:eastAsia="x-none"/>
        </w:rPr>
        <w:t>(B)</w:t>
      </w:r>
    </w:p>
    <w:p w14:paraId="0D4945AF" w14:textId="77777777" w:rsidR="00C3409E" w:rsidRDefault="00C3409E" w:rsidP="009F58E7">
      <w:pPr>
        <w:widowControl/>
        <w:autoSpaceDE w:val="0"/>
        <w:autoSpaceDN w:val="0"/>
        <w:adjustRightInd w:val="0"/>
        <w:spacing w:after="0"/>
        <w:jc w:val="left"/>
        <w:rPr>
          <w:lang w:eastAsia="x-none"/>
        </w:rPr>
      </w:pPr>
    </w:p>
    <w:p w14:paraId="0D4945B0" w14:textId="77777777" w:rsidR="009F58E7" w:rsidRDefault="009F58E7" w:rsidP="009F58E7">
      <w:pPr>
        <w:spacing w:after="0"/>
        <w:rPr>
          <w:lang w:eastAsia="x-none"/>
        </w:rPr>
      </w:pPr>
      <w:r w:rsidRPr="009F58E7">
        <w:rPr>
          <w:b/>
          <w:lang w:eastAsia="x-none"/>
        </w:rPr>
        <w:lastRenderedPageBreak/>
        <w:t>LPB:</w:t>
      </w:r>
      <w:r>
        <w:rPr>
          <w:lang w:eastAsia="x-none"/>
        </w:rPr>
        <w:t xml:space="preserve"> Liquid paper board</w:t>
      </w:r>
    </w:p>
    <w:p w14:paraId="0D4945B2" w14:textId="77777777" w:rsidR="009F58E7" w:rsidRPr="00363F49" w:rsidRDefault="009F58E7" w:rsidP="009F58E7">
      <w:pPr>
        <w:widowControl/>
        <w:autoSpaceDE w:val="0"/>
        <w:autoSpaceDN w:val="0"/>
        <w:adjustRightInd w:val="0"/>
        <w:spacing w:after="0"/>
        <w:jc w:val="left"/>
        <w:rPr>
          <w:lang w:eastAsia="x-none"/>
        </w:rPr>
      </w:pPr>
    </w:p>
    <w:p w14:paraId="0D4945B3" w14:textId="77777777" w:rsidR="007856A9" w:rsidRPr="00363F49" w:rsidRDefault="007856A9" w:rsidP="009F58E7">
      <w:pPr>
        <w:widowControl/>
        <w:autoSpaceDE w:val="0"/>
        <w:autoSpaceDN w:val="0"/>
        <w:adjustRightInd w:val="0"/>
        <w:spacing w:after="0"/>
        <w:jc w:val="left"/>
        <w:rPr>
          <w:lang w:eastAsia="x-none"/>
        </w:rPr>
      </w:pPr>
      <w:r w:rsidRPr="00363F49">
        <w:rPr>
          <w:b/>
          <w:lang w:eastAsia="x-none"/>
        </w:rPr>
        <w:t>Materials Recovery Facility (MRF):</w:t>
      </w:r>
      <w:r w:rsidRPr="00363F49">
        <w:rPr>
          <w:lang w:eastAsia="x-none"/>
        </w:rPr>
        <w:t xml:space="preserve"> a specialised facility that receives, separates and prepares recyclable materials for marketing to end-user manufacturers. May also be referred to as municipal/mixed recycling or recovery facility, and usually involves mechanical sorting and separation of materials. An MRF does not process residual organic waste, or cover sites that are mainly transfer stations.</w:t>
      </w:r>
      <w:r>
        <w:rPr>
          <w:lang w:eastAsia="x-none"/>
        </w:rPr>
        <w:t>(B)</w:t>
      </w:r>
    </w:p>
    <w:p w14:paraId="0D4945B4" w14:textId="77777777" w:rsidR="007856A9" w:rsidRDefault="007856A9" w:rsidP="009F58E7">
      <w:pPr>
        <w:widowControl/>
        <w:autoSpaceDE w:val="0"/>
        <w:autoSpaceDN w:val="0"/>
        <w:adjustRightInd w:val="0"/>
        <w:spacing w:after="0"/>
        <w:jc w:val="left"/>
        <w:rPr>
          <w:b/>
          <w:lang w:eastAsia="x-none"/>
        </w:rPr>
      </w:pPr>
    </w:p>
    <w:p w14:paraId="0D4945B5" w14:textId="77777777" w:rsidR="007856A9" w:rsidRPr="00363F49" w:rsidRDefault="007856A9" w:rsidP="009F58E7">
      <w:pPr>
        <w:widowControl/>
        <w:autoSpaceDE w:val="0"/>
        <w:autoSpaceDN w:val="0"/>
        <w:adjustRightInd w:val="0"/>
        <w:spacing w:after="0"/>
        <w:jc w:val="left"/>
        <w:rPr>
          <w:lang w:eastAsia="x-none"/>
        </w:rPr>
      </w:pPr>
      <w:r w:rsidRPr="00363F49">
        <w:rPr>
          <w:b/>
          <w:lang w:eastAsia="x-none"/>
        </w:rPr>
        <w:t>Municipal solid waste (MSW):</w:t>
      </w:r>
      <w:r w:rsidRPr="00363F49">
        <w:rPr>
          <w:lang w:eastAsia="x-none"/>
        </w:rPr>
        <w:t xml:space="preserve"> waste produced primarily by households and council facilities, including biodegradable material, recyclable materials such as bottles, paper, cardboard and aluminium cans, and a wide range of non</w:t>
      </w:r>
      <w:r w:rsidRPr="00363F49">
        <w:rPr>
          <w:rFonts w:hint="eastAsia"/>
          <w:lang w:eastAsia="x-none"/>
        </w:rPr>
        <w:t>‑</w:t>
      </w:r>
      <w:r w:rsidRPr="00363F49">
        <w:rPr>
          <w:lang w:eastAsia="x-none"/>
        </w:rPr>
        <w:t>degradable material including paint, appliances, old furniture and household lighting.</w:t>
      </w:r>
      <w:r>
        <w:rPr>
          <w:lang w:eastAsia="x-none"/>
        </w:rPr>
        <w:t>(B)</w:t>
      </w:r>
    </w:p>
    <w:p w14:paraId="0D4945B6" w14:textId="77777777" w:rsidR="007856A9" w:rsidRDefault="007856A9" w:rsidP="009F58E7">
      <w:pPr>
        <w:widowControl/>
        <w:autoSpaceDE w:val="0"/>
        <w:autoSpaceDN w:val="0"/>
        <w:adjustRightInd w:val="0"/>
        <w:spacing w:after="0"/>
        <w:jc w:val="left"/>
        <w:rPr>
          <w:b/>
          <w:lang w:eastAsia="x-none"/>
        </w:rPr>
      </w:pPr>
    </w:p>
    <w:p w14:paraId="0D4945B7" w14:textId="77777777" w:rsidR="007856A9" w:rsidRPr="00363F49" w:rsidRDefault="007856A9" w:rsidP="009F58E7">
      <w:pPr>
        <w:widowControl/>
        <w:autoSpaceDE w:val="0"/>
        <w:autoSpaceDN w:val="0"/>
        <w:adjustRightInd w:val="0"/>
        <w:spacing w:after="0"/>
        <w:jc w:val="left"/>
        <w:rPr>
          <w:lang w:eastAsia="x-none"/>
        </w:rPr>
      </w:pPr>
      <w:r w:rsidRPr="00363F49">
        <w:rPr>
          <w:b/>
          <w:lang w:eastAsia="x-none"/>
        </w:rPr>
        <w:t>Organic waste:</w:t>
      </w:r>
      <w:r w:rsidRPr="00363F49">
        <w:rPr>
          <w:lang w:eastAsia="x-none"/>
        </w:rPr>
        <w:t xml:space="preserve"> waste materials from plant or animal sources, including garden waste, food waste, paper and cardboard.</w:t>
      </w:r>
      <w:r>
        <w:rPr>
          <w:lang w:eastAsia="x-none"/>
        </w:rPr>
        <w:t>(B)</w:t>
      </w:r>
    </w:p>
    <w:p w14:paraId="0D4945B8" w14:textId="77777777" w:rsidR="007856A9" w:rsidRDefault="007856A9" w:rsidP="009F58E7">
      <w:pPr>
        <w:widowControl/>
        <w:autoSpaceDE w:val="0"/>
        <w:autoSpaceDN w:val="0"/>
        <w:adjustRightInd w:val="0"/>
        <w:spacing w:after="0"/>
        <w:jc w:val="left"/>
        <w:rPr>
          <w:b/>
          <w:lang w:eastAsia="x-none"/>
        </w:rPr>
      </w:pPr>
    </w:p>
    <w:p w14:paraId="0D4945B9" w14:textId="77777777" w:rsidR="009F58E7" w:rsidRDefault="009F58E7" w:rsidP="009F58E7">
      <w:pPr>
        <w:spacing w:after="0"/>
        <w:rPr>
          <w:lang w:eastAsia="x-none"/>
        </w:rPr>
      </w:pPr>
      <w:r w:rsidRPr="009F58E7">
        <w:rPr>
          <w:b/>
          <w:lang w:eastAsia="x-none"/>
        </w:rPr>
        <w:t>PET:</w:t>
      </w:r>
      <w:r>
        <w:rPr>
          <w:lang w:eastAsia="x-none"/>
        </w:rPr>
        <w:t xml:space="preserve"> </w:t>
      </w:r>
      <w:r w:rsidRPr="009F58E7">
        <w:rPr>
          <w:lang w:eastAsia="x-none"/>
        </w:rPr>
        <w:t>Polyethylene terephthalate</w:t>
      </w:r>
    </w:p>
    <w:p w14:paraId="0D4945BA" w14:textId="77777777" w:rsidR="009F58E7" w:rsidRDefault="009F58E7" w:rsidP="009F58E7">
      <w:pPr>
        <w:spacing w:after="0"/>
        <w:rPr>
          <w:lang w:eastAsia="x-none"/>
        </w:rPr>
      </w:pPr>
    </w:p>
    <w:p w14:paraId="0D4945BB" w14:textId="77777777" w:rsidR="009F58E7" w:rsidRDefault="009F58E7" w:rsidP="009F58E7">
      <w:pPr>
        <w:spacing w:after="0"/>
        <w:rPr>
          <w:lang w:eastAsia="x-none"/>
        </w:rPr>
      </w:pPr>
      <w:r w:rsidRPr="009F58E7">
        <w:rPr>
          <w:b/>
          <w:lang w:eastAsia="x-none"/>
        </w:rPr>
        <w:t>PP:</w:t>
      </w:r>
      <w:r>
        <w:rPr>
          <w:lang w:eastAsia="x-none"/>
        </w:rPr>
        <w:t xml:space="preserve"> Polypropylene</w:t>
      </w:r>
    </w:p>
    <w:p w14:paraId="0D4945BC" w14:textId="77777777" w:rsidR="009F58E7" w:rsidRDefault="009F58E7" w:rsidP="009F58E7">
      <w:pPr>
        <w:spacing w:after="0"/>
        <w:rPr>
          <w:lang w:eastAsia="x-none"/>
        </w:rPr>
      </w:pPr>
    </w:p>
    <w:p w14:paraId="0D4945BD" w14:textId="77777777" w:rsidR="009F58E7" w:rsidRDefault="009F58E7" w:rsidP="009F58E7">
      <w:pPr>
        <w:widowControl/>
        <w:autoSpaceDE w:val="0"/>
        <w:autoSpaceDN w:val="0"/>
        <w:adjustRightInd w:val="0"/>
        <w:spacing w:after="0"/>
        <w:jc w:val="left"/>
        <w:rPr>
          <w:lang w:eastAsia="x-none"/>
        </w:rPr>
      </w:pPr>
      <w:r w:rsidRPr="009F58E7">
        <w:rPr>
          <w:b/>
          <w:lang w:eastAsia="x-none"/>
        </w:rPr>
        <w:t>PS:</w:t>
      </w:r>
      <w:r>
        <w:rPr>
          <w:lang w:eastAsia="x-none"/>
        </w:rPr>
        <w:t xml:space="preserve"> Polystyrene</w:t>
      </w:r>
    </w:p>
    <w:p w14:paraId="0D4945BE" w14:textId="77777777" w:rsidR="009F58E7" w:rsidRDefault="009F58E7" w:rsidP="009F58E7">
      <w:pPr>
        <w:spacing w:after="0"/>
        <w:rPr>
          <w:lang w:eastAsia="x-none"/>
        </w:rPr>
      </w:pPr>
    </w:p>
    <w:p w14:paraId="0D4945BF" w14:textId="77777777" w:rsidR="009F58E7" w:rsidRDefault="009F58E7" w:rsidP="009F58E7">
      <w:pPr>
        <w:spacing w:after="0"/>
        <w:rPr>
          <w:lang w:eastAsia="x-none"/>
        </w:rPr>
      </w:pPr>
      <w:r w:rsidRPr="009F58E7">
        <w:rPr>
          <w:b/>
          <w:lang w:eastAsia="x-none"/>
        </w:rPr>
        <w:t>PVC:</w:t>
      </w:r>
      <w:r>
        <w:rPr>
          <w:lang w:eastAsia="x-none"/>
        </w:rPr>
        <w:t xml:space="preserve"> Polyvinyl </w:t>
      </w:r>
      <w:r w:rsidR="006D454C">
        <w:rPr>
          <w:lang w:eastAsia="x-none"/>
        </w:rPr>
        <w:t>chloride</w:t>
      </w:r>
    </w:p>
    <w:p w14:paraId="0D4945C0" w14:textId="77777777" w:rsidR="009F58E7" w:rsidRDefault="009F58E7" w:rsidP="009F58E7">
      <w:pPr>
        <w:widowControl/>
        <w:autoSpaceDE w:val="0"/>
        <w:autoSpaceDN w:val="0"/>
        <w:adjustRightInd w:val="0"/>
        <w:spacing w:after="0"/>
        <w:jc w:val="left"/>
        <w:rPr>
          <w:b/>
          <w:lang w:eastAsia="x-none"/>
        </w:rPr>
      </w:pPr>
    </w:p>
    <w:p w14:paraId="0D4945C1" w14:textId="77777777" w:rsidR="007856A9" w:rsidRDefault="007856A9" w:rsidP="009F58E7">
      <w:pPr>
        <w:widowControl/>
        <w:autoSpaceDE w:val="0"/>
        <w:autoSpaceDN w:val="0"/>
        <w:adjustRightInd w:val="0"/>
        <w:spacing w:after="0"/>
        <w:jc w:val="left"/>
        <w:rPr>
          <w:lang w:eastAsia="x-none"/>
        </w:rPr>
      </w:pPr>
      <w:r w:rsidRPr="00F9282A">
        <w:rPr>
          <w:b/>
          <w:lang w:eastAsia="x-none"/>
        </w:rPr>
        <w:t>Recyclate:</w:t>
      </w:r>
      <w:r w:rsidRPr="00363F49">
        <w:rPr>
          <w:lang w:eastAsia="x-none"/>
        </w:rPr>
        <w:t xml:space="preserve"> material able to be processed for recycling in a facility. </w:t>
      </w:r>
      <w:r>
        <w:rPr>
          <w:lang w:eastAsia="x-none"/>
        </w:rPr>
        <w:t xml:space="preserve">In this study, </w:t>
      </w:r>
      <w:r w:rsidRPr="00363F49">
        <w:rPr>
          <w:lang w:eastAsia="x-none"/>
        </w:rPr>
        <w:t xml:space="preserve">used only to refer to materials actually recovered from </w:t>
      </w:r>
      <w:r>
        <w:rPr>
          <w:lang w:eastAsia="x-none"/>
        </w:rPr>
        <w:t>the MRF</w:t>
      </w:r>
      <w:r w:rsidRPr="00363F49">
        <w:rPr>
          <w:lang w:eastAsia="x-none"/>
        </w:rPr>
        <w:t>, excluding residual wastes.</w:t>
      </w:r>
      <w:r>
        <w:rPr>
          <w:lang w:eastAsia="x-none"/>
        </w:rPr>
        <w:t>(modified from B)</w:t>
      </w:r>
    </w:p>
    <w:p w14:paraId="0D4945C2" w14:textId="77777777" w:rsidR="007856A9" w:rsidRDefault="007856A9" w:rsidP="009F58E7">
      <w:pPr>
        <w:widowControl/>
        <w:autoSpaceDE w:val="0"/>
        <w:autoSpaceDN w:val="0"/>
        <w:adjustRightInd w:val="0"/>
        <w:spacing w:after="0"/>
        <w:jc w:val="left"/>
        <w:rPr>
          <w:b/>
          <w:lang w:eastAsia="x-none"/>
        </w:rPr>
      </w:pPr>
    </w:p>
    <w:p w14:paraId="0D4945C3" w14:textId="77777777" w:rsidR="007856A9" w:rsidRDefault="007856A9" w:rsidP="009F58E7">
      <w:pPr>
        <w:widowControl/>
        <w:autoSpaceDE w:val="0"/>
        <w:autoSpaceDN w:val="0"/>
        <w:adjustRightInd w:val="0"/>
        <w:spacing w:after="0"/>
        <w:jc w:val="left"/>
        <w:rPr>
          <w:lang w:eastAsia="x-none"/>
        </w:rPr>
      </w:pPr>
      <w:r w:rsidRPr="00F91EBC">
        <w:rPr>
          <w:b/>
          <w:lang w:eastAsia="x-none"/>
        </w:rPr>
        <w:t>Recycled:</w:t>
      </w:r>
      <w:r>
        <w:rPr>
          <w:lang w:eastAsia="x-none"/>
        </w:rPr>
        <w:t xml:space="preserve"> </w:t>
      </w:r>
      <w:r w:rsidR="00BF0BA6">
        <w:rPr>
          <w:lang w:eastAsia="x-none"/>
        </w:rPr>
        <w:t>In general the term is used to refer to a material that is the product of reprocessing. Eg. recycled aluminium.</w:t>
      </w:r>
    </w:p>
    <w:p w14:paraId="0D4945C4" w14:textId="77777777" w:rsidR="007856A9" w:rsidRPr="00363F49" w:rsidRDefault="007856A9" w:rsidP="009F58E7">
      <w:pPr>
        <w:widowControl/>
        <w:autoSpaceDE w:val="0"/>
        <w:autoSpaceDN w:val="0"/>
        <w:adjustRightInd w:val="0"/>
        <w:spacing w:after="0"/>
        <w:jc w:val="left"/>
        <w:rPr>
          <w:lang w:eastAsia="x-none"/>
        </w:rPr>
      </w:pPr>
    </w:p>
    <w:p w14:paraId="0D4945C5" w14:textId="560D83E2" w:rsidR="009F58E7" w:rsidRPr="009F58E7" w:rsidRDefault="009F58E7" w:rsidP="009F58E7">
      <w:pPr>
        <w:widowControl/>
        <w:autoSpaceDE w:val="0"/>
        <w:autoSpaceDN w:val="0"/>
        <w:adjustRightInd w:val="0"/>
        <w:spacing w:after="0"/>
        <w:jc w:val="left"/>
        <w:rPr>
          <w:lang w:eastAsia="x-none"/>
        </w:rPr>
      </w:pPr>
      <w:r>
        <w:rPr>
          <w:b/>
          <w:lang w:eastAsia="x-none"/>
        </w:rPr>
        <w:t xml:space="preserve">Recycling System: </w:t>
      </w:r>
      <w:r>
        <w:rPr>
          <w:lang w:eastAsia="x-none"/>
        </w:rPr>
        <w:t>The system defined by the boundary to the left of</w:t>
      </w:r>
      <w:r w:rsidR="00BC1CED">
        <w:rPr>
          <w:lang w:eastAsia="x-none"/>
        </w:rPr>
        <w:t xml:space="preserve"> </w:t>
      </w:r>
      <w:r w:rsidR="00BC1CED">
        <w:rPr>
          <w:lang w:eastAsia="x-none"/>
        </w:rPr>
        <w:fldChar w:fldCharType="begin"/>
      </w:r>
      <w:r w:rsidR="00BC1CED">
        <w:rPr>
          <w:lang w:eastAsia="x-none"/>
        </w:rPr>
        <w:instrText xml:space="preserve"> REF _Ref358407972 \h </w:instrText>
      </w:r>
      <w:r w:rsidR="00BC1CED">
        <w:rPr>
          <w:lang w:eastAsia="x-none"/>
        </w:rPr>
      </w:r>
      <w:r w:rsidR="00BC1CED">
        <w:rPr>
          <w:lang w:eastAsia="x-none"/>
        </w:rPr>
        <w:fldChar w:fldCharType="separate"/>
      </w:r>
      <w:r w:rsidR="00564E5C">
        <w:t xml:space="preserve">Figure </w:t>
      </w:r>
      <w:r w:rsidR="00564E5C">
        <w:rPr>
          <w:noProof/>
        </w:rPr>
        <w:t>8</w:t>
      </w:r>
      <w:r w:rsidR="00BC1CED">
        <w:rPr>
          <w:lang w:eastAsia="x-none"/>
        </w:rPr>
        <w:fldChar w:fldCharType="end"/>
      </w:r>
      <w:r>
        <w:rPr>
          <w:lang w:eastAsia="x-none"/>
        </w:rPr>
        <w:t>.</w:t>
      </w:r>
    </w:p>
    <w:p w14:paraId="0D4945C6" w14:textId="77777777" w:rsidR="009F58E7" w:rsidRDefault="009F58E7" w:rsidP="009F58E7">
      <w:pPr>
        <w:widowControl/>
        <w:autoSpaceDE w:val="0"/>
        <w:autoSpaceDN w:val="0"/>
        <w:adjustRightInd w:val="0"/>
        <w:spacing w:after="0"/>
        <w:jc w:val="left"/>
        <w:rPr>
          <w:b/>
          <w:lang w:eastAsia="x-none"/>
        </w:rPr>
      </w:pPr>
    </w:p>
    <w:p w14:paraId="0D4945C7" w14:textId="77777777" w:rsidR="007856A9" w:rsidRDefault="007856A9" w:rsidP="009F58E7">
      <w:pPr>
        <w:widowControl/>
        <w:autoSpaceDE w:val="0"/>
        <w:autoSpaceDN w:val="0"/>
        <w:adjustRightInd w:val="0"/>
        <w:spacing w:after="0"/>
        <w:jc w:val="left"/>
        <w:rPr>
          <w:lang w:eastAsia="x-none"/>
        </w:rPr>
      </w:pPr>
      <w:r w:rsidRPr="00F9282A">
        <w:rPr>
          <w:b/>
          <w:lang w:eastAsia="x-none"/>
        </w:rPr>
        <w:t>Recycling</w:t>
      </w:r>
      <w:r>
        <w:rPr>
          <w:b/>
          <w:lang w:eastAsia="x-none"/>
        </w:rPr>
        <w:t xml:space="preserve"> (verb)</w:t>
      </w:r>
      <w:r w:rsidRPr="00F9282A">
        <w:rPr>
          <w:b/>
          <w:lang w:eastAsia="x-none"/>
        </w:rPr>
        <w:t>:</w:t>
      </w:r>
      <w:r w:rsidRPr="00363F49">
        <w:rPr>
          <w:lang w:eastAsia="x-none"/>
        </w:rPr>
        <w:t xml:space="preserve"> a resource recovery method involving the collection and processing of waste for use as a raw material in the manufacture of the same or similar non-waste product.</w:t>
      </w:r>
      <w:r>
        <w:rPr>
          <w:lang w:eastAsia="x-none"/>
        </w:rPr>
        <w:t>(B)</w:t>
      </w:r>
    </w:p>
    <w:p w14:paraId="0D4945C8" w14:textId="77777777" w:rsidR="007856A9" w:rsidRDefault="007856A9" w:rsidP="009F58E7">
      <w:pPr>
        <w:widowControl/>
        <w:autoSpaceDE w:val="0"/>
        <w:autoSpaceDN w:val="0"/>
        <w:adjustRightInd w:val="0"/>
        <w:spacing w:after="0"/>
        <w:jc w:val="left"/>
        <w:rPr>
          <w:lang w:eastAsia="x-none"/>
        </w:rPr>
      </w:pPr>
    </w:p>
    <w:p w14:paraId="0D4945C9" w14:textId="77777777" w:rsidR="007856A9" w:rsidRDefault="007856A9" w:rsidP="009F58E7">
      <w:pPr>
        <w:widowControl/>
        <w:autoSpaceDE w:val="0"/>
        <w:autoSpaceDN w:val="0"/>
        <w:adjustRightInd w:val="0"/>
        <w:spacing w:after="0"/>
        <w:jc w:val="left"/>
        <w:rPr>
          <w:lang w:eastAsia="x-none"/>
        </w:rPr>
      </w:pPr>
      <w:r w:rsidRPr="00F9282A">
        <w:rPr>
          <w:b/>
          <w:lang w:eastAsia="x-none"/>
        </w:rPr>
        <w:t>Recycling</w:t>
      </w:r>
      <w:r>
        <w:rPr>
          <w:b/>
          <w:lang w:eastAsia="x-none"/>
        </w:rPr>
        <w:t xml:space="preserve"> (noun)</w:t>
      </w:r>
      <w:r w:rsidRPr="00F9282A">
        <w:rPr>
          <w:b/>
          <w:lang w:eastAsia="x-none"/>
        </w:rPr>
        <w:t>:</w:t>
      </w:r>
      <w:r w:rsidRPr="00363F49">
        <w:rPr>
          <w:lang w:eastAsia="x-none"/>
        </w:rPr>
        <w:t xml:space="preserve"> </w:t>
      </w:r>
      <w:r>
        <w:rPr>
          <w:lang w:eastAsia="x-none"/>
        </w:rPr>
        <w:t>as a noun, the term is avoided in this report. It is replaced by ‘material recovered for recycling’ in most instances.</w:t>
      </w:r>
    </w:p>
    <w:p w14:paraId="0D4945CA" w14:textId="77777777" w:rsidR="007856A9" w:rsidRPr="00C534DF" w:rsidRDefault="007856A9" w:rsidP="009F58E7">
      <w:pPr>
        <w:widowControl/>
        <w:autoSpaceDE w:val="0"/>
        <w:autoSpaceDN w:val="0"/>
        <w:adjustRightInd w:val="0"/>
        <w:spacing w:after="0"/>
        <w:jc w:val="left"/>
        <w:rPr>
          <w:lang w:eastAsia="x-none"/>
        </w:rPr>
      </w:pPr>
    </w:p>
    <w:p w14:paraId="0D4945CB" w14:textId="77777777" w:rsidR="007856A9" w:rsidRPr="00C534DF" w:rsidRDefault="007856A9" w:rsidP="009F58E7">
      <w:pPr>
        <w:pStyle w:val="CM50"/>
        <w:spacing w:line="260" w:lineRule="atLeast"/>
        <w:ind w:right="222"/>
        <w:rPr>
          <w:color w:val="000000"/>
          <w:sz w:val="20"/>
          <w:szCs w:val="20"/>
        </w:rPr>
      </w:pPr>
      <w:r>
        <w:rPr>
          <w:b/>
          <w:bCs/>
          <w:color w:val="000000"/>
          <w:sz w:val="20"/>
          <w:szCs w:val="20"/>
        </w:rPr>
        <w:t xml:space="preserve">Recovered material: </w:t>
      </w:r>
      <w:r>
        <w:rPr>
          <w:color w:val="000000"/>
          <w:sz w:val="20"/>
          <w:szCs w:val="20"/>
        </w:rPr>
        <w:t>Material that would have otherwise been disposed of as waste, but has instead been collected and recovered (reclaimed) as a material input, in lieu of a new primary material, for a recycling or manufacturing process.(A)</w:t>
      </w:r>
    </w:p>
    <w:p w14:paraId="0D4945CC" w14:textId="77777777" w:rsidR="007856A9" w:rsidRDefault="007856A9" w:rsidP="009F58E7">
      <w:pPr>
        <w:widowControl/>
        <w:autoSpaceDE w:val="0"/>
        <w:autoSpaceDN w:val="0"/>
        <w:adjustRightInd w:val="0"/>
        <w:spacing w:after="0"/>
        <w:jc w:val="left"/>
        <w:rPr>
          <w:lang w:eastAsia="x-none"/>
        </w:rPr>
      </w:pPr>
      <w:r>
        <w:rPr>
          <w:b/>
          <w:bCs/>
          <w:color w:val="000000"/>
        </w:rPr>
        <w:t xml:space="preserve">Recovery rate: </w:t>
      </w:r>
      <w:r>
        <w:rPr>
          <w:color w:val="000000"/>
        </w:rPr>
        <w:t>The recovery rate is the percentage of materials recovered for reprocessing from the total quantity of waste generated.(A)</w:t>
      </w:r>
    </w:p>
    <w:p w14:paraId="0D4945CD" w14:textId="77777777" w:rsidR="007856A9" w:rsidRDefault="007856A9" w:rsidP="009F58E7">
      <w:pPr>
        <w:widowControl/>
        <w:autoSpaceDE w:val="0"/>
        <w:autoSpaceDN w:val="0"/>
        <w:adjustRightInd w:val="0"/>
        <w:spacing w:after="0"/>
        <w:jc w:val="left"/>
        <w:rPr>
          <w:b/>
          <w:lang w:eastAsia="x-none"/>
        </w:rPr>
      </w:pPr>
    </w:p>
    <w:p w14:paraId="0D4945CE" w14:textId="77777777" w:rsidR="007856A9" w:rsidRPr="00363F49" w:rsidRDefault="007856A9" w:rsidP="009F58E7">
      <w:pPr>
        <w:widowControl/>
        <w:autoSpaceDE w:val="0"/>
        <w:autoSpaceDN w:val="0"/>
        <w:adjustRightInd w:val="0"/>
        <w:spacing w:after="0"/>
        <w:jc w:val="left"/>
        <w:rPr>
          <w:lang w:eastAsia="x-none"/>
        </w:rPr>
      </w:pPr>
      <w:r w:rsidRPr="00F9282A">
        <w:rPr>
          <w:b/>
          <w:lang w:eastAsia="x-none"/>
        </w:rPr>
        <w:t>Transfer station:</w:t>
      </w:r>
      <w:r w:rsidRPr="00363F49">
        <w:rPr>
          <w:lang w:eastAsia="x-none"/>
        </w:rPr>
        <w:t xml:space="preserve"> a facility which temporarily houses waste prior to its transfer for treatment elsewhere. May involve some sorting, separation and baling, but not extensive processing such as at an MRF or</w:t>
      </w:r>
      <w:r w:rsidR="006D454C">
        <w:rPr>
          <w:lang w:eastAsia="x-none"/>
        </w:rPr>
        <w:t xml:space="preserve"> an advanced waste water treatment (</w:t>
      </w:r>
      <w:r w:rsidRPr="00363F49">
        <w:rPr>
          <w:lang w:eastAsia="x-none"/>
        </w:rPr>
        <w:t>AWT</w:t>
      </w:r>
      <w:r w:rsidR="006D454C">
        <w:rPr>
          <w:lang w:eastAsia="x-none"/>
        </w:rPr>
        <w:t>)</w:t>
      </w:r>
      <w:r w:rsidRPr="00363F49">
        <w:rPr>
          <w:lang w:eastAsia="x-none"/>
        </w:rPr>
        <w:t xml:space="preserve"> plant.</w:t>
      </w:r>
      <w:r>
        <w:rPr>
          <w:lang w:eastAsia="x-none"/>
        </w:rPr>
        <w:t>(B)</w:t>
      </w:r>
    </w:p>
    <w:p w14:paraId="0D4945CF" w14:textId="77777777" w:rsidR="007856A9" w:rsidRDefault="007856A9" w:rsidP="009F58E7">
      <w:pPr>
        <w:widowControl/>
        <w:autoSpaceDE w:val="0"/>
        <w:autoSpaceDN w:val="0"/>
        <w:adjustRightInd w:val="0"/>
        <w:spacing w:after="0"/>
        <w:jc w:val="left"/>
        <w:rPr>
          <w:b/>
          <w:lang w:eastAsia="x-none"/>
        </w:rPr>
      </w:pPr>
    </w:p>
    <w:p w14:paraId="0D4945D0" w14:textId="77777777" w:rsidR="007856A9" w:rsidRDefault="007856A9" w:rsidP="009F58E7">
      <w:pPr>
        <w:widowControl/>
        <w:autoSpaceDE w:val="0"/>
        <w:autoSpaceDN w:val="0"/>
        <w:adjustRightInd w:val="0"/>
        <w:spacing w:after="0"/>
        <w:jc w:val="left"/>
        <w:rPr>
          <w:lang w:eastAsia="x-none"/>
        </w:rPr>
      </w:pPr>
      <w:r w:rsidRPr="00F9282A">
        <w:rPr>
          <w:b/>
          <w:lang w:eastAsia="x-none"/>
        </w:rPr>
        <w:t>Waste:</w:t>
      </w:r>
      <w:r>
        <w:rPr>
          <w:lang w:eastAsia="x-none"/>
        </w:rPr>
        <w:t xml:space="preserve"> </w:t>
      </w:r>
      <w:r w:rsidRPr="00363F49">
        <w:rPr>
          <w:lang w:eastAsia="x-none"/>
        </w:rPr>
        <w:t>any discarded, rejected, unwanted, surplus or abandoned matter; discarded, rejected, unwanted, surplus or abandoned matter intended for recycling, re</w:t>
      </w:r>
      <w:r w:rsidRPr="00363F49">
        <w:rPr>
          <w:rFonts w:hint="eastAsia"/>
          <w:lang w:eastAsia="x-none"/>
        </w:rPr>
        <w:t>‑</w:t>
      </w:r>
      <w:r w:rsidRPr="00363F49">
        <w:rPr>
          <w:lang w:eastAsia="x-none"/>
        </w:rPr>
        <w:t>processing, recovery, re-use, or purification by a separate operation from that which produced the matter, or for sale, whether of any value or not.</w:t>
      </w:r>
      <w:r>
        <w:rPr>
          <w:lang w:eastAsia="x-none"/>
        </w:rPr>
        <w:t>(B)</w:t>
      </w:r>
    </w:p>
    <w:p w14:paraId="0D4945D1" w14:textId="77777777" w:rsidR="007856A9" w:rsidRPr="00363F49" w:rsidRDefault="007856A9" w:rsidP="009F58E7">
      <w:pPr>
        <w:widowControl/>
        <w:autoSpaceDE w:val="0"/>
        <w:autoSpaceDN w:val="0"/>
        <w:adjustRightInd w:val="0"/>
        <w:spacing w:after="0"/>
        <w:jc w:val="left"/>
        <w:rPr>
          <w:lang w:eastAsia="x-none"/>
        </w:rPr>
      </w:pPr>
    </w:p>
    <w:p w14:paraId="0D4945D2" w14:textId="77777777" w:rsidR="007856A9" w:rsidRPr="00363F49" w:rsidRDefault="007856A9" w:rsidP="009F58E7">
      <w:pPr>
        <w:widowControl/>
        <w:autoSpaceDE w:val="0"/>
        <w:autoSpaceDN w:val="0"/>
        <w:adjustRightInd w:val="0"/>
        <w:spacing w:after="0"/>
        <w:jc w:val="left"/>
        <w:rPr>
          <w:lang w:eastAsia="x-none"/>
        </w:rPr>
      </w:pPr>
      <w:r w:rsidRPr="00F9282A">
        <w:rPr>
          <w:b/>
          <w:lang w:eastAsia="x-none"/>
        </w:rPr>
        <w:t>Windrow composting:</w:t>
      </w:r>
      <w:r w:rsidRPr="00363F49">
        <w:rPr>
          <w:lang w:eastAsia="x-none"/>
        </w:rPr>
        <w:t xml:space="preserve"> the production of compost by piling biodegradable waste in long rows known</w:t>
      </w:r>
      <w:r>
        <w:rPr>
          <w:lang w:eastAsia="x-none"/>
        </w:rPr>
        <w:t xml:space="preserve"> </w:t>
      </w:r>
      <w:r w:rsidRPr="00363F49">
        <w:rPr>
          <w:lang w:eastAsia="x-none"/>
        </w:rPr>
        <w:t>as windrows.</w:t>
      </w:r>
      <w:r>
        <w:rPr>
          <w:lang w:eastAsia="x-none"/>
        </w:rPr>
        <w:t>(B)</w:t>
      </w:r>
    </w:p>
    <w:p w14:paraId="0D4945D3" w14:textId="77777777" w:rsidR="009F58E7" w:rsidRPr="008A15DB" w:rsidRDefault="009F58E7" w:rsidP="00363F49">
      <w:pPr>
        <w:widowControl/>
        <w:autoSpaceDE w:val="0"/>
        <w:autoSpaceDN w:val="0"/>
        <w:adjustRightInd w:val="0"/>
        <w:spacing w:after="0"/>
        <w:jc w:val="left"/>
        <w:rPr>
          <w:b/>
          <w:sz w:val="16"/>
          <w:u w:val="single"/>
          <w:lang w:eastAsia="x-none"/>
        </w:rPr>
      </w:pPr>
    </w:p>
    <w:p w14:paraId="0D4945D4" w14:textId="77777777" w:rsidR="007856A9" w:rsidRPr="008A15DB" w:rsidRDefault="007856A9" w:rsidP="00363F49">
      <w:pPr>
        <w:widowControl/>
        <w:autoSpaceDE w:val="0"/>
        <w:autoSpaceDN w:val="0"/>
        <w:adjustRightInd w:val="0"/>
        <w:spacing w:after="0"/>
        <w:jc w:val="left"/>
        <w:rPr>
          <w:b/>
          <w:sz w:val="16"/>
          <w:u w:val="single"/>
          <w:lang w:eastAsia="x-none"/>
        </w:rPr>
      </w:pPr>
      <w:r w:rsidRPr="008A15DB">
        <w:rPr>
          <w:b/>
          <w:sz w:val="16"/>
          <w:u w:val="single"/>
          <w:lang w:eastAsia="x-none"/>
        </w:rPr>
        <w:t>Reference Key</w:t>
      </w:r>
    </w:p>
    <w:p w14:paraId="0D4945D5" w14:textId="34A16D45" w:rsidR="007856A9" w:rsidRPr="008A15DB" w:rsidRDefault="007856A9" w:rsidP="00363F49">
      <w:pPr>
        <w:widowControl/>
        <w:autoSpaceDE w:val="0"/>
        <w:autoSpaceDN w:val="0"/>
        <w:adjustRightInd w:val="0"/>
        <w:spacing w:after="0"/>
        <w:jc w:val="left"/>
        <w:rPr>
          <w:color w:val="000000"/>
          <w:sz w:val="16"/>
        </w:rPr>
      </w:pPr>
      <w:r w:rsidRPr="008A15DB">
        <w:rPr>
          <w:sz w:val="16"/>
          <w:lang w:eastAsia="x-none"/>
        </w:rPr>
        <w:t xml:space="preserve">A - </w:t>
      </w:r>
      <w:r w:rsidRPr="008A15DB">
        <w:rPr>
          <w:color w:val="000000"/>
          <w:sz w:val="16"/>
        </w:rPr>
        <w:fldChar w:fldCharType="begin"/>
      </w:r>
      <w:r w:rsidR="00F40CE2">
        <w:rPr>
          <w:color w:val="000000"/>
          <w:sz w:val="16"/>
        </w:rPr>
        <w:instrText xml:space="preserve"> ADDIN EN.CITE &lt;EndNote&gt;&lt;Cite&gt;&lt;Author&gt;Sustainability Victoria&lt;/Author&gt;&lt;Year&gt;2011&lt;/Year&gt;&lt;RecNum&gt;35&lt;/RecNum&gt;&lt;DisplayText&gt;(Sustainability Victoria, 2011b)&lt;/DisplayText&gt;&lt;record&gt;&lt;rec-number&gt;35&lt;/rec-number&gt;&lt;foreign-keys&gt;&lt;key app="EN" db-id="tfpv5staxsvs2nexzpp5taewzsvpx0er5fap"&gt;35&lt;/key&gt;&lt;/foreign-keys&gt;&lt;ref-type name="Report"&gt;27&lt;/ref-type&gt;&lt;contributors&gt;&lt;authors&gt;&lt;author&gt;Sustainability Victoria,&lt;/author&gt;&lt;/authors&gt;&lt;/contributors&gt;&lt;titles&gt;&lt;title&gt;Victorian Recycling Industries Annual Survey 2009-10&lt;/title&gt;&lt;/titles&gt;&lt;dates&gt;&lt;year&gt;2011&lt;/year&gt;&lt;/dates&gt;&lt;urls&gt;&lt;/urls&gt;&lt;/record&gt;&lt;/Cite&gt;&lt;/EndNote&gt;</w:instrText>
      </w:r>
      <w:r w:rsidRPr="008A15DB">
        <w:rPr>
          <w:color w:val="000000"/>
          <w:sz w:val="16"/>
        </w:rPr>
        <w:fldChar w:fldCharType="separate"/>
      </w:r>
      <w:r w:rsidR="00F40CE2">
        <w:rPr>
          <w:noProof/>
          <w:color w:val="000000"/>
          <w:sz w:val="16"/>
        </w:rPr>
        <w:t>(</w:t>
      </w:r>
      <w:hyperlink w:anchor="_ENREF_74" w:tooltip="Sustainability Victoria, 2011 #35" w:history="1">
        <w:r w:rsidR="00F40CE2">
          <w:rPr>
            <w:noProof/>
            <w:color w:val="000000"/>
            <w:sz w:val="16"/>
          </w:rPr>
          <w:t>Sustainability Victoria, 2011b</w:t>
        </w:r>
      </w:hyperlink>
      <w:r w:rsidR="00F40CE2">
        <w:rPr>
          <w:noProof/>
          <w:color w:val="000000"/>
          <w:sz w:val="16"/>
        </w:rPr>
        <w:t>)</w:t>
      </w:r>
      <w:r w:rsidRPr="008A15DB">
        <w:rPr>
          <w:color w:val="000000"/>
          <w:sz w:val="16"/>
        </w:rPr>
        <w:fldChar w:fldCharType="end"/>
      </w:r>
    </w:p>
    <w:p w14:paraId="0D4945D6" w14:textId="736AED70" w:rsidR="007856A9" w:rsidRPr="008A15DB" w:rsidRDefault="007856A9" w:rsidP="00363F49">
      <w:pPr>
        <w:widowControl/>
        <w:autoSpaceDE w:val="0"/>
        <w:autoSpaceDN w:val="0"/>
        <w:adjustRightInd w:val="0"/>
        <w:spacing w:after="0"/>
        <w:jc w:val="left"/>
        <w:rPr>
          <w:sz w:val="16"/>
          <w:lang w:eastAsia="x-none"/>
        </w:rPr>
      </w:pPr>
      <w:r w:rsidRPr="008A15DB">
        <w:rPr>
          <w:color w:val="000000"/>
          <w:sz w:val="16"/>
        </w:rPr>
        <w:t xml:space="preserve">B - </w:t>
      </w:r>
      <w:r w:rsidRPr="008A15DB">
        <w:rPr>
          <w:color w:val="000000"/>
          <w:sz w:val="16"/>
        </w:rPr>
        <w:fldChar w:fldCharType="begin"/>
      </w:r>
      <w:r w:rsidR="00F40CE2">
        <w:rPr>
          <w:color w:val="000000"/>
          <w:sz w:val="16"/>
        </w:rPr>
        <w:instrText xml:space="preserve"> ADDIN EN.CITE &lt;EndNote&gt;&lt;Cite&gt;&lt;Author&gt;DEWHA&lt;/Author&gt;&lt;Year&gt;2010&lt;/Year&gt;&lt;RecNum&gt;36&lt;/RecNum&gt;&lt;DisplayText&gt;(DEWHA and EPHC, 2010)&lt;/DisplayText&gt;&lt;record&gt;&lt;rec-number&gt;36&lt;/rec-number&gt;&lt;foreign-keys&gt;&lt;key app="EN" db-id="tfpv5staxsvs2nexzpp5taewzsvpx0er5fap"&gt;36&lt;/key&gt;&lt;/foreign-keys&gt;&lt;ref-type name="Report"&gt;27&lt;/ref-type&gt;&lt;contributors&gt;&lt;authors&gt;&lt;author&gt;DEWHA&lt;/author&gt;&lt;author&gt;EPHC&lt;/author&gt;&lt;/authors&gt;&lt;tertiary-authors&gt;&lt;author&gt;Commonwealth of Australia&lt;/author&gt;&lt;/tertiary-authors&gt;&lt;/contributors&gt;&lt;titles&gt;&lt;title&gt;National Waste Report 2010&lt;/title&gt;&lt;/titles&gt;&lt;dates&gt;&lt;year&gt;2010&lt;/year&gt;&lt;/dates&gt;&lt;publisher&gt;Department of Environment Heritage and the Arts, Environment Protection and Heritage Council&lt;/publisher&gt;&lt;urls&gt;&lt;/urls&gt;&lt;/record&gt;&lt;/Cite&gt;&lt;/EndNote&gt;</w:instrText>
      </w:r>
      <w:r w:rsidRPr="008A15DB">
        <w:rPr>
          <w:color w:val="000000"/>
          <w:sz w:val="16"/>
        </w:rPr>
        <w:fldChar w:fldCharType="separate"/>
      </w:r>
      <w:r w:rsidR="00F40CE2">
        <w:rPr>
          <w:noProof/>
          <w:color w:val="000000"/>
          <w:sz w:val="16"/>
        </w:rPr>
        <w:t>(</w:t>
      </w:r>
      <w:hyperlink w:anchor="_ENREF_17" w:tooltip="DEWHA, 2010 #36" w:history="1">
        <w:r w:rsidR="00F40CE2">
          <w:rPr>
            <w:noProof/>
            <w:color w:val="000000"/>
            <w:sz w:val="16"/>
          </w:rPr>
          <w:t>DEWHA and EPHC, 2010</w:t>
        </w:r>
      </w:hyperlink>
      <w:r w:rsidR="00F40CE2">
        <w:rPr>
          <w:noProof/>
          <w:color w:val="000000"/>
          <w:sz w:val="16"/>
        </w:rPr>
        <w:t>)</w:t>
      </w:r>
      <w:r w:rsidRPr="008A15DB">
        <w:rPr>
          <w:color w:val="000000"/>
          <w:sz w:val="16"/>
        </w:rPr>
        <w:fldChar w:fldCharType="end"/>
      </w:r>
    </w:p>
    <w:p w14:paraId="0D4945D7" w14:textId="77777777" w:rsidR="001F2C52" w:rsidRDefault="001F2C52" w:rsidP="001F2C52">
      <w:pPr>
        <w:pStyle w:val="Heading1"/>
        <w:rPr>
          <w:lang w:val="en-AU"/>
        </w:rPr>
      </w:pPr>
      <w:bookmarkStart w:id="253" w:name="_Toc433964589"/>
      <w:r w:rsidRPr="00041296">
        <w:lastRenderedPageBreak/>
        <w:t>References</w:t>
      </w:r>
      <w:bookmarkEnd w:id="253"/>
    </w:p>
    <w:p w14:paraId="0D4945D8" w14:textId="77777777" w:rsidR="00DD3FA9" w:rsidRDefault="00344DDD" w:rsidP="00344DDD">
      <w:pPr>
        <w:pStyle w:val="Heading2"/>
        <w:rPr>
          <w:lang w:val="en-AU"/>
        </w:rPr>
      </w:pPr>
      <w:bookmarkStart w:id="254" w:name="_Toc433964590"/>
      <w:r>
        <w:rPr>
          <w:lang w:val="en-AU"/>
        </w:rPr>
        <w:t>Databases</w:t>
      </w:r>
      <w:bookmarkEnd w:id="254"/>
    </w:p>
    <w:p w14:paraId="0D4945D9" w14:textId="77777777" w:rsidR="00344DDD" w:rsidRPr="00344DDD" w:rsidRDefault="00344DDD" w:rsidP="00344DDD">
      <w:pPr>
        <w:rPr>
          <w:lang w:eastAsia="x-none"/>
        </w:rPr>
      </w:pPr>
      <w:r>
        <w:rPr>
          <w:lang w:eastAsia="x-none"/>
        </w:rPr>
        <w:t>The following life cycle inventory databases were utilised in background processes of the LCA model, constructed using the Sima Pro software package by Pre Consultants:</w:t>
      </w:r>
    </w:p>
    <w:p w14:paraId="0D4945DA" w14:textId="77777777" w:rsidR="00344DDD" w:rsidRDefault="00344DDD" w:rsidP="00344DDD">
      <w:pPr>
        <w:rPr>
          <w:lang w:eastAsia="x-none"/>
        </w:rPr>
      </w:pPr>
      <w:r>
        <w:rPr>
          <w:lang w:eastAsia="x-none"/>
        </w:rPr>
        <w:t>AUPLCI – Australasian Unit Process Inventory, Published by Life Cycle Strategies, Released Sept 1, 2010</w:t>
      </w:r>
    </w:p>
    <w:p w14:paraId="0D4945DB" w14:textId="77777777" w:rsidR="00344DDD" w:rsidRPr="00344DDD" w:rsidRDefault="00344DDD" w:rsidP="00344DDD">
      <w:pPr>
        <w:rPr>
          <w:lang w:eastAsia="x-none"/>
        </w:rPr>
      </w:pPr>
      <w:r>
        <w:rPr>
          <w:lang w:eastAsia="x-none"/>
        </w:rPr>
        <w:t>Ecoinvent – Ecoinvent 2.2, published by The Swiss Centre for Life Cycle Inventories, released May 2010</w:t>
      </w:r>
    </w:p>
    <w:p w14:paraId="0D4945DC" w14:textId="77777777" w:rsidR="00DD3FA9" w:rsidRDefault="00DD3FA9" w:rsidP="00DD3FA9">
      <w:pPr>
        <w:pStyle w:val="Heading2"/>
      </w:pPr>
      <w:bookmarkStart w:id="255" w:name="_Toc433964591"/>
      <w:r>
        <w:t>Literature</w:t>
      </w:r>
      <w:bookmarkEnd w:id="255"/>
    </w:p>
    <w:p w14:paraId="3E0455B4" w14:textId="77777777" w:rsidR="00F40CE2" w:rsidRDefault="00B35BE0" w:rsidP="00F40CE2">
      <w:pPr>
        <w:spacing w:after="0"/>
        <w:ind w:left="720" w:hanging="720"/>
        <w:rPr>
          <w:noProof/>
        </w:rPr>
      </w:pPr>
      <w:r>
        <w:fldChar w:fldCharType="begin"/>
      </w:r>
      <w:r w:rsidR="00C52F14">
        <w:instrText xml:space="preserve"> ADDIN EN.REFLIST </w:instrText>
      </w:r>
      <w:r>
        <w:fldChar w:fldCharType="separate"/>
      </w:r>
      <w:bookmarkStart w:id="256" w:name="_ENREF_1"/>
      <w:r w:rsidR="00F40CE2">
        <w:rPr>
          <w:noProof/>
        </w:rPr>
        <w:t>A3P 2005. Australian Paper Industry Production Statistics 2003-04.</w:t>
      </w:r>
      <w:bookmarkEnd w:id="256"/>
    </w:p>
    <w:p w14:paraId="5CBD0367" w14:textId="77777777" w:rsidR="00F40CE2" w:rsidRDefault="00F40CE2" w:rsidP="00F40CE2">
      <w:pPr>
        <w:spacing w:after="0"/>
        <w:ind w:left="720" w:hanging="720"/>
        <w:rPr>
          <w:noProof/>
        </w:rPr>
      </w:pPr>
      <w:bookmarkStart w:id="257" w:name="_ENREF_2"/>
      <w:r>
        <w:rPr>
          <w:noProof/>
        </w:rPr>
        <w:t>ABARES 2012. Agricultural Commodity Statistics 2012. Rural commodities - forestry. Australian Bureau of Agricultural and Resource Economics and Sciences. Department of Agriculture, Fisheries and Forestry.</w:t>
      </w:r>
      <w:bookmarkEnd w:id="257"/>
    </w:p>
    <w:p w14:paraId="44A59E0A" w14:textId="77777777" w:rsidR="00F40CE2" w:rsidRDefault="00F40CE2" w:rsidP="00F40CE2">
      <w:pPr>
        <w:spacing w:after="0"/>
        <w:ind w:left="720" w:hanging="720"/>
        <w:rPr>
          <w:noProof/>
        </w:rPr>
      </w:pPr>
      <w:bookmarkStart w:id="258" w:name="_ENREF_3"/>
      <w:r>
        <w:rPr>
          <w:noProof/>
        </w:rPr>
        <w:t>ADVITECH 2013. Environmental Compliance Audit - 2012 - Tumut Facility. Mayfield: Advitech Pty Ltd.</w:t>
      </w:r>
      <w:bookmarkEnd w:id="258"/>
    </w:p>
    <w:p w14:paraId="1D0F6415" w14:textId="77777777" w:rsidR="00F40CE2" w:rsidRDefault="00F40CE2" w:rsidP="00F40CE2">
      <w:pPr>
        <w:spacing w:after="0"/>
        <w:ind w:left="720" w:hanging="720"/>
        <w:rPr>
          <w:noProof/>
        </w:rPr>
      </w:pPr>
      <w:bookmarkStart w:id="259" w:name="_ENREF_4"/>
      <w:r>
        <w:rPr>
          <w:noProof/>
        </w:rPr>
        <w:t xml:space="preserve">ALCOA 2013. Meeting Minutes: Community Consultation Commitee Meeting: 9th April 2013. </w:t>
      </w:r>
      <w:r w:rsidRPr="00F40CE2">
        <w:rPr>
          <w:i/>
          <w:noProof/>
        </w:rPr>
        <w:t>In:</w:t>
      </w:r>
      <w:r>
        <w:rPr>
          <w:noProof/>
        </w:rPr>
        <w:t xml:space="preserve"> DAHANAYAKA, N. (ed.). Alcoa Rolled Products.</w:t>
      </w:r>
      <w:bookmarkEnd w:id="259"/>
    </w:p>
    <w:p w14:paraId="20AED11C" w14:textId="77777777" w:rsidR="00F40CE2" w:rsidRDefault="00F40CE2" w:rsidP="00F40CE2">
      <w:pPr>
        <w:spacing w:after="0"/>
        <w:ind w:left="720" w:hanging="720"/>
        <w:rPr>
          <w:noProof/>
        </w:rPr>
      </w:pPr>
      <w:bookmarkStart w:id="260" w:name="_ENREF_5"/>
      <w:r>
        <w:rPr>
          <w:noProof/>
        </w:rPr>
        <w:t>ALLAN, P. &amp; A’VARD, D. 2013. Assessment of Recycling Infrastructure: Current Status and Future Opportunities. Melbourne: SRU Pty Ltd for the National Packaging Covenant.</w:t>
      </w:r>
      <w:bookmarkEnd w:id="260"/>
    </w:p>
    <w:p w14:paraId="7653F967" w14:textId="77777777" w:rsidR="00F40CE2" w:rsidRDefault="00F40CE2" w:rsidP="00F40CE2">
      <w:pPr>
        <w:spacing w:after="0"/>
        <w:ind w:left="720" w:hanging="720"/>
        <w:rPr>
          <w:noProof/>
        </w:rPr>
      </w:pPr>
      <w:bookmarkStart w:id="261" w:name="_ENREF_6"/>
      <w:r>
        <w:rPr>
          <w:noProof/>
        </w:rPr>
        <w:t>ALLEN CONSULTING GROUP. 2007. Environmental Resource Efficiency Plans - Regulations 2007 - Regulatory Impact Statement. Melbourne.</w:t>
      </w:r>
      <w:bookmarkEnd w:id="261"/>
    </w:p>
    <w:p w14:paraId="57160334" w14:textId="77777777" w:rsidR="00F40CE2" w:rsidRDefault="00F40CE2" w:rsidP="00F40CE2">
      <w:pPr>
        <w:spacing w:after="0"/>
        <w:ind w:left="720" w:hanging="720"/>
        <w:rPr>
          <w:noProof/>
        </w:rPr>
      </w:pPr>
      <w:bookmarkStart w:id="262" w:name="_ENREF_7"/>
      <w:r>
        <w:rPr>
          <w:noProof/>
        </w:rPr>
        <w:t>ALLEN, P. &amp; A'VARD, D. 2013. Assessment of recycling infrastructure. North Melbourne: Sustainable Resource Use Pty Ltd.</w:t>
      </w:r>
      <w:bookmarkEnd w:id="262"/>
    </w:p>
    <w:p w14:paraId="767E3152" w14:textId="77777777" w:rsidR="00F40CE2" w:rsidRDefault="00F40CE2" w:rsidP="00F40CE2">
      <w:pPr>
        <w:spacing w:after="0"/>
        <w:ind w:left="720" w:hanging="720"/>
        <w:rPr>
          <w:noProof/>
        </w:rPr>
      </w:pPr>
      <w:bookmarkStart w:id="263" w:name="_ENREF_8"/>
      <w:r>
        <w:rPr>
          <w:noProof/>
        </w:rPr>
        <w:t>APC 2012. The Australian Packaging Covenant. 2011 Annual Report. Gordon: Australian Packaging Covenant Council.</w:t>
      </w:r>
      <w:bookmarkEnd w:id="263"/>
    </w:p>
    <w:p w14:paraId="74E4922D" w14:textId="77777777" w:rsidR="00F40CE2" w:rsidRDefault="00F40CE2" w:rsidP="00F40CE2">
      <w:pPr>
        <w:spacing w:after="0"/>
        <w:ind w:left="720" w:hanging="720"/>
        <w:rPr>
          <w:noProof/>
        </w:rPr>
      </w:pPr>
      <w:bookmarkStart w:id="264" w:name="_ENREF_9"/>
      <w:r>
        <w:rPr>
          <w:noProof/>
        </w:rPr>
        <w:t>APC 2013. The Australian Packaging Covenant. 2012 Annual Report. Gordon: Australian Packaging Covenant Council.</w:t>
      </w:r>
      <w:bookmarkEnd w:id="264"/>
    </w:p>
    <w:p w14:paraId="5588F1F8" w14:textId="77777777" w:rsidR="00F40CE2" w:rsidRDefault="00F40CE2" w:rsidP="00F40CE2">
      <w:pPr>
        <w:spacing w:after="0"/>
        <w:ind w:left="720" w:hanging="720"/>
        <w:rPr>
          <w:noProof/>
        </w:rPr>
      </w:pPr>
      <w:bookmarkStart w:id="265" w:name="_ENREF_10"/>
      <w:r>
        <w:rPr>
          <w:noProof/>
        </w:rPr>
        <w:t>APC ENVIRONMENTAL MANAGEMENT 2006. Queensland Used Glass Sourcing Study. Queensland EPA.</w:t>
      </w:r>
      <w:bookmarkEnd w:id="265"/>
    </w:p>
    <w:p w14:paraId="03B13B2B" w14:textId="77777777" w:rsidR="00F40CE2" w:rsidRDefault="00F40CE2" w:rsidP="00F40CE2">
      <w:pPr>
        <w:spacing w:after="0"/>
        <w:ind w:left="720" w:hanging="720"/>
        <w:rPr>
          <w:noProof/>
        </w:rPr>
      </w:pPr>
      <w:bookmarkStart w:id="266" w:name="_ENREF_11"/>
      <w:r>
        <w:rPr>
          <w:noProof/>
        </w:rPr>
        <w:t xml:space="preserve">BERNSTAD, A. &amp; LA COUR JANSEN, J. 2012. Review of comparative LCAs of food waste management systems - Current status and potential improvements. </w:t>
      </w:r>
      <w:r w:rsidRPr="00F40CE2">
        <w:rPr>
          <w:i/>
          <w:noProof/>
        </w:rPr>
        <w:t>Waste Management</w:t>
      </w:r>
      <w:r>
        <w:rPr>
          <w:noProof/>
        </w:rPr>
        <w:t>.</w:t>
      </w:r>
      <w:bookmarkEnd w:id="266"/>
    </w:p>
    <w:p w14:paraId="68DCFF01" w14:textId="77777777" w:rsidR="00F40CE2" w:rsidRDefault="00F40CE2" w:rsidP="00F40CE2">
      <w:pPr>
        <w:spacing w:after="0"/>
        <w:ind w:left="720" w:hanging="720"/>
        <w:rPr>
          <w:noProof/>
        </w:rPr>
      </w:pPr>
      <w:bookmarkStart w:id="267" w:name="_ENREF_12"/>
      <w:r>
        <w:rPr>
          <w:noProof/>
        </w:rPr>
        <w:t>CAMPBELL, A. &amp; SHEPHERD, N. 2010. Organics Recycling in Australia - Industry Statistics 2010. Sydney: Recycled Organics Unit, University of New South Wales.</w:t>
      </w:r>
      <w:bookmarkEnd w:id="267"/>
    </w:p>
    <w:p w14:paraId="1F3B0989" w14:textId="77777777" w:rsidR="00F40CE2" w:rsidRDefault="00F40CE2" w:rsidP="00F40CE2">
      <w:pPr>
        <w:spacing w:after="0"/>
        <w:ind w:left="720" w:hanging="720"/>
        <w:rPr>
          <w:noProof/>
        </w:rPr>
      </w:pPr>
      <w:bookmarkStart w:id="268" w:name="_ENREF_13"/>
      <w:r>
        <w:rPr>
          <w:noProof/>
        </w:rPr>
        <w:t>CARRE, A., JONES, I., BONTINCK, P.-A. &amp; HAYES, G. D.-M. 2009. Extended Environmental Benefits of Recycling (EEBR) Project. Melbourne: RMIT University.</w:t>
      </w:r>
      <w:bookmarkEnd w:id="268"/>
    </w:p>
    <w:p w14:paraId="0F4D1F44" w14:textId="77777777" w:rsidR="00F40CE2" w:rsidRDefault="00F40CE2" w:rsidP="00F40CE2">
      <w:pPr>
        <w:spacing w:after="0"/>
        <w:ind w:left="720" w:hanging="720"/>
        <w:rPr>
          <w:noProof/>
        </w:rPr>
      </w:pPr>
      <w:bookmarkStart w:id="269" w:name="_ENREF_14"/>
      <w:r>
        <w:rPr>
          <w:noProof/>
        </w:rPr>
        <w:t>CNCIC CONSULTING 2013. Demand status and forecast of polyolefins in China. China National Chemical Information Center.</w:t>
      </w:r>
      <w:bookmarkEnd w:id="269"/>
    </w:p>
    <w:p w14:paraId="6AD57697" w14:textId="77777777" w:rsidR="00F40CE2" w:rsidRDefault="00F40CE2" w:rsidP="00F40CE2">
      <w:pPr>
        <w:spacing w:after="0"/>
        <w:ind w:left="720" w:hanging="720"/>
        <w:rPr>
          <w:noProof/>
        </w:rPr>
      </w:pPr>
      <w:bookmarkStart w:id="270" w:name="_ENREF_15"/>
      <w:r>
        <w:rPr>
          <w:noProof/>
        </w:rPr>
        <w:t>CRC WASTE MANAGEMENT AND POLLUTION CONTROL 1997. Australian Waste and Recycling Cost Model V1.0.</w:t>
      </w:r>
      <w:bookmarkEnd w:id="270"/>
    </w:p>
    <w:p w14:paraId="00B5B49D" w14:textId="77777777" w:rsidR="00F40CE2" w:rsidRDefault="00F40CE2" w:rsidP="00F40CE2">
      <w:pPr>
        <w:spacing w:after="0"/>
        <w:ind w:left="720" w:hanging="720"/>
        <w:rPr>
          <w:noProof/>
        </w:rPr>
      </w:pPr>
      <w:bookmarkStart w:id="271" w:name="_ENREF_16"/>
      <w:r>
        <w:rPr>
          <w:noProof/>
        </w:rPr>
        <w:t>DCCEE 2010. Australian National Greenhouse Accounts - National Inventory Report 2010. Canberra: Dept. Climate Change and Energy Efficiency.</w:t>
      </w:r>
      <w:bookmarkEnd w:id="271"/>
    </w:p>
    <w:p w14:paraId="5640729C" w14:textId="77777777" w:rsidR="00F40CE2" w:rsidRDefault="00F40CE2" w:rsidP="00F40CE2">
      <w:pPr>
        <w:spacing w:after="0"/>
        <w:ind w:left="720" w:hanging="720"/>
        <w:rPr>
          <w:noProof/>
        </w:rPr>
      </w:pPr>
      <w:bookmarkStart w:id="272" w:name="_ENREF_17"/>
      <w:r>
        <w:rPr>
          <w:noProof/>
        </w:rPr>
        <w:t>DEWHA &amp; EPHC 2010. National Waste Report 2010. Department of Environment Heritage and the Arts, Environment Protection and Heritage Council.</w:t>
      </w:r>
      <w:bookmarkEnd w:id="272"/>
    </w:p>
    <w:p w14:paraId="7BAAD198" w14:textId="77777777" w:rsidR="00F40CE2" w:rsidRDefault="00F40CE2" w:rsidP="00F40CE2">
      <w:pPr>
        <w:spacing w:after="0"/>
        <w:ind w:left="720" w:hanging="720"/>
        <w:rPr>
          <w:noProof/>
        </w:rPr>
      </w:pPr>
      <w:bookmarkStart w:id="273" w:name="_ENREF_18"/>
      <w:r>
        <w:rPr>
          <w:noProof/>
        </w:rPr>
        <w:t xml:space="preserve">DOKA, G. 2009. Life Cycle Inventories of Waste Treatment Services - Part II Landfills, Underground Deposits, Landfarming. </w:t>
      </w:r>
      <w:r w:rsidRPr="00F40CE2">
        <w:rPr>
          <w:i/>
          <w:noProof/>
        </w:rPr>
        <w:t>Ecoinvent report number 13.</w:t>
      </w:r>
      <w:r>
        <w:rPr>
          <w:noProof/>
        </w:rPr>
        <w:t xml:space="preserve"> Swiss Centre for Life Cycle Inventories.</w:t>
      </w:r>
      <w:bookmarkEnd w:id="273"/>
    </w:p>
    <w:p w14:paraId="6960C855" w14:textId="77777777" w:rsidR="00F40CE2" w:rsidRDefault="00F40CE2" w:rsidP="00F40CE2">
      <w:pPr>
        <w:spacing w:after="0"/>
        <w:ind w:left="720" w:hanging="720"/>
        <w:rPr>
          <w:noProof/>
        </w:rPr>
      </w:pPr>
      <w:bookmarkStart w:id="274" w:name="_ENREF_19"/>
      <w:r>
        <w:rPr>
          <w:noProof/>
        </w:rPr>
        <w:t xml:space="preserve">EKVALL, T. &amp; TILLMAN, A. M. 1997. Open-loop recycling: Criteria for allocation procedures. </w:t>
      </w:r>
      <w:r w:rsidRPr="00F40CE2">
        <w:rPr>
          <w:i/>
          <w:noProof/>
        </w:rPr>
        <w:t>International Journal of Life Cycle Assessment,</w:t>
      </w:r>
      <w:r>
        <w:rPr>
          <w:noProof/>
        </w:rPr>
        <w:t xml:space="preserve"> 2</w:t>
      </w:r>
      <w:r w:rsidRPr="00F40CE2">
        <w:rPr>
          <w:b/>
          <w:noProof/>
        </w:rPr>
        <w:t>,</w:t>
      </w:r>
      <w:r>
        <w:rPr>
          <w:noProof/>
        </w:rPr>
        <w:t xml:space="preserve"> 155-162.</w:t>
      </w:r>
      <w:bookmarkEnd w:id="274"/>
    </w:p>
    <w:p w14:paraId="28BBC640" w14:textId="77777777" w:rsidR="00F40CE2" w:rsidRDefault="00F40CE2" w:rsidP="00F40CE2">
      <w:pPr>
        <w:spacing w:after="0"/>
        <w:ind w:left="720" w:hanging="720"/>
        <w:rPr>
          <w:noProof/>
        </w:rPr>
      </w:pPr>
      <w:bookmarkStart w:id="275" w:name="_ENREF_20"/>
      <w:r>
        <w:rPr>
          <w:noProof/>
        </w:rPr>
        <w:t>ENERGETICS 2012. Steel Stewardship Forum - Australian Steel Chain Footprint Project, May 2012. Sydney: Energetics.</w:t>
      </w:r>
      <w:bookmarkEnd w:id="275"/>
    </w:p>
    <w:p w14:paraId="1A668BE3" w14:textId="77777777" w:rsidR="00F40CE2" w:rsidRDefault="00F40CE2" w:rsidP="00F40CE2">
      <w:pPr>
        <w:spacing w:after="0"/>
        <w:ind w:left="720" w:hanging="720"/>
        <w:rPr>
          <w:noProof/>
        </w:rPr>
      </w:pPr>
      <w:bookmarkStart w:id="276" w:name="_ENREF_21"/>
      <w:r>
        <w:rPr>
          <w:noProof/>
        </w:rPr>
        <w:t>EPA VICTORIA 2010. Best Practice Environmental Management - Siting, Design, Operation and Rehabilitation of Landfills. Melbourne.</w:t>
      </w:r>
      <w:bookmarkEnd w:id="276"/>
    </w:p>
    <w:p w14:paraId="69B56D62" w14:textId="77777777" w:rsidR="00F40CE2" w:rsidRDefault="00F40CE2" w:rsidP="00F40CE2">
      <w:pPr>
        <w:spacing w:after="0"/>
        <w:ind w:left="720" w:hanging="720"/>
        <w:rPr>
          <w:noProof/>
        </w:rPr>
      </w:pPr>
      <w:bookmarkStart w:id="277" w:name="_ENREF_22"/>
      <w:r>
        <w:rPr>
          <w:noProof/>
        </w:rPr>
        <w:t>EUNOMIA RESEARCH &amp; CONSULTING 2002. Economic Analysis of Options for Managing Biodegradable Municipal Waste - Final Report to the European Commission.</w:t>
      </w:r>
      <w:bookmarkEnd w:id="277"/>
    </w:p>
    <w:p w14:paraId="102DE07D" w14:textId="77777777" w:rsidR="00F40CE2" w:rsidRDefault="00F40CE2" w:rsidP="00F40CE2">
      <w:pPr>
        <w:spacing w:after="0"/>
        <w:ind w:left="720" w:hanging="720"/>
        <w:rPr>
          <w:noProof/>
        </w:rPr>
      </w:pPr>
      <w:bookmarkStart w:id="278" w:name="_ENREF_23"/>
      <w:r>
        <w:rPr>
          <w:noProof/>
        </w:rPr>
        <w:lastRenderedPageBreak/>
        <w:t>EUROPEAN COMMISSION - JOINT RESEARCH CENTRE 2008. Environmental Assessment of Municipal Waste Management Scenarios: Part II – Detailed Life Cycle Assessments. Luxembourg: European Commission - Joint Research Centre, Institute for Environment and Sustainability.</w:t>
      </w:r>
      <w:bookmarkEnd w:id="278"/>
    </w:p>
    <w:p w14:paraId="798519E0" w14:textId="77777777" w:rsidR="00F40CE2" w:rsidRDefault="00F40CE2" w:rsidP="00F40CE2">
      <w:pPr>
        <w:spacing w:after="0"/>
        <w:ind w:left="720" w:hanging="720"/>
        <w:rPr>
          <w:noProof/>
        </w:rPr>
      </w:pPr>
      <w:bookmarkStart w:id="279" w:name="_ENREF_24"/>
      <w:r>
        <w:rPr>
          <w:noProof/>
        </w:rPr>
        <w:t>FEFCO 2013. European Database for Corrugated Board Life Cycle Studies - 2012. Brussels: Cepi Container Board.</w:t>
      </w:r>
      <w:bookmarkEnd w:id="279"/>
    </w:p>
    <w:p w14:paraId="35AF2E5D" w14:textId="77777777" w:rsidR="00F40CE2" w:rsidRDefault="00F40CE2" w:rsidP="00F40CE2">
      <w:pPr>
        <w:spacing w:after="0"/>
        <w:ind w:left="720" w:hanging="720"/>
        <w:rPr>
          <w:noProof/>
        </w:rPr>
      </w:pPr>
      <w:bookmarkStart w:id="280" w:name="_ENREF_25"/>
      <w:r>
        <w:rPr>
          <w:noProof/>
        </w:rPr>
        <w:t>FINCH, C. 2012. IBISWorld Industry Report C1510. Pulp, Paper and Paperboard Manufacturing in Australia. IBISWorld Pty Ltd.</w:t>
      </w:r>
      <w:bookmarkEnd w:id="280"/>
    </w:p>
    <w:p w14:paraId="381509E2" w14:textId="77777777" w:rsidR="00F40CE2" w:rsidRDefault="00F40CE2" w:rsidP="00F40CE2">
      <w:pPr>
        <w:spacing w:after="0"/>
        <w:ind w:left="720" w:hanging="720"/>
        <w:rPr>
          <w:noProof/>
        </w:rPr>
      </w:pPr>
      <w:bookmarkStart w:id="281" w:name="_ENREF_26"/>
      <w:r>
        <w:rPr>
          <w:noProof/>
        </w:rPr>
        <w:t>FITZPATRICK, N. 2013. IBISWorld Industry Report G4232. Garden Supplies Retailing in Australia. IBISWorld Pty Ltd.</w:t>
      </w:r>
      <w:bookmarkEnd w:id="281"/>
    </w:p>
    <w:p w14:paraId="6481569F" w14:textId="0058F3D2" w:rsidR="00F40CE2" w:rsidRDefault="00F40CE2" w:rsidP="00F40CE2">
      <w:pPr>
        <w:spacing w:after="0"/>
        <w:ind w:left="720" w:hanging="720"/>
        <w:rPr>
          <w:noProof/>
        </w:rPr>
      </w:pPr>
      <w:bookmarkStart w:id="282" w:name="_ENREF_27"/>
      <w:r>
        <w:rPr>
          <w:noProof/>
        </w:rPr>
        <w:t xml:space="preserve">FOODPROCESSING. 2012. China will lead PET market by 2020, says GBI Research. Available: </w:t>
      </w:r>
      <w:hyperlink r:id="rId88" w:history="1">
        <w:r w:rsidRPr="00F40CE2">
          <w:rPr>
            <w:rStyle w:val="Hyperlink"/>
            <w:noProof/>
          </w:rPr>
          <w:t>www.foodprocessing.com.au/news/53428-China-will-lead-PET-market-by-2-2-says-GBI-Research</w:t>
        </w:r>
      </w:hyperlink>
      <w:r>
        <w:rPr>
          <w:noProof/>
        </w:rPr>
        <w:t xml:space="preserve"> [Accessed 23/05/2013].</w:t>
      </w:r>
      <w:bookmarkEnd w:id="282"/>
    </w:p>
    <w:p w14:paraId="2323FF68" w14:textId="77777777" w:rsidR="00F40CE2" w:rsidRDefault="00F40CE2" w:rsidP="00F40CE2">
      <w:pPr>
        <w:spacing w:after="0"/>
        <w:ind w:left="720" w:hanging="720"/>
        <w:rPr>
          <w:noProof/>
        </w:rPr>
      </w:pPr>
      <w:bookmarkStart w:id="283" w:name="_ENREF_28"/>
      <w:r>
        <w:rPr>
          <w:noProof/>
        </w:rPr>
        <w:t>FRANKLIN ASSOCIATES. 2009. Life Cycle Inventory of Three Single-Serving Softdrink Containers. Prairie Village, Kansas: Completed for the PET Resin Association.</w:t>
      </w:r>
      <w:bookmarkEnd w:id="283"/>
    </w:p>
    <w:p w14:paraId="127EB8B4" w14:textId="77777777" w:rsidR="00F40CE2" w:rsidRDefault="00F40CE2" w:rsidP="00F40CE2">
      <w:pPr>
        <w:spacing w:after="0"/>
        <w:ind w:left="720" w:hanging="720"/>
        <w:rPr>
          <w:noProof/>
        </w:rPr>
      </w:pPr>
      <w:bookmarkStart w:id="284" w:name="_ENREF_29"/>
      <w:r>
        <w:rPr>
          <w:noProof/>
        </w:rPr>
        <w:t>FRANKLIN ASSOCIATES. 2010. Life Cycle Inventory of 100% Post-Consumer HDPE and PET Recycled Resin From Post-Consumer Containers and Packaging. Prairie Village, Kansas: The Plastics Division of the American Chemistry Council and others.</w:t>
      </w:r>
      <w:bookmarkEnd w:id="284"/>
    </w:p>
    <w:p w14:paraId="37286DD0" w14:textId="77777777" w:rsidR="00F40CE2" w:rsidRDefault="00F40CE2" w:rsidP="00F40CE2">
      <w:pPr>
        <w:spacing w:after="0"/>
        <w:ind w:left="720" w:hanging="720"/>
        <w:rPr>
          <w:noProof/>
        </w:rPr>
      </w:pPr>
      <w:bookmarkStart w:id="285" w:name="_ENREF_30"/>
      <w:r>
        <w:rPr>
          <w:noProof/>
        </w:rPr>
        <w:t>FRISCHKNECHT, R. &amp; JUNGBLUTH, N. 2004. Ecoinvent Report No. 1 - Overview and Methodology. Dübendorf: Swiss Centre for Life Cycle Inventories.</w:t>
      </w:r>
      <w:bookmarkEnd w:id="285"/>
    </w:p>
    <w:p w14:paraId="287F62FB" w14:textId="77777777" w:rsidR="00F40CE2" w:rsidRPr="00F40CE2" w:rsidRDefault="00F40CE2" w:rsidP="00F40CE2">
      <w:pPr>
        <w:spacing w:after="0"/>
        <w:ind w:left="720" w:hanging="720"/>
        <w:rPr>
          <w:i/>
          <w:noProof/>
        </w:rPr>
      </w:pPr>
      <w:bookmarkStart w:id="286" w:name="_ENREF_31"/>
      <w:r>
        <w:rPr>
          <w:noProof/>
        </w:rPr>
        <w:t xml:space="preserve">GHD 2008. The use of Crushed Glass as both an Aggregate Substitute in Road Base and in Asphalt in Australia. Business Case. </w:t>
      </w:r>
      <w:r w:rsidRPr="00F40CE2">
        <w:rPr>
          <w:i/>
          <w:noProof/>
        </w:rPr>
        <w:t>Packaging Stewardship Forum, Australian Food and Grocery Council.</w:t>
      </w:r>
      <w:bookmarkEnd w:id="286"/>
    </w:p>
    <w:p w14:paraId="69D458B1" w14:textId="77777777" w:rsidR="00F40CE2" w:rsidRDefault="00F40CE2" w:rsidP="00F40CE2">
      <w:pPr>
        <w:spacing w:after="0"/>
        <w:ind w:left="720" w:hanging="720"/>
        <w:rPr>
          <w:noProof/>
        </w:rPr>
      </w:pPr>
      <w:bookmarkStart w:id="287" w:name="_ENREF_32"/>
      <w:r>
        <w:rPr>
          <w:noProof/>
        </w:rPr>
        <w:t>GLASS PACKAGING INSTITUTE 2010. Environmental Overview Complete Life Cycle Assessment of North American Container Glass. Glass Packaging Institute.</w:t>
      </w:r>
      <w:bookmarkEnd w:id="287"/>
    </w:p>
    <w:p w14:paraId="579E743D" w14:textId="77777777" w:rsidR="00F40CE2" w:rsidRDefault="00F40CE2" w:rsidP="00F40CE2">
      <w:pPr>
        <w:spacing w:after="0"/>
        <w:ind w:left="720" w:hanging="720"/>
        <w:rPr>
          <w:noProof/>
        </w:rPr>
      </w:pPr>
      <w:bookmarkStart w:id="288" w:name="_ENREF_33"/>
      <w:r>
        <w:rPr>
          <w:noProof/>
        </w:rPr>
        <w:t>GRANT, T. &amp; JAMES, K. 2005. Life Cycle Impact Data for Resource Recovery from Commercial and Industrial and Construction and Demolition Waste in Victoria Melbourne: Centre for Design, RMIT University.</w:t>
      </w:r>
      <w:bookmarkEnd w:id="288"/>
    </w:p>
    <w:p w14:paraId="22AA36CF" w14:textId="77777777" w:rsidR="00F40CE2" w:rsidRDefault="00F40CE2" w:rsidP="00F40CE2">
      <w:pPr>
        <w:spacing w:after="0"/>
        <w:ind w:left="720" w:hanging="720"/>
        <w:rPr>
          <w:noProof/>
        </w:rPr>
      </w:pPr>
      <w:bookmarkStart w:id="289" w:name="_ENREF_34"/>
      <w:r>
        <w:rPr>
          <w:noProof/>
        </w:rPr>
        <w:t>GRANT, T., JAMES, K., DIMOVA, C., SONNEVELD, K., TABOR, A. &amp; LUNDIE, S. 1999. Stage 1 of the National Project on Life Cycle Assessment of Waste Management Systems for Domestic Paper and Packaging.</w:t>
      </w:r>
      <w:bookmarkEnd w:id="289"/>
    </w:p>
    <w:p w14:paraId="007B4DE1" w14:textId="77777777" w:rsidR="00F40CE2" w:rsidRDefault="00F40CE2" w:rsidP="00F40CE2">
      <w:pPr>
        <w:spacing w:after="0"/>
        <w:ind w:left="720" w:hanging="720"/>
        <w:rPr>
          <w:noProof/>
        </w:rPr>
      </w:pPr>
      <w:bookmarkStart w:id="290" w:name="_ENREF_35"/>
      <w:r>
        <w:rPr>
          <w:noProof/>
        </w:rPr>
        <w:t>GRANT, T., JAMES, K., LUNDIE, S. &amp; SONNEVELD, K. 2001a. Stage 2 Report for Life Cycle Assessment for Paper and Packaging Waste Management Scenarios in Victoria. Melbourne: EcoRecycle Victoria.</w:t>
      </w:r>
      <w:bookmarkEnd w:id="290"/>
    </w:p>
    <w:p w14:paraId="0CA3FFB9" w14:textId="77777777" w:rsidR="00F40CE2" w:rsidRDefault="00F40CE2" w:rsidP="00F40CE2">
      <w:pPr>
        <w:spacing w:after="0"/>
        <w:ind w:left="720" w:hanging="720"/>
        <w:rPr>
          <w:noProof/>
        </w:rPr>
      </w:pPr>
      <w:bookmarkStart w:id="291" w:name="_ENREF_36"/>
      <w:r>
        <w:rPr>
          <w:noProof/>
        </w:rPr>
        <w:t>GRANT, T., JAMES, K., LUNDIE, S., SONNEVELD, K. &amp; BEAVIS, P. 2001b. Report for Life Cycle Assessment for Paper and Packaging Waste Management Scenarios in New South Wales. Melbourne.</w:t>
      </w:r>
      <w:bookmarkEnd w:id="291"/>
    </w:p>
    <w:p w14:paraId="079AEFA9" w14:textId="78B95CFF" w:rsidR="00F40CE2" w:rsidRDefault="00F40CE2" w:rsidP="00F40CE2">
      <w:pPr>
        <w:spacing w:after="0"/>
        <w:ind w:left="720" w:hanging="720"/>
        <w:rPr>
          <w:noProof/>
        </w:rPr>
      </w:pPr>
      <w:bookmarkStart w:id="292" w:name="_ENREF_37"/>
      <w:r>
        <w:rPr>
          <w:noProof/>
        </w:rPr>
        <w:t>GRANT, T., JAMES, K. &amp; PARTL, H. 2003a. Life Cycle Assessment of Waste and Resource Recovery Options (including energy from waste) - Final Report for EcoRecycle Victoria. Melbourne, Victoria: Centre for Design at RMIT University (</w:t>
      </w:r>
      <w:hyperlink r:id="rId89" w:history="1">
        <w:r w:rsidRPr="00F40CE2">
          <w:rPr>
            <w:rStyle w:val="Hyperlink"/>
            <w:noProof/>
          </w:rPr>
          <w:t>www.cfd.rmit.edu.au)</w:t>
        </w:r>
      </w:hyperlink>
      <w:r>
        <w:rPr>
          <w:noProof/>
        </w:rPr>
        <w:t>.</w:t>
      </w:r>
      <w:bookmarkEnd w:id="292"/>
    </w:p>
    <w:p w14:paraId="4A0665A8" w14:textId="77777777" w:rsidR="00F40CE2" w:rsidRDefault="00F40CE2" w:rsidP="00F40CE2">
      <w:pPr>
        <w:spacing w:after="0"/>
        <w:ind w:left="720" w:hanging="720"/>
        <w:rPr>
          <w:noProof/>
        </w:rPr>
      </w:pPr>
      <w:bookmarkStart w:id="293" w:name="_ENREF_38"/>
      <w:r>
        <w:rPr>
          <w:noProof/>
        </w:rPr>
        <w:t>GRANT, T., JAMES, K. L. &amp; PARTL, H. 2003b. Life Cycle Assessment of Waste and Resource Recovery Options (including energy from waste). Melbourne: EcoRecycle Victoria.</w:t>
      </w:r>
      <w:bookmarkEnd w:id="293"/>
    </w:p>
    <w:p w14:paraId="76E52425" w14:textId="77777777" w:rsidR="00F40CE2" w:rsidRDefault="00F40CE2" w:rsidP="00F40CE2">
      <w:pPr>
        <w:spacing w:after="0"/>
        <w:ind w:left="720" w:hanging="720"/>
        <w:rPr>
          <w:noProof/>
        </w:rPr>
      </w:pPr>
      <w:bookmarkStart w:id="294" w:name="_ENREF_39"/>
      <w:r>
        <w:rPr>
          <w:noProof/>
        </w:rPr>
        <w:t>GRANT, T. &amp; PETERS, G. 2008. Best Practice Guide to Life Cycle Assessment in Australia. Australian Life Cycle Assessment Society.</w:t>
      </w:r>
      <w:bookmarkEnd w:id="294"/>
    </w:p>
    <w:p w14:paraId="57C3FFC0" w14:textId="77777777" w:rsidR="00F40CE2" w:rsidRDefault="00F40CE2" w:rsidP="00F40CE2">
      <w:pPr>
        <w:spacing w:after="0"/>
        <w:ind w:left="720" w:hanging="720"/>
        <w:rPr>
          <w:noProof/>
        </w:rPr>
      </w:pPr>
      <w:bookmarkStart w:id="295" w:name="_ENREF_40"/>
      <w:r>
        <w:rPr>
          <w:noProof/>
        </w:rPr>
        <w:t xml:space="preserve">GREEN, J. A. S. 2007. Recycling of Aluminium. </w:t>
      </w:r>
      <w:r w:rsidRPr="00F40CE2">
        <w:rPr>
          <w:i/>
          <w:noProof/>
        </w:rPr>
        <w:t>In:</w:t>
      </w:r>
      <w:r>
        <w:rPr>
          <w:noProof/>
        </w:rPr>
        <w:t xml:space="preserve"> GREEN, J. A. S. (ed.) </w:t>
      </w:r>
      <w:r w:rsidRPr="00F40CE2">
        <w:rPr>
          <w:i/>
          <w:noProof/>
        </w:rPr>
        <w:t>Aluminum Recycling and Processing for Energy Conservation and Sustainability.</w:t>
      </w:r>
      <w:r>
        <w:rPr>
          <w:noProof/>
        </w:rPr>
        <w:t xml:space="preserve"> ASM International.</w:t>
      </w:r>
      <w:bookmarkEnd w:id="295"/>
    </w:p>
    <w:p w14:paraId="0441A9B0" w14:textId="77777777" w:rsidR="00F40CE2" w:rsidRDefault="00F40CE2" w:rsidP="00F40CE2">
      <w:pPr>
        <w:spacing w:after="0"/>
        <w:ind w:left="720" w:hanging="720"/>
        <w:rPr>
          <w:noProof/>
        </w:rPr>
      </w:pPr>
      <w:bookmarkStart w:id="296" w:name="_ENREF_41"/>
      <w:r>
        <w:rPr>
          <w:noProof/>
        </w:rPr>
        <w:t xml:space="preserve">GUINÉE, J. B. 2002. </w:t>
      </w:r>
      <w:r w:rsidRPr="00F40CE2">
        <w:rPr>
          <w:i/>
          <w:noProof/>
        </w:rPr>
        <w:t>Handbook on Life Cycle Assessment : Operational Guide to the ISO Standards</w:t>
      </w:r>
      <w:r>
        <w:rPr>
          <w:noProof/>
        </w:rPr>
        <w:t>, Kluwer Academic Publishers.</w:t>
      </w:r>
      <w:bookmarkEnd w:id="296"/>
    </w:p>
    <w:p w14:paraId="066EEF19" w14:textId="77777777" w:rsidR="00F40CE2" w:rsidRDefault="00F40CE2" w:rsidP="00F40CE2">
      <w:pPr>
        <w:spacing w:after="0"/>
        <w:ind w:left="720" w:hanging="720"/>
        <w:rPr>
          <w:noProof/>
        </w:rPr>
      </w:pPr>
      <w:bookmarkStart w:id="297" w:name="_ENREF_42"/>
      <w:r>
        <w:rPr>
          <w:noProof/>
        </w:rPr>
        <w:t>HEDAYATI, M. 2013. Life cycle assessment of recycled sand. ISO 14040:2006 compliant LCA prepared for Alex Fraser Pty. Ltd. Melbourne: Centre for Design, RMIT University.</w:t>
      </w:r>
      <w:bookmarkEnd w:id="297"/>
    </w:p>
    <w:p w14:paraId="12DE191B" w14:textId="77777777" w:rsidR="00F40CE2" w:rsidRDefault="00F40CE2" w:rsidP="00F40CE2">
      <w:pPr>
        <w:spacing w:after="0"/>
        <w:ind w:left="720" w:hanging="720"/>
        <w:rPr>
          <w:noProof/>
        </w:rPr>
      </w:pPr>
      <w:bookmarkStart w:id="298" w:name="_ENREF_43"/>
      <w:r>
        <w:rPr>
          <w:noProof/>
        </w:rPr>
        <w:t xml:space="preserve">HERMANN, B. G., DEBEER, L., DE WILDE, B., BLOK, K. &amp; PATEL, M. K. 2011. To compost or not to compost: Carbon and energy footprints of biodegradable materials' waste treatment. </w:t>
      </w:r>
      <w:r w:rsidRPr="00F40CE2">
        <w:rPr>
          <w:i/>
          <w:noProof/>
        </w:rPr>
        <w:t>Polymer Degradation and Stability,</w:t>
      </w:r>
      <w:r>
        <w:rPr>
          <w:noProof/>
        </w:rPr>
        <w:t xml:space="preserve"> 96</w:t>
      </w:r>
      <w:r w:rsidRPr="00F40CE2">
        <w:rPr>
          <w:b/>
          <w:noProof/>
        </w:rPr>
        <w:t>,</w:t>
      </w:r>
      <w:r>
        <w:rPr>
          <w:noProof/>
        </w:rPr>
        <w:t xml:space="preserve"> 1159-1171.</w:t>
      </w:r>
      <w:bookmarkEnd w:id="298"/>
    </w:p>
    <w:p w14:paraId="5B4412DD" w14:textId="77777777" w:rsidR="00F40CE2" w:rsidRDefault="00F40CE2" w:rsidP="00F40CE2">
      <w:pPr>
        <w:spacing w:after="0"/>
        <w:ind w:left="720" w:hanging="720"/>
        <w:rPr>
          <w:noProof/>
        </w:rPr>
      </w:pPr>
      <w:bookmarkStart w:id="299" w:name="_ENREF_44"/>
      <w:r>
        <w:rPr>
          <w:noProof/>
        </w:rPr>
        <w:t>HISCHIER, R. 2007. Life Cycle Inventories of Packaging and Graphical Papers - Part II Plastics. Dübendorf: Swiss Centre for Life Cycle Inventories.</w:t>
      </w:r>
      <w:bookmarkEnd w:id="299"/>
    </w:p>
    <w:p w14:paraId="61FD8B22" w14:textId="77777777" w:rsidR="00F40CE2" w:rsidRDefault="00F40CE2" w:rsidP="00F40CE2">
      <w:pPr>
        <w:spacing w:after="0"/>
        <w:ind w:left="720" w:hanging="720"/>
        <w:rPr>
          <w:noProof/>
        </w:rPr>
      </w:pPr>
      <w:bookmarkStart w:id="300" w:name="_ENREF_45"/>
      <w:r>
        <w:rPr>
          <w:noProof/>
        </w:rPr>
        <w:t>HYDER CONSULTING 2008. Australian Beverage Packaging Consumption, Recovery and Recycling Quantification Study. Melbourne: Report for Packaging Stewardship Forum of the Australian Food and Grocery Council.</w:t>
      </w:r>
      <w:bookmarkEnd w:id="300"/>
    </w:p>
    <w:p w14:paraId="70CB843C" w14:textId="77777777" w:rsidR="00F40CE2" w:rsidRDefault="00F40CE2" w:rsidP="00F40CE2">
      <w:pPr>
        <w:spacing w:after="0"/>
        <w:ind w:left="720" w:hanging="720"/>
        <w:rPr>
          <w:noProof/>
        </w:rPr>
      </w:pPr>
      <w:bookmarkStart w:id="301" w:name="_ENREF_46"/>
      <w:r>
        <w:rPr>
          <w:noProof/>
        </w:rPr>
        <w:t>HYDER CONSULTING 2009. Waste and Recycling in Australia - Ammended Report. Canberra: Department of Environment, Heritage, Water and the Arts.</w:t>
      </w:r>
      <w:bookmarkEnd w:id="301"/>
    </w:p>
    <w:p w14:paraId="73710DBA" w14:textId="77777777" w:rsidR="00F40CE2" w:rsidRDefault="00F40CE2" w:rsidP="00F40CE2">
      <w:pPr>
        <w:spacing w:after="0"/>
        <w:ind w:left="720" w:hanging="720"/>
        <w:rPr>
          <w:noProof/>
        </w:rPr>
      </w:pPr>
      <w:bookmarkStart w:id="302" w:name="_ENREF_47"/>
      <w:r>
        <w:rPr>
          <w:noProof/>
        </w:rPr>
        <w:lastRenderedPageBreak/>
        <w:t>HYDER CONSULTING 2011. 2010 National Plastics Recycling Survey - July 2009 to June 2010 survey period. Melbourne: Plastics and Chemicals Industries Association.</w:t>
      </w:r>
      <w:bookmarkEnd w:id="302"/>
    </w:p>
    <w:p w14:paraId="47BC9FCC" w14:textId="77777777" w:rsidR="00F40CE2" w:rsidRDefault="00F40CE2" w:rsidP="00F40CE2">
      <w:pPr>
        <w:spacing w:after="0"/>
        <w:ind w:left="720" w:hanging="720"/>
        <w:rPr>
          <w:noProof/>
        </w:rPr>
      </w:pPr>
      <w:bookmarkStart w:id="303" w:name="_ENREF_48"/>
      <w:r>
        <w:rPr>
          <w:noProof/>
        </w:rPr>
        <w:t>IAI 2007. Life Cycle Assessment of Aluminium: Inventory Data for the Primary Aluminium Industry - 2005 Update. International Aluminium Institute.</w:t>
      </w:r>
      <w:bookmarkEnd w:id="303"/>
    </w:p>
    <w:p w14:paraId="20243FA9" w14:textId="3501A521" w:rsidR="00F40CE2" w:rsidRDefault="00F40CE2" w:rsidP="00F40CE2">
      <w:pPr>
        <w:spacing w:after="0"/>
        <w:ind w:left="720" w:hanging="720"/>
        <w:rPr>
          <w:noProof/>
        </w:rPr>
      </w:pPr>
      <w:bookmarkStart w:id="304" w:name="_ENREF_49"/>
      <w:r>
        <w:rPr>
          <w:noProof/>
        </w:rPr>
        <w:t xml:space="preserve">IEA. 2009. </w:t>
      </w:r>
      <w:r w:rsidRPr="00F40CE2">
        <w:rPr>
          <w:i/>
          <w:noProof/>
        </w:rPr>
        <w:t xml:space="preserve">Statistics by Country/Region </w:t>
      </w:r>
      <w:r>
        <w:rPr>
          <w:noProof/>
        </w:rPr>
        <w:t xml:space="preserve">[Online]. International Energy Agency. Available: </w:t>
      </w:r>
      <w:hyperlink r:id="rId90" w:history="1">
        <w:r w:rsidRPr="00F40CE2">
          <w:rPr>
            <w:rStyle w:val="Hyperlink"/>
            <w:noProof/>
          </w:rPr>
          <w:t>http://www.iea.org/stats/index.asp</w:t>
        </w:r>
      </w:hyperlink>
      <w:r>
        <w:rPr>
          <w:noProof/>
        </w:rPr>
        <w:t xml:space="preserve"> [Accessed Feb 10 2013].</w:t>
      </w:r>
      <w:bookmarkEnd w:id="304"/>
    </w:p>
    <w:p w14:paraId="48E03AF9" w14:textId="77777777" w:rsidR="00F40CE2" w:rsidRDefault="00F40CE2" w:rsidP="00F40CE2">
      <w:pPr>
        <w:spacing w:after="0"/>
        <w:ind w:left="720" w:hanging="720"/>
        <w:rPr>
          <w:noProof/>
        </w:rPr>
      </w:pPr>
      <w:bookmarkStart w:id="305" w:name="_ENREF_50"/>
      <w:r>
        <w:rPr>
          <w:noProof/>
        </w:rPr>
        <w:t>INTERNATIONAL ORGANIZATION FOR STANDARDIZATION 2006. ISO 14044: Environmental Management - Life Cycle Assessment - Requirements and guidelinges. Geneva: International Organization for Standardization.</w:t>
      </w:r>
      <w:bookmarkEnd w:id="305"/>
    </w:p>
    <w:p w14:paraId="559A6A7D" w14:textId="77777777" w:rsidR="00F40CE2" w:rsidRDefault="00F40CE2" w:rsidP="00F40CE2">
      <w:pPr>
        <w:spacing w:after="0"/>
        <w:ind w:left="720" w:hanging="720"/>
        <w:rPr>
          <w:noProof/>
        </w:rPr>
      </w:pPr>
      <w:bookmarkStart w:id="306" w:name="_ENREF_51"/>
      <w:r>
        <w:rPr>
          <w:noProof/>
        </w:rPr>
        <w:t xml:space="preserve">IPCC 2006. 2006 IPCC Guidelines for National Greenhouse Gas Inventories. </w:t>
      </w:r>
      <w:r w:rsidRPr="00F40CE2">
        <w:rPr>
          <w:i/>
          <w:noProof/>
        </w:rPr>
        <w:t>In:</w:t>
      </w:r>
      <w:r>
        <w:rPr>
          <w:noProof/>
        </w:rPr>
        <w:t xml:space="preserve"> EGGLESTON, S., BUENIDA, L., MIWA, K., NGARA, T. &amp; TANABE, K. (eds.).</w:t>
      </w:r>
      <w:bookmarkEnd w:id="306"/>
    </w:p>
    <w:p w14:paraId="7562DEEF" w14:textId="77777777" w:rsidR="00F40CE2" w:rsidRDefault="00F40CE2" w:rsidP="00F40CE2">
      <w:pPr>
        <w:spacing w:after="0"/>
        <w:ind w:left="720" w:hanging="720"/>
        <w:rPr>
          <w:noProof/>
        </w:rPr>
      </w:pPr>
      <w:bookmarkStart w:id="307" w:name="_ENREF_52"/>
      <w:r>
        <w:rPr>
          <w:noProof/>
        </w:rPr>
        <w:t>IPTS 2013. End-of-waste criteria for waste plastic for conversion. Technical proposals. Final Draft Report.: JRC European Commission. Institute for Prospective Technological Studies.</w:t>
      </w:r>
      <w:bookmarkEnd w:id="307"/>
    </w:p>
    <w:p w14:paraId="5BA9856D" w14:textId="77777777" w:rsidR="00F40CE2" w:rsidRDefault="00F40CE2" w:rsidP="00F40CE2">
      <w:pPr>
        <w:spacing w:after="0"/>
        <w:ind w:left="720" w:hanging="720"/>
        <w:rPr>
          <w:noProof/>
        </w:rPr>
      </w:pPr>
      <w:bookmarkStart w:id="308" w:name="_ENREF_53"/>
      <w:r>
        <w:rPr>
          <w:noProof/>
        </w:rPr>
        <w:t xml:space="preserve">JAMES, K., GRANT, T. &amp; SONNEVELD, K. 2002. Stakeholder involvement in australian paper and packaging waste management LCA study. </w:t>
      </w:r>
      <w:r w:rsidRPr="00F40CE2">
        <w:rPr>
          <w:i/>
          <w:noProof/>
        </w:rPr>
        <w:t>The International Journal of Life Cycle Assessment,</w:t>
      </w:r>
      <w:r>
        <w:rPr>
          <w:noProof/>
        </w:rPr>
        <w:t xml:space="preserve"> 7</w:t>
      </w:r>
      <w:r w:rsidRPr="00F40CE2">
        <w:rPr>
          <w:b/>
          <w:noProof/>
        </w:rPr>
        <w:t>,</w:t>
      </w:r>
      <w:r>
        <w:rPr>
          <w:noProof/>
        </w:rPr>
        <w:t xml:space="preserve"> 151-157.</w:t>
      </w:r>
      <w:bookmarkEnd w:id="308"/>
    </w:p>
    <w:p w14:paraId="134AF974" w14:textId="77777777" w:rsidR="00F40CE2" w:rsidRDefault="00F40CE2" w:rsidP="00F40CE2">
      <w:pPr>
        <w:spacing w:after="0"/>
        <w:ind w:left="720" w:hanging="720"/>
        <w:rPr>
          <w:noProof/>
        </w:rPr>
      </w:pPr>
      <w:bookmarkStart w:id="309" w:name="_ENREF_54"/>
      <w:r>
        <w:rPr>
          <w:noProof/>
        </w:rPr>
        <w:t xml:space="preserve">JOLLIET, O., MÜLLER-WENK, R., BARE, J., BRENT, A., GOEDKOOP, M., HEIJUNGS, R., ITSUBO, N., PEÑA, C., PENNINGTON, D., POTTING, J., REBITZER, G., STEWART, M., HAES, H. &amp; WEIDEMA, B. 2004. The LCIA midpoint-damage framework of the UNEP/SETAC life cycle initiative. </w:t>
      </w:r>
      <w:r w:rsidRPr="00F40CE2">
        <w:rPr>
          <w:i/>
          <w:noProof/>
        </w:rPr>
        <w:t>The International Journal of Life Cycle Assessment,</w:t>
      </w:r>
      <w:r>
        <w:rPr>
          <w:noProof/>
        </w:rPr>
        <w:t xml:space="preserve"> 9</w:t>
      </w:r>
      <w:r w:rsidRPr="00F40CE2">
        <w:rPr>
          <w:b/>
          <w:noProof/>
        </w:rPr>
        <w:t>,</w:t>
      </w:r>
      <w:r>
        <w:rPr>
          <w:noProof/>
        </w:rPr>
        <w:t xml:space="preserve"> 394-404.</w:t>
      </w:r>
      <w:bookmarkEnd w:id="309"/>
    </w:p>
    <w:p w14:paraId="3F752861" w14:textId="77777777" w:rsidR="00F40CE2" w:rsidRDefault="00F40CE2" w:rsidP="00F40CE2">
      <w:pPr>
        <w:spacing w:after="0"/>
        <w:ind w:left="720" w:hanging="720"/>
        <w:rPr>
          <w:noProof/>
        </w:rPr>
      </w:pPr>
      <w:bookmarkStart w:id="310" w:name="_ENREF_55"/>
      <w:r>
        <w:rPr>
          <w:noProof/>
        </w:rPr>
        <w:t>KELLY, A. 2013. IBISWorld Industry Report C2010. Glass and Glass Product Manufacturing in Australia. IBISWorld Pty Ltd.</w:t>
      </w:r>
      <w:bookmarkEnd w:id="310"/>
    </w:p>
    <w:p w14:paraId="2B53914E" w14:textId="77777777" w:rsidR="00F40CE2" w:rsidRDefault="00F40CE2" w:rsidP="00F40CE2">
      <w:pPr>
        <w:spacing w:after="0"/>
        <w:ind w:left="720" w:hanging="720"/>
        <w:rPr>
          <w:noProof/>
        </w:rPr>
      </w:pPr>
      <w:bookmarkStart w:id="311" w:name="_ENREF_56"/>
      <w:r>
        <w:rPr>
          <w:noProof/>
        </w:rPr>
        <w:t>LIN, R. 2012. IBISWorld Industry Report C1912a. Plastic Blow Moulded Product Manufacturing in Australia. IBISWorld Pty Ltd.</w:t>
      </w:r>
      <w:bookmarkEnd w:id="311"/>
    </w:p>
    <w:p w14:paraId="5DCA38D3" w14:textId="77777777" w:rsidR="00F40CE2" w:rsidRDefault="00F40CE2" w:rsidP="00F40CE2">
      <w:pPr>
        <w:spacing w:after="0"/>
        <w:ind w:left="720" w:hanging="720"/>
        <w:rPr>
          <w:noProof/>
        </w:rPr>
      </w:pPr>
      <w:bookmarkStart w:id="312" w:name="_ENREF_57"/>
      <w:r>
        <w:rPr>
          <w:noProof/>
        </w:rPr>
        <w:t xml:space="preserve">MANFREDI, S., TONINI, D., CHRISTENSEN, T. H. &amp; SCHARFF, H. 2009. Landfilling of waste: accounting of greenhouse gases and global warming contributions. </w:t>
      </w:r>
      <w:r w:rsidRPr="00F40CE2">
        <w:rPr>
          <w:i/>
          <w:noProof/>
        </w:rPr>
        <w:t>Waste Management &amp; Research,</w:t>
      </w:r>
      <w:r>
        <w:rPr>
          <w:noProof/>
        </w:rPr>
        <w:t xml:space="preserve"> 27</w:t>
      </w:r>
      <w:r w:rsidRPr="00F40CE2">
        <w:rPr>
          <w:b/>
          <w:noProof/>
        </w:rPr>
        <w:t>,</w:t>
      </w:r>
      <w:r>
        <w:rPr>
          <w:noProof/>
        </w:rPr>
        <w:t xml:space="preserve"> 825-836.</w:t>
      </w:r>
      <w:bookmarkEnd w:id="312"/>
    </w:p>
    <w:p w14:paraId="37AAC5C7" w14:textId="77777777" w:rsidR="00F40CE2" w:rsidRDefault="00F40CE2" w:rsidP="00F40CE2">
      <w:pPr>
        <w:spacing w:after="0"/>
        <w:ind w:left="720" w:hanging="720"/>
        <w:rPr>
          <w:noProof/>
        </w:rPr>
      </w:pPr>
      <w:bookmarkStart w:id="313" w:name="_ENREF_58"/>
      <w:r>
        <w:rPr>
          <w:noProof/>
        </w:rPr>
        <w:t>MICHAUD, J.-C., FARRANT, L., JAN, O., KJÆR, B. &amp; BAKAS, I. 2010. Environmental benefits of recycling – 2010 update.</w:t>
      </w:r>
      <w:bookmarkEnd w:id="313"/>
    </w:p>
    <w:p w14:paraId="114FC228" w14:textId="77777777" w:rsidR="00F40CE2" w:rsidRDefault="00F40CE2" w:rsidP="00F40CE2">
      <w:pPr>
        <w:spacing w:after="0"/>
        <w:ind w:left="720" w:hanging="720"/>
        <w:rPr>
          <w:noProof/>
        </w:rPr>
      </w:pPr>
      <w:bookmarkStart w:id="314" w:name="_ENREF_59"/>
      <w:r>
        <w:rPr>
          <w:noProof/>
        </w:rPr>
        <w:t>MOORE, P. 2011. Film, PET and Mixed Plastic Recycling in China - An Account of Patty Moore’s Visits to Several Plastic Recycling Facilities in China. California: Moore Recycling Associates Inc.</w:t>
      </w:r>
      <w:bookmarkEnd w:id="314"/>
    </w:p>
    <w:p w14:paraId="0EEE7749" w14:textId="77777777" w:rsidR="00F40CE2" w:rsidRDefault="00F40CE2" w:rsidP="00F40CE2">
      <w:pPr>
        <w:spacing w:after="0"/>
        <w:ind w:left="720" w:hanging="720"/>
        <w:rPr>
          <w:noProof/>
        </w:rPr>
      </w:pPr>
      <w:bookmarkStart w:id="315" w:name="_ENREF_60"/>
      <w:r>
        <w:rPr>
          <w:noProof/>
        </w:rPr>
        <w:t xml:space="preserve">MORRIS, J., SCOTT MATTHEWS, H. &amp; MORAWSKI, C. 2012. Review and meta-analysis of 82 studies on end-of-life management methods for source separated organics. </w:t>
      </w:r>
      <w:r w:rsidRPr="00F40CE2">
        <w:rPr>
          <w:i/>
          <w:noProof/>
        </w:rPr>
        <w:t>Waste Management</w:t>
      </w:r>
      <w:r>
        <w:rPr>
          <w:noProof/>
        </w:rPr>
        <w:t>.</w:t>
      </w:r>
      <w:bookmarkEnd w:id="315"/>
    </w:p>
    <w:p w14:paraId="07D4CE80" w14:textId="77777777" w:rsidR="00F40CE2" w:rsidRDefault="00F40CE2" w:rsidP="00F40CE2">
      <w:pPr>
        <w:spacing w:after="0"/>
        <w:ind w:left="720" w:hanging="720"/>
        <w:rPr>
          <w:noProof/>
        </w:rPr>
      </w:pPr>
      <w:bookmarkStart w:id="316" w:name="_ENREF_61"/>
      <w:r>
        <w:rPr>
          <w:noProof/>
        </w:rPr>
        <w:t>NPC 2011. The National Packaging Covenant. 2010 Annual Report. Gordon: Australian Packaging Covenant Council.</w:t>
      </w:r>
      <w:bookmarkEnd w:id="316"/>
    </w:p>
    <w:p w14:paraId="5BB3EAA7" w14:textId="77777777" w:rsidR="00F40CE2" w:rsidRDefault="00F40CE2" w:rsidP="00F40CE2">
      <w:pPr>
        <w:spacing w:after="0"/>
        <w:ind w:left="720" w:hanging="720"/>
        <w:rPr>
          <w:noProof/>
        </w:rPr>
      </w:pPr>
      <w:bookmarkStart w:id="317" w:name="_ENREF_62"/>
      <w:r>
        <w:rPr>
          <w:noProof/>
        </w:rPr>
        <w:t>NSW DEPARTMENT OF ENVIRONMENT AND CONSERVATION 2007. Life Cycle Inventory and Life Cycle Assessment for Windrow Composting Systems. Sydney: NSW Department of Environment and Conservation.</w:t>
      </w:r>
      <w:bookmarkEnd w:id="317"/>
    </w:p>
    <w:p w14:paraId="4D6D5468" w14:textId="77777777" w:rsidR="00F40CE2" w:rsidRDefault="00F40CE2" w:rsidP="00F40CE2">
      <w:pPr>
        <w:spacing w:after="0"/>
        <w:ind w:left="720" w:hanging="720"/>
        <w:rPr>
          <w:noProof/>
        </w:rPr>
      </w:pPr>
      <w:bookmarkStart w:id="318" w:name="_ENREF_63"/>
      <w:r>
        <w:rPr>
          <w:noProof/>
        </w:rPr>
        <w:t>OUTLAW, K. 2013. IBISWorld Industry Report X0005. Agribusiness in Australia. IBISWorld Pty Ltd.</w:t>
      </w:r>
      <w:bookmarkEnd w:id="318"/>
    </w:p>
    <w:p w14:paraId="5C381C23" w14:textId="77777777" w:rsidR="00F40CE2" w:rsidRDefault="00F40CE2" w:rsidP="00F40CE2">
      <w:pPr>
        <w:spacing w:after="0"/>
        <w:ind w:left="720" w:hanging="720"/>
        <w:rPr>
          <w:noProof/>
        </w:rPr>
      </w:pPr>
      <w:bookmarkStart w:id="319" w:name="_ENREF_64"/>
      <w:r>
        <w:rPr>
          <w:noProof/>
        </w:rPr>
        <w:t xml:space="preserve">PICKIN, J. 1996. </w:t>
      </w:r>
      <w:r w:rsidRPr="00F40CE2">
        <w:rPr>
          <w:i/>
          <w:noProof/>
        </w:rPr>
        <w:t>Paper and the Greenhouse Effect.</w:t>
      </w:r>
      <w:r>
        <w:rPr>
          <w:noProof/>
        </w:rPr>
        <w:t xml:space="preserve"> RMIT.</w:t>
      </w:r>
      <w:bookmarkEnd w:id="319"/>
    </w:p>
    <w:p w14:paraId="5B99AF41" w14:textId="77777777" w:rsidR="00F40CE2" w:rsidRDefault="00F40CE2" w:rsidP="00F40CE2">
      <w:pPr>
        <w:spacing w:after="0"/>
        <w:ind w:left="720" w:hanging="720"/>
        <w:rPr>
          <w:noProof/>
        </w:rPr>
      </w:pPr>
      <w:bookmarkStart w:id="320" w:name="_ENREF_65"/>
      <w:r>
        <w:rPr>
          <w:noProof/>
        </w:rPr>
        <w:t>PICKIN, J. 2010. Hanson Landfill Services / City of Whittlesea - Comparative Greenhouse Gas Life Cycle Assessment of Wollert Landfill. Melbourne: Hyder Consulting.</w:t>
      </w:r>
      <w:bookmarkEnd w:id="320"/>
    </w:p>
    <w:p w14:paraId="4900963C" w14:textId="77777777" w:rsidR="00F40CE2" w:rsidRDefault="00F40CE2" w:rsidP="00F40CE2">
      <w:pPr>
        <w:spacing w:after="0"/>
        <w:ind w:left="720" w:hanging="720"/>
        <w:rPr>
          <w:noProof/>
        </w:rPr>
      </w:pPr>
      <w:bookmarkStart w:id="321" w:name="_ENREF_66"/>
      <w:r>
        <w:rPr>
          <w:noProof/>
        </w:rPr>
        <w:t>RECYCLED ORGANICS UNIT 2007. Life Cycle Inventory and Life Cycle Assessment for Windrow Composting Systems. Second ed.: Report prepared for NSW Department of Environment and Conservation (Sustainability Programs Division).</w:t>
      </w:r>
      <w:bookmarkEnd w:id="321"/>
    </w:p>
    <w:p w14:paraId="461E5537" w14:textId="58BECCDD" w:rsidR="00F40CE2" w:rsidRDefault="00F40CE2" w:rsidP="00F40CE2">
      <w:pPr>
        <w:spacing w:after="0"/>
        <w:ind w:left="720" w:hanging="720"/>
        <w:rPr>
          <w:noProof/>
        </w:rPr>
      </w:pPr>
      <w:bookmarkStart w:id="322" w:name="_ENREF_67"/>
      <w:r>
        <w:rPr>
          <w:noProof/>
        </w:rPr>
        <w:t xml:space="preserve">RECYCLINGTODAY. 2012. Novelis Opens UBC Recycling Plant in South Korea. Available: </w:t>
      </w:r>
      <w:hyperlink r:id="rId91" w:history="1">
        <w:r w:rsidRPr="00F40CE2">
          <w:rPr>
            <w:rStyle w:val="Hyperlink"/>
            <w:noProof/>
          </w:rPr>
          <w:t>http://www.recyclingtoday.com/novelis-ubc-recycling-south-korea.aspx</w:t>
        </w:r>
      </w:hyperlink>
      <w:r>
        <w:rPr>
          <w:noProof/>
        </w:rPr>
        <w:t xml:space="preserve"> [Accessed 23/05/2013].</w:t>
      </w:r>
      <w:bookmarkEnd w:id="322"/>
    </w:p>
    <w:p w14:paraId="6FEB6C4E" w14:textId="77777777" w:rsidR="00F40CE2" w:rsidRDefault="00F40CE2" w:rsidP="00F40CE2">
      <w:pPr>
        <w:spacing w:after="0"/>
        <w:ind w:left="720" w:hanging="720"/>
        <w:rPr>
          <w:noProof/>
        </w:rPr>
      </w:pPr>
      <w:bookmarkStart w:id="323" w:name="_ENREF_68"/>
      <w:r>
        <w:rPr>
          <w:noProof/>
        </w:rPr>
        <w:t>RICHARDSON, A. 2013. IBISWorld Industry Report C1831. Fertiliser Manufacturing in Australia. IBISWorld Pty Ltd.</w:t>
      </w:r>
      <w:bookmarkEnd w:id="323"/>
    </w:p>
    <w:p w14:paraId="30A2827F" w14:textId="77777777" w:rsidR="00F40CE2" w:rsidRDefault="00F40CE2" w:rsidP="00F40CE2">
      <w:pPr>
        <w:spacing w:after="0"/>
        <w:ind w:left="720" w:hanging="720"/>
        <w:rPr>
          <w:noProof/>
        </w:rPr>
      </w:pPr>
      <w:bookmarkStart w:id="324" w:name="_ENREF_69"/>
      <w:r>
        <w:rPr>
          <w:noProof/>
        </w:rPr>
        <w:t xml:space="preserve">SHI, L. 2013. The Mineral Industry of the Republic of Korea. </w:t>
      </w:r>
      <w:r w:rsidRPr="00F40CE2">
        <w:rPr>
          <w:i/>
          <w:noProof/>
        </w:rPr>
        <w:t>In:</w:t>
      </w:r>
      <w:r>
        <w:rPr>
          <w:noProof/>
        </w:rPr>
        <w:t xml:space="preserve"> SURVEY, U. S. G. (ed.) </w:t>
      </w:r>
      <w:r w:rsidRPr="00F40CE2">
        <w:rPr>
          <w:i/>
          <w:noProof/>
        </w:rPr>
        <w:t>2011 Minerals Yearbook. Republic of Korea (Advance Release).</w:t>
      </w:r>
      <w:r>
        <w:rPr>
          <w:noProof/>
        </w:rPr>
        <w:t xml:space="preserve"> U.S. Department of the Interior.</w:t>
      </w:r>
      <w:bookmarkEnd w:id="324"/>
    </w:p>
    <w:p w14:paraId="6F8B3227" w14:textId="77777777" w:rsidR="00F40CE2" w:rsidRDefault="00F40CE2" w:rsidP="00F40CE2">
      <w:pPr>
        <w:spacing w:after="0"/>
        <w:ind w:left="720" w:hanging="720"/>
        <w:rPr>
          <w:noProof/>
        </w:rPr>
      </w:pPr>
      <w:bookmarkStart w:id="325" w:name="_ENREF_70"/>
      <w:r>
        <w:rPr>
          <w:noProof/>
        </w:rPr>
        <w:t>SIVASAILAM, N. 2012. IBISWorld Industry Report C2239. Metal Drum, Can and Bin Manufacturing in Australia. IBISWorld Pty Ltd.</w:t>
      </w:r>
      <w:bookmarkEnd w:id="325"/>
    </w:p>
    <w:p w14:paraId="5E9A5D56" w14:textId="77777777" w:rsidR="00F40CE2" w:rsidRDefault="00F40CE2" w:rsidP="00F40CE2">
      <w:pPr>
        <w:spacing w:after="0"/>
        <w:ind w:left="720" w:hanging="720"/>
        <w:rPr>
          <w:noProof/>
        </w:rPr>
      </w:pPr>
      <w:bookmarkStart w:id="326" w:name="_ENREF_71"/>
      <w:r>
        <w:rPr>
          <w:noProof/>
        </w:rPr>
        <w:t>SKM 2006. New Botany Paper Mill Project B9 - ENVIRONMENTAL ASSESSMENT REPORT St Leonards.</w:t>
      </w:r>
      <w:bookmarkEnd w:id="326"/>
    </w:p>
    <w:p w14:paraId="671FBC1E" w14:textId="77777777" w:rsidR="00F40CE2" w:rsidRDefault="00F40CE2" w:rsidP="00F40CE2">
      <w:pPr>
        <w:spacing w:after="0"/>
        <w:ind w:left="720" w:hanging="720"/>
        <w:rPr>
          <w:noProof/>
        </w:rPr>
      </w:pPr>
      <w:bookmarkStart w:id="327" w:name="_ENREF_72"/>
      <w:r>
        <w:rPr>
          <w:noProof/>
        </w:rPr>
        <w:t>STICHLING, J. &amp; NGUYEN-NGOC, D. 2009. Life Cycle Inventory and Impact Analysis for Beverage Cans. PE International.</w:t>
      </w:r>
      <w:bookmarkEnd w:id="327"/>
    </w:p>
    <w:p w14:paraId="3E5AF40B" w14:textId="77777777" w:rsidR="00F40CE2" w:rsidRDefault="00F40CE2" w:rsidP="00F40CE2">
      <w:pPr>
        <w:spacing w:after="0"/>
        <w:ind w:left="720" w:hanging="720"/>
        <w:rPr>
          <w:noProof/>
        </w:rPr>
      </w:pPr>
      <w:bookmarkStart w:id="328" w:name="_ENREF_73"/>
      <w:r>
        <w:rPr>
          <w:noProof/>
        </w:rPr>
        <w:lastRenderedPageBreak/>
        <w:t>SUSTAINABILITY VICTORIA 2011a. Victorian Local Government Annual Survey 2009-2010. Melbourne.</w:t>
      </w:r>
      <w:bookmarkEnd w:id="328"/>
    </w:p>
    <w:p w14:paraId="3AFE7B43" w14:textId="77777777" w:rsidR="00F40CE2" w:rsidRDefault="00F40CE2" w:rsidP="00F40CE2">
      <w:pPr>
        <w:spacing w:after="0"/>
        <w:ind w:left="720" w:hanging="720"/>
        <w:rPr>
          <w:noProof/>
        </w:rPr>
      </w:pPr>
      <w:bookmarkStart w:id="329" w:name="_ENREF_74"/>
      <w:r>
        <w:rPr>
          <w:noProof/>
        </w:rPr>
        <w:t>SUSTAINABILITY VICTORIA 2011b. Victorian Recycling Industries Annual Survey 2009-10.</w:t>
      </w:r>
      <w:bookmarkEnd w:id="329"/>
    </w:p>
    <w:p w14:paraId="516C8B47" w14:textId="77777777" w:rsidR="00F40CE2" w:rsidRDefault="00F40CE2" w:rsidP="00F40CE2">
      <w:pPr>
        <w:spacing w:after="0"/>
        <w:ind w:left="720" w:hanging="720"/>
        <w:rPr>
          <w:noProof/>
        </w:rPr>
      </w:pPr>
      <w:bookmarkStart w:id="330" w:name="_ENREF_75"/>
      <w:r>
        <w:rPr>
          <w:noProof/>
        </w:rPr>
        <w:t>SUSTAINABILITY VICTORIA 2012. Sustainability Victoria Strategic Plan 2012-15. Melbourne.</w:t>
      </w:r>
      <w:bookmarkEnd w:id="330"/>
    </w:p>
    <w:p w14:paraId="1A74C0EA" w14:textId="77777777" w:rsidR="00F40CE2" w:rsidRDefault="00F40CE2" w:rsidP="00F40CE2">
      <w:pPr>
        <w:spacing w:after="0"/>
        <w:ind w:left="720" w:hanging="720"/>
        <w:rPr>
          <w:noProof/>
        </w:rPr>
      </w:pPr>
      <w:bookmarkStart w:id="331" w:name="_ENREF_76"/>
      <w:r>
        <w:rPr>
          <w:noProof/>
        </w:rPr>
        <w:t xml:space="preserve">SUSTAINABILITY VICTORIA. 10/10/2012 2012b. </w:t>
      </w:r>
      <w:r w:rsidRPr="00F40CE2">
        <w:rPr>
          <w:i/>
          <w:noProof/>
        </w:rPr>
        <w:t>RE: LCA of MSW - Update.</w:t>
      </w:r>
      <w:r>
        <w:rPr>
          <w:noProof/>
        </w:rPr>
        <w:t xml:space="preserve"> Type to CLUNE, S.</w:t>
      </w:r>
      <w:bookmarkEnd w:id="331"/>
    </w:p>
    <w:p w14:paraId="4C88DD5C" w14:textId="77777777" w:rsidR="00F40CE2" w:rsidRDefault="00F40CE2" w:rsidP="00F40CE2">
      <w:pPr>
        <w:spacing w:after="0"/>
        <w:ind w:left="720" w:hanging="720"/>
        <w:rPr>
          <w:noProof/>
        </w:rPr>
      </w:pPr>
      <w:bookmarkStart w:id="332" w:name="_ENREF_77"/>
      <w:r>
        <w:rPr>
          <w:noProof/>
        </w:rPr>
        <w:t>T.EKVALL. Attributional and consequential LCI modelling (presentation).  InLCA/LCM 2003, 2003 Seattle, Washington. American Center for Life Cycle Assessment.</w:t>
      </w:r>
      <w:bookmarkEnd w:id="332"/>
    </w:p>
    <w:p w14:paraId="139654B2" w14:textId="77777777" w:rsidR="00F40CE2" w:rsidRDefault="00F40CE2" w:rsidP="00F40CE2">
      <w:pPr>
        <w:spacing w:after="0"/>
        <w:ind w:left="720" w:hanging="720"/>
        <w:rPr>
          <w:noProof/>
        </w:rPr>
      </w:pPr>
      <w:bookmarkStart w:id="333" w:name="_ENREF_78"/>
      <w:r>
        <w:rPr>
          <w:noProof/>
        </w:rPr>
        <w:t xml:space="preserve">TSE, P.-K. 2013. The Mineral Industry of Malaysia. </w:t>
      </w:r>
      <w:r w:rsidRPr="00F40CE2">
        <w:rPr>
          <w:i/>
          <w:noProof/>
        </w:rPr>
        <w:t>In:</w:t>
      </w:r>
      <w:r>
        <w:rPr>
          <w:noProof/>
        </w:rPr>
        <w:t xml:space="preserve"> SURVEY, U. S. G. (ed.) </w:t>
      </w:r>
      <w:r w:rsidRPr="00F40CE2">
        <w:rPr>
          <w:i/>
          <w:noProof/>
        </w:rPr>
        <w:t>2011 Minerals Yearbook. Malaysia (Advance Release).</w:t>
      </w:r>
      <w:r>
        <w:rPr>
          <w:noProof/>
        </w:rPr>
        <w:t xml:space="preserve"> U.S. Department of the Interior.</w:t>
      </w:r>
      <w:bookmarkEnd w:id="333"/>
    </w:p>
    <w:p w14:paraId="5DC81B6A" w14:textId="77777777" w:rsidR="00F40CE2" w:rsidRDefault="00F40CE2" w:rsidP="00F40CE2">
      <w:pPr>
        <w:spacing w:after="0"/>
        <w:ind w:left="720" w:hanging="720"/>
        <w:rPr>
          <w:noProof/>
        </w:rPr>
      </w:pPr>
      <w:bookmarkStart w:id="334" w:name="_ENREF_79"/>
      <w:r>
        <w:rPr>
          <w:noProof/>
        </w:rPr>
        <w:t>U.S. EIA 2013. Country Report - South Korea. U.S. Energy Information Administration.</w:t>
      </w:r>
      <w:bookmarkEnd w:id="334"/>
    </w:p>
    <w:p w14:paraId="3377F524" w14:textId="77777777" w:rsidR="00F40CE2" w:rsidRDefault="00F40CE2" w:rsidP="00F40CE2">
      <w:pPr>
        <w:spacing w:after="0"/>
        <w:ind w:left="720" w:hanging="720"/>
        <w:rPr>
          <w:noProof/>
        </w:rPr>
      </w:pPr>
      <w:bookmarkStart w:id="335" w:name="_ENREF_80"/>
      <w:r>
        <w:rPr>
          <w:noProof/>
        </w:rPr>
        <w:t xml:space="preserve">UN COMTRADE 2013. United Nations Commodity Trade Statistics Database. </w:t>
      </w:r>
      <w:r w:rsidRPr="00F40CE2">
        <w:rPr>
          <w:i/>
          <w:noProof/>
        </w:rPr>
        <w:t>In:</w:t>
      </w:r>
      <w:r>
        <w:rPr>
          <w:noProof/>
        </w:rPr>
        <w:t xml:space="preserve"> DIVISION, U. N. S. (ed.). New York.</w:t>
      </w:r>
      <w:bookmarkEnd w:id="335"/>
    </w:p>
    <w:p w14:paraId="3DAA3A37" w14:textId="77777777" w:rsidR="00F40CE2" w:rsidRDefault="00F40CE2" w:rsidP="00F40CE2">
      <w:pPr>
        <w:spacing w:after="0"/>
        <w:ind w:left="720" w:hanging="720"/>
        <w:rPr>
          <w:noProof/>
        </w:rPr>
      </w:pPr>
      <w:bookmarkStart w:id="336" w:name="_ENREF_81"/>
      <w:r>
        <w:rPr>
          <w:noProof/>
        </w:rPr>
        <w:t>VALOIS, M., AKIM, E., LOMBARD, B. &amp; PARIK, T. 2012. Forest Products Annual Market Review 2011-2012. Chapter 8. Paper, parperboard and woodpulp markets, 2011-2012. New York and Geneva: United Nations.</w:t>
      </w:r>
      <w:bookmarkEnd w:id="336"/>
    </w:p>
    <w:p w14:paraId="709C7040" w14:textId="2A09EFED" w:rsidR="00F40CE2" w:rsidRDefault="00F40CE2" w:rsidP="00F40CE2">
      <w:pPr>
        <w:spacing w:after="0"/>
        <w:ind w:left="720" w:hanging="720"/>
        <w:rPr>
          <w:noProof/>
        </w:rPr>
      </w:pPr>
      <w:bookmarkStart w:id="337" w:name="_ENREF_82"/>
      <w:r>
        <w:rPr>
          <w:noProof/>
        </w:rPr>
        <w:t xml:space="preserve">VISY RECYCLING. 2013. </w:t>
      </w:r>
      <w:r w:rsidRPr="00F40CE2">
        <w:rPr>
          <w:i/>
          <w:noProof/>
        </w:rPr>
        <w:t xml:space="preserve">Australia's most sophisticated glass recycling plant </w:t>
      </w:r>
      <w:r>
        <w:rPr>
          <w:noProof/>
        </w:rPr>
        <w:t xml:space="preserve">[Online]. Visy Recycling. Available: </w:t>
      </w:r>
      <w:hyperlink r:id="rId92" w:history="1">
        <w:r w:rsidRPr="00F40CE2">
          <w:rPr>
            <w:rStyle w:val="Hyperlink"/>
            <w:noProof/>
          </w:rPr>
          <w:t>http://test.visy.com.au/recycling/?id=182</w:t>
        </w:r>
      </w:hyperlink>
      <w:r>
        <w:rPr>
          <w:noProof/>
        </w:rPr>
        <w:t xml:space="preserve"> [Accessed 3 June 2013].</w:t>
      </w:r>
      <w:bookmarkEnd w:id="337"/>
    </w:p>
    <w:p w14:paraId="0F4C6754" w14:textId="09401CCA" w:rsidR="00F40CE2" w:rsidRDefault="00F40CE2" w:rsidP="00F40CE2">
      <w:pPr>
        <w:spacing w:after="0"/>
        <w:ind w:left="720" w:hanging="720"/>
        <w:rPr>
          <w:noProof/>
        </w:rPr>
      </w:pPr>
      <w:bookmarkStart w:id="338" w:name="_ENREF_83"/>
      <w:r>
        <w:rPr>
          <w:noProof/>
        </w:rPr>
        <w:t xml:space="preserve">WEIDEMA, B. 1997. </w:t>
      </w:r>
      <w:r w:rsidRPr="00F40CE2">
        <w:rPr>
          <w:i/>
          <w:noProof/>
        </w:rPr>
        <w:t xml:space="preserve">Guidelines for Critical Review of Product LCA </w:t>
      </w:r>
      <w:r>
        <w:rPr>
          <w:noProof/>
        </w:rPr>
        <w:t xml:space="preserve">[Online]. 2.-0 LCA Consultants. Available: </w:t>
      </w:r>
      <w:hyperlink r:id="rId93" w:history="1">
        <w:r w:rsidRPr="00F40CE2">
          <w:rPr>
            <w:rStyle w:val="Hyperlink"/>
            <w:noProof/>
          </w:rPr>
          <w:t>http://www.lca-net.com/publications/critical_review/</w:t>
        </w:r>
      </w:hyperlink>
      <w:r>
        <w:rPr>
          <w:noProof/>
        </w:rPr>
        <w:t xml:space="preserve"> [Accessed 9/10/2012 2012].</w:t>
      </w:r>
      <w:bookmarkEnd w:id="338"/>
    </w:p>
    <w:p w14:paraId="4B077FC5" w14:textId="77777777" w:rsidR="00F40CE2" w:rsidRDefault="00F40CE2" w:rsidP="00F40CE2">
      <w:pPr>
        <w:spacing w:after="0"/>
        <w:ind w:left="720" w:hanging="720"/>
        <w:rPr>
          <w:noProof/>
        </w:rPr>
      </w:pPr>
      <w:bookmarkStart w:id="339" w:name="_ENREF_84"/>
      <w:r>
        <w:rPr>
          <w:noProof/>
        </w:rPr>
        <w:t xml:space="preserve">WEIDEMA, B. 2003. </w:t>
      </w:r>
      <w:r w:rsidRPr="00F40CE2">
        <w:rPr>
          <w:i/>
          <w:noProof/>
        </w:rPr>
        <w:t xml:space="preserve">Environmental Project No. 863 - Market Information in Life Cycle Assessment, </w:t>
      </w:r>
      <w:r>
        <w:rPr>
          <w:noProof/>
        </w:rPr>
        <w:t>Denmark, Danish Environmental Protection Agency.</w:t>
      </w:r>
      <w:bookmarkEnd w:id="339"/>
    </w:p>
    <w:p w14:paraId="792BFFD3" w14:textId="77777777" w:rsidR="00F40CE2" w:rsidRDefault="00F40CE2" w:rsidP="00F40CE2">
      <w:pPr>
        <w:spacing w:after="0"/>
        <w:ind w:left="720" w:hanging="720"/>
        <w:rPr>
          <w:noProof/>
        </w:rPr>
      </w:pPr>
      <w:bookmarkStart w:id="340" w:name="_ENREF_85"/>
      <w:r>
        <w:rPr>
          <w:noProof/>
        </w:rPr>
        <w:t xml:space="preserve">WEIDEMA, B. P. &amp; WESNÆS, M. S. 1996. Data quality management for life cycle inventories—an example of using data quality indicators. </w:t>
      </w:r>
      <w:r w:rsidRPr="00F40CE2">
        <w:rPr>
          <w:i/>
          <w:noProof/>
        </w:rPr>
        <w:t>Journal of Cleaner Production,</w:t>
      </w:r>
      <w:r>
        <w:rPr>
          <w:noProof/>
        </w:rPr>
        <w:t xml:space="preserve"> 4</w:t>
      </w:r>
      <w:r w:rsidRPr="00F40CE2">
        <w:rPr>
          <w:b/>
          <w:noProof/>
        </w:rPr>
        <w:t>,</w:t>
      </w:r>
      <w:r>
        <w:rPr>
          <w:noProof/>
        </w:rPr>
        <w:t xml:space="preserve"> 167-174.</w:t>
      </w:r>
      <w:bookmarkEnd w:id="340"/>
    </w:p>
    <w:p w14:paraId="3FE1396A" w14:textId="77777777" w:rsidR="00F40CE2" w:rsidRDefault="00F40CE2" w:rsidP="00F40CE2">
      <w:pPr>
        <w:spacing w:after="0"/>
        <w:ind w:left="720" w:hanging="720"/>
        <w:rPr>
          <w:noProof/>
        </w:rPr>
      </w:pPr>
      <w:bookmarkStart w:id="341" w:name="_ENREF_86"/>
      <w:r>
        <w:rPr>
          <w:noProof/>
        </w:rPr>
        <w:t>WILLANTO, R. 2012. IBISWorld Industry Report C2110. Iron Smelting and Steel Manufacturing in Australia. IBISWorld Pty Ltd.</w:t>
      </w:r>
      <w:bookmarkEnd w:id="341"/>
    </w:p>
    <w:p w14:paraId="2DB0BCC4" w14:textId="77777777" w:rsidR="00F40CE2" w:rsidRDefault="00F40CE2" w:rsidP="00F40CE2">
      <w:pPr>
        <w:spacing w:after="0"/>
        <w:ind w:left="720" w:hanging="720"/>
        <w:rPr>
          <w:noProof/>
        </w:rPr>
      </w:pPr>
      <w:bookmarkStart w:id="342" w:name="_ENREF_87"/>
      <w:r>
        <w:rPr>
          <w:noProof/>
        </w:rPr>
        <w:t>WORLD STEEL ASSOCIATION 2013. Short range outlook for apparent steel use, finished steel products (2012-2014). Brussels and Beijing: World Steel Association,.</w:t>
      </w:r>
      <w:bookmarkEnd w:id="342"/>
    </w:p>
    <w:p w14:paraId="1BDD2D39" w14:textId="77777777" w:rsidR="00F40CE2" w:rsidRDefault="00F40CE2" w:rsidP="00F40CE2">
      <w:pPr>
        <w:spacing w:after="0"/>
        <w:ind w:left="720" w:hanging="720"/>
        <w:rPr>
          <w:noProof/>
        </w:rPr>
      </w:pPr>
      <w:bookmarkStart w:id="343" w:name="_ENREF_88"/>
      <w:r>
        <w:rPr>
          <w:noProof/>
        </w:rPr>
        <w:t>WRAP 2006. UK Plastics Waste – A review of supplies for recycling, global market demand, future trends and associated risks. Banbury.</w:t>
      </w:r>
      <w:bookmarkEnd w:id="343"/>
    </w:p>
    <w:p w14:paraId="561A60AB" w14:textId="77777777" w:rsidR="00F40CE2" w:rsidRDefault="00F40CE2" w:rsidP="00F40CE2">
      <w:pPr>
        <w:spacing w:after="0"/>
        <w:ind w:left="720" w:hanging="720"/>
        <w:rPr>
          <w:noProof/>
        </w:rPr>
      </w:pPr>
      <w:bookmarkStart w:id="344" w:name="_ENREF_89"/>
      <w:r>
        <w:rPr>
          <w:noProof/>
        </w:rPr>
        <w:t>WRAP 2009. Final Report - Material quality assessment of municipal MRFs within the UK. Completed by Enviros Consulting.</w:t>
      </w:r>
      <w:bookmarkEnd w:id="344"/>
    </w:p>
    <w:p w14:paraId="1385989C" w14:textId="77777777" w:rsidR="00F40CE2" w:rsidRDefault="00F40CE2" w:rsidP="00F40CE2">
      <w:pPr>
        <w:ind w:left="720" w:hanging="720"/>
        <w:rPr>
          <w:noProof/>
        </w:rPr>
      </w:pPr>
      <w:bookmarkStart w:id="345" w:name="_ENREF_90"/>
      <w:r>
        <w:rPr>
          <w:noProof/>
        </w:rPr>
        <w:t xml:space="preserve">WRAP 2011. The Chinese markets for recovered paper and plastics – an update. </w:t>
      </w:r>
      <w:r w:rsidRPr="00F40CE2">
        <w:rPr>
          <w:i/>
          <w:noProof/>
        </w:rPr>
        <w:t>Market Situation Report – Spring 2011.</w:t>
      </w:r>
      <w:r>
        <w:rPr>
          <w:noProof/>
        </w:rPr>
        <w:t xml:space="preserve"> Waste &amp; Resources Action Programme.</w:t>
      </w:r>
      <w:bookmarkEnd w:id="345"/>
    </w:p>
    <w:p w14:paraId="6707A9D4" w14:textId="64044986" w:rsidR="00F40CE2" w:rsidRDefault="00F40CE2" w:rsidP="00F40CE2">
      <w:pPr>
        <w:rPr>
          <w:noProof/>
        </w:rPr>
      </w:pPr>
    </w:p>
    <w:p w14:paraId="0D494618" w14:textId="588AFC8E" w:rsidR="00C52F14" w:rsidRDefault="00B35BE0" w:rsidP="00C52F14">
      <w:pPr>
        <w:ind w:left="720" w:hanging="720"/>
        <w:rPr>
          <w:noProof/>
        </w:rPr>
      </w:pPr>
      <w:r>
        <w:fldChar w:fldCharType="end"/>
      </w:r>
    </w:p>
    <w:p w14:paraId="0D494619" w14:textId="77777777" w:rsidR="00C52F14" w:rsidRDefault="00C52F14" w:rsidP="007C1E14">
      <w:pPr>
        <w:ind w:left="720" w:hanging="720"/>
        <w:rPr>
          <w:noProof/>
        </w:rPr>
      </w:pPr>
    </w:p>
    <w:p w14:paraId="0D49461A" w14:textId="77777777" w:rsidR="00F82B67" w:rsidRPr="00041296" w:rsidRDefault="00F82B67" w:rsidP="003A2892">
      <w:pPr>
        <w:sectPr w:rsidR="00F82B67" w:rsidRPr="00041296" w:rsidSect="006555B4">
          <w:footerReference w:type="default" r:id="rId94"/>
          <w:pgSz w:w="11906" w:h="16838"/>
          <w:pgMar w:top="1418" w:right="1440" w:bottom="1418" w:left="1440" w:header="709" w:footer="488" w:gutter="0"/>
          <w:cols w:space="708"/>
          <w:docGrid w:linePitch="360"/>
        </w:sectPr>
      </w:pPr>
    </w:p>
    <w:p w14:paraId="0D49461B" w14:textId="77777777" w:rsidR="006B07CF" w:rsidRDefault="00DD3FA9" w:rsidP="00DD3FA9">
      <w:pPr>
        <w:pStyle w:val="Heading1"/>
        <w:numPr>
          <w:ilvl w:val="0"/>
          <w:numId w:val="0"/>
        </w:numPr>
        <w:ind w:left="1134" w:hanging="1134"/>
        <w:rPr>
          <w:lang w:val="en-AU"/>
        </w:rPr>
      </w:pPr>
      <w:bookmarkStart w:id="346" w:name="_Ref360135617"/>
      <w:bookmarkStart w:id="347" w:name="_Ref307386264"/>
      <w:bookmarkStart w:id="348" w:name="_Toc433964592"/>
      <w:r>
        <w:rPr>
          <w:lang w:val="en-AU"/>
        </w:rPr>
        <w:lastRenderedPageBreak/>
        <w:t xml:space="preserve">Appendix A </w:t>
      </w:r>
      <w:r w:rsidR="006B07CF">
        <w:rPr>
          <w:lang w:val="en-AU"/>
        </w:rPr>
        <w:t>–</w:t>
      </w:r>
      <w:r>
        <w:rPr>
          <w:lang w:val="en-AU"/>
        </w:rPr>
        <w:t xml:space="preserve"> </w:t>
      </w:r>
      <w:r w:rsidR="006B07CF">
        <w:rPr>
          <w:lang w:val="en-AU"/>
        </w:rPr>
        <w:t>Life Cycle Assessment and Recycling</w:t>
      </w:r>
      <w:bookmarkEnd w:id="346"/>
      <w:bookmarkEnd w:id="348"/>
    </w:p>
    <w:p w14:paraId="0D49461C" w14:textId="77777777" w:rsidR="00F82B67" w:rsidRPr="00F82B67" w:rsidRDefault="00F82B67" w:rsidP="009E73CF">
      <w:pPr>
        <w:pStyle w:val="Heading2"/>
        <w:numPr>
          <w:ilvl w:val="1"/>
          <w:numId w:val="31"/>
        </w:numPr>
        <w:ind w:left="426"/>
      </w:pPr>
      <w:bookmarkStart w:id="349" w:name="_Toc433964593"/>
      <w:r>
        <w:t xml:space="preserve">LCA </w:t>
      </w:r>
      <w:r w:rsidRPr="00F82B67">
        <w:t>Methodology</w:t>
      </w:r>
      <w:bookmarkEnd w:id="347"/>
      <w:bookmarkEnd w:id="349"/>
    </w:p>
    <w:p w14:paraId="0D49461D" w14:textId="77777777" w:rsidR="00F82B67" w:rsidRPr="00041296" w:rsidRDefault="00F82B67" w:rsidP="003A2892">
      <w:r w:rsidRPr="00041296">
        <w:t>The following sections provide a brief description of the LCA methodology. The most important terminology is explained, as well as how to interpret outcomes of the assessment.</w:t>
      </w:r>
    </w:p>
    <w:p w14:paraId="0D49461E" w14:textId="77777777" w:rsidR="00F82B67" w:rsidRPr="00041296" w:rsidRDefault="00F82B67" w:rsidP="003A2892">
      <w:r w:rsidRPr="00041296">
        <w:t>LCA is the process of evaluating the potential effects that a product, process or service has on the environment over the entire period of its life cycle. Figure 5-1 illustrates the life cycle system concept of natural resources and energy entering the system with products, waste and emissions leaving the system.</w:t>
      </w:r>
    </w:p>
    <w:p w14:paraId="0D49461F" w14:textId="77777777" w:rsidR="00D871BA" w:rsidRDefault="00F82B67" w:rsidP="00D871BA">
      <w:pPr>
        <w:pStyle w:val="Caption"/>
        <w:keepNext/>
      </w:pPr>
      <w:r w:rsidRPr="00041296">
        <w:object w:dxaOrig="11878" w:dyaOrig="3159" w14:anchorId="0D494730">
          <v:shape id="_x0000_i1028" type="#_x0000_t75" style="width:482.25pt;height:127pt" o:ole="" filled="t">
            <v:imagedata r:id="rId95" o:title=""/>
          </v:shape>
          <o:OLEObject Type="Embed" ProgID="Visio.Drawing.11" ShapeID="_x0000_i1028" DrawAspect="Content" ObjectID="_1507706618" r:id="rId96"/>
        </w:object>
      </w:r>
    </w:p>
    <w:p w14:paraId="0D494620" w14:textId="77777777" w:rsidR="00F82B67" w:rsidRPr="00041296" w:rsidRDefault="00D871BA" w:rsidP="00D871BA">
      <w:pPr>
        <w:pStyle w:val="Caption"/>
      </w:pPr>
      <w:r>
        <w:t xml:space="preserve">Figure </w:t>
      </w:r>
      <w:r w:rsidR="00B35BE0">
        <w:fldChar w:fldCharType="begin"/>
      </w:r>
      <w:r w:rsidR="00E07CC3">
        <w:instrText xml:space="preserve"> STYLEREF 1 \s </w:instrText>
      </w:r>
      <w:r w:rsidR="00B35BE0">
        <w:fldChar w:fldCharType="separate"/>
      </w:r>
      <w:r w:rsidR="00564E5C">
        <w:rPr>
          <w:noProof/>
        </w:rPr>
        <w:t>0</w:t>
      </w:r>
      <w:r w:rsidR="00B35BE0">
        <w:rPr>
          <w:noProof/>
        </w:rPr>
        <w:fldChar w:fldCharType="end"/>
      </w:r>
      <w:r w:rsidR="00ED3A76">
        <w:noBreakHyphen/>
      </w:r>
      <w:r w:rsidR="00B35BE0">
        <w:fldChar w:fldCharType="begin"/>
      </w:r>
      <w:r w:rsidR="00E07CC3">
        <w:instrText xml:space="preserve"> SEQ Figure \* ARABIC \s 1 </w:instrText>
      </w:r>
      <w:r w:rsidR="00B35BE0">
        <w:fldChar w:fldCharType="separate"/>
      </w:r>
      <w:r w:rsidR="00564E5C">
        <w:rPr>
          <w:noProof/>
        </w:rPr>
        <w:t>1</w:t>
      </w:r>
      <w:r w:rsidR="00B35BE0">
        <w:rPr>
          <w:noProof/>
        </w:rPr>
        <w:fldChar w:fldCharType="end"/>
      </w:r>
      <w:r w:rsidR="00F82B67" w:rsidRPr="00041296">
        <w:t xml:space="preserve"> Life cycle system concept the figure</w:t>
      </w:r>
    </w:p>
    <w:p w14:paraId="0D494621" w14:textId="77777777" w:rsidR="00F82B67" w:rsidRPr="00041296" w:rsidRDefault="00F82B67" w:rsidP="00F82B67">
      <w:pPr>
        <w:pStyle w:val="Caption"/>
        <w:rPr>
          <w:b w:val="0"/>
        </w:rPr>
      </w:pPr>
    </w:p>
    <w:p w14:paraId="0D494622" w14:textId="77777777" w:rsidR="00F82B67" w:rsidRPr="00041296" w:rsidRDefault="00F82B67" w:rsidP="003A2892">
      <w:r w:rsidRPr="00041296">
        <w:t>The International Standards Organi</w:t>
      </w:r>
      <w:r w:rsidR="00D871BA">
        <w:t>z</w:t>
      </w:r>
      <w:r w:rsidR="00585B38">
        <w:t>ation (ISO) defines</w:t>
      </w:r>
      <w:r w:rsidRPr="00041296">
        <w:t xml:space="preserve"> LCA as:</w:t>
      </w:r>
    </w:p>
    <w:p w14:paraId="0D494623" w14:textId="77777777" w:rsidR="00F82B67" w:rsidRPr="00041296" w:rsidRDefault="00F82B67" w:rsidP="003A2892">
      <w:r w:rsidRPr="00041296">
        <w:t>“[A] Compilation and evaluation of the inputs, outputs and the potential environmental impacts of a product system throughout its lifecycle” (ISO 14040:2006 pp.2).</w:t>
      </w:r>
    </w:p>
    <w:p w14:paraId="0D494624" w14:textId="77777777" w:rsidR="00F82B67" w:rsidRPr="00041296" w:rsidRDefault="00F82B67" w:rsidP="003A2892">
      <w:r w:rsidRPr="00041296">
        <w:t>The technical framework for LCA consists of four components, each having a very important role in the assessment. They are interrelated throughout the entire assessment and in accordance with the current terminology of the International Standards Organisation (ISO). The components are goal and scope definition, inventory analysis, impact assessment and interpretation as illustrated in Figure 3-2.</w:t>
      </w:r>
    </w:p>
    <w:p w14:paraId="0D494625" w14:textId="77777777" w:rsidR="00F82B67" w:rsidRPr="00041296" w:rsidRDefault="00C20D75" w:rsidP="003A2892">
      <w:r>
        <w:rPr>
          <w:noProof/>
        </w:rPr>
        <w:lastRenderedPageBreak/>
        <w:drawing>
          <wp:inline distT="0" distB="0" distL="0" distR="0" wp14:anchorId="0D494731" wp14:editId="0D494732">
            <wp:extent cx="5391150" cy="3448050"/>
            <wp:effectExtent l="0" t="0" r="0" b="0"/>
            <wp:docPr id="25" name="Picture 8" descr="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2"/>
                    <pic:cNvPicPr>
                      <a:picLocks noChangeAspect="1" noChangeArrowheads="1"/>
                    </pic:cNvPicPr>
                  </pic:nvPicPr>
                  <pic:blipFill>
                    <a:blip r:embed="rId97">
                      <a:extLst>
                        <a:ext uri="{28A0092B-C50C-407E-A947-70E740481C1C}">
                          <a14:useLocalDpi xmlns:a14="http://schemas.microsoft.com/office/drawing/2010/main" val="0"/>
                        </a:ext>
                      </a:extLst>
                    </a:blip>
                    <a:srcRect l="1920" t="3009" r="4184" b="3342"/>
                    <a:stretch>
                      <a:fillRect/>
                    </a:stretch>
                  </pic:blipFill>
                  <pic:spPr bwMode="auto">
                    <a:xfrm>
                      <a:off x="0" y="0"/>
                      <a:ext cx="5391150" cy="3448050"/>
                    </a:xfrm>
                    <a:prstGeom prst="rect">
                      <a:avLst/>
                    </a:prstGeom>
                    <a:noFill/>
                    <a:ln>
                      <a:noFill/>
                    </a:ln>
                  </pic:spPr>
                </pic:pic>
              </a:graphicData>
            </a:graphic>
          </wp:inline>
        </w:drawing>
      </w:r>
    </w:p>
    <w:p w14:paraId="0D494626" w14:textId="77777777" w:rsidR="00F82B67" w:rsidRPr="00041296" w:rsidRDefault="00F82B67" w:rsidP="00F82B67">
      <w:pPr>
        <w:pStyle w:val="Caption"/>
      </w:pPr>
      <w:r w:rsidRPr="00041296">
        <w:t xml:space="preserve">Figure </w:t>
      </w:r>
      <w:r w:rsidR="00B35BE0">
        <w:fldChar w:fldCharType="begin"/>
      </w:r>
      <w:r w:rsidR="00E07CC3">
        <w:instrText xml:space="preserve"> STYLEREF 1 \s </w:instrText>
      </w:r>
      <w:r w:rsidR="00B35BE0">
        <w:fldChar w:fldCharType="separate"/>
      </w:r>
      <w:r w:rsidR="00564E5C">
        <w:rPr>
          <w:noProof/>
        </w:rPr>
        <w:t>0</w:t>
      </w:r>
      <w:r w:rsidR="00B35BE0">
        <w:rPr>
          <w:noProof/>
        </w:rPr>
        <w:fldChar w:fldCharType="end"/>
      </w:r>
      <w:r w:rsidR="00ED3A76">
        <w:noBreakHyphen/>
      </w:r>
      <w:r w:rsidR="00B35BE0">
        <w:fldChar w:fldCharType="begin"/>
      </w:r>
      <w:r w:rsidR="00E07CC3">
        <w:instrText xml:space="preserve"> SEQ Figure \* ARABIC \s 1 </w:instrText>
      </w:r>
      <w:r w:rsidR="00B35BE0">
        <w:fldChar w:fldCharType="separate"/>
      </w:r>
      <w:r w:rsidR="00564E5C">
        <w:rPr>
          <w:noProof/>
        </w:rPr>
        <w:t>2</w:t>
      </w:r>
      <w:r w:rsidR="00B35BE0">
        <w:rPr>
          <w:noProof/>
        </w:rPr>
        <w:fldChar w:fldCharType="end"/>
      </w:r>
      <w:r w:rsidRPr="00041296">
        <w:t>: The Framework for LCA from the International Standard (ISO 14040:2006(E) pp.8)</w:t>
      </w:r>
    </w:p>
    <w:p w14:paraId="0D494627" w14:textId="77777777" w:rsidR="00F82B67" w:rsidRPr="00041296" w:rsidRDefault="00F82B67" w:rsidP="00A27DD8"/>
    <w:p w14:paraId="0D494628" w14:textId="77777777" w:rsidR="00F82B67" w:rsidRPr="00041296" w:rsidRDefault="00F82B67" w:rsidP="009E73CF">
      <w:pPr>
        <w:pStyle w:val="Heading2"/>
        <w:numPr>
          <w:ilvl w:val="1"/>
          <w:numId w:val="31"/>
        </w:numPr>
        <w:ind w:left="426"/>
      </w:pPr>
      <w:bookmarkStart w:id="350" w:name="_Toc433964594"/>
      <w:r w:rsidRPr="00041296">
        <w:t>Goal and scope definition</w:t>
      </w:r>
      <w:bookmarkEnd w:id="350"/>
    </w:p>
    <w:p w14:paraId="0D494629" w14:textId="77777777" w:rsidR="00F82B67" w:rsidRPr="00041296" w:rsidRDefault="00F82B67" w:rsidP="003A2892">
      <w:r w:rsidRPr="00041296">
        <w:t>At the commencement of an LCA, the goal and scope of the study needs to be clearly defined. The goal should state unambiguously the intended application/purpose of the study, the audience for which the results are intended, the product or function that is to be studied, and the scope of the study. When defining the scope, consideration of the reference unit, system boundaries and data quality requirements are some of the issues to be covered.</w:t>
      </w:r>
    </w:p>
    <w:p w14:paraId="0D49462A" w14:textId="77777777" w:rsidR="00F82B67" w:rsidRPr="00041296" w:rsidRDefault="00F82B67" w:rsidP="009E73CF">
      <w:pPr>
        <w:pStyle w:val="Heading2"/>
        <w:numPr>
          <w:ilvl w:val="1"/>
          <w:numId w:val="31"/>
        </w:numPr>
        <w:ind w:left="426"/>
      </w:pPr>
      <w:bookmarkStart w:id="351" w:name="_Toc433964595"/>
      <w:r w:rsidRPr="00041296">
        <w:t>Inventory analysis</w:t>
      </w:r>
      <w:bookmarkEnd w:id="351"/>
    </w:p>
    <w:p w14:paraId="0D49462B" w14:textId="77777777" w:rsidR="00F82B67" w:rsidRPr="00041296" w:rsidRDefault="00F82B67" w:rsidP="003A2892">
      <w:r w:rsidRPr="00041296">
        <w:t>Inventory analysis is concerned with the collection, analysis and validation of data that quantifies the appropriate inputs and outputs of a product system. The inventory can include process flow charts, details of raw material inputs, environmental emissions and energy inputs associated with the product under study. These process inputs and outputs are typically reported in inventory tables.</w:t>
      </w:r>
    </w:p>
    <w:p w14:paraId="0D49462C" w14:textId="77777777" w:rsidR="00F82B67" w:rsidRPr="00041296" w:rsidRDefault="00F82B67" w:rsidP="009E73CF">
      <w:pPr>
        <w:pStyle w:val="Heading2"/>
        <w:numPr>
          <w:ilvl w:val="1"/>
          <w:numId w:val="31"/>
        </w:numPr>
        <w:ind w:left="426"/>
      </w:pPr>
      <w:bookmarkStart w:id="352" w:name="_Toc433964596"/>
      <w:r w:rsidRPr="00041296">
        <w:t>Impact assessment</w:t>
      </w:r>
      <w:bookmarkEnd w:id="352"/>
    </w:p>
    <w:p w14:paraId="0D49462D" w14:textId="77777777" w:rsidR="00F82B67" w:rsidRPr="00041296" w:rsidRDefault="004D2A14" w:rsidP="003A2892">
      <w:r>
        <w:t>I</w:t>
      </w:r>
      <w:r w:rsidR="00F82B67" w:rsidRPr="00041296">
        <w:t>mpact assessment identif</w:t>
      </w:r>
      <w:r>
        <w:t>ies the</w:t>
      </w:r>
      <w:r w:rsidR="00F82B67" w:rsidRPr="00041296">
        <w:t xml:space="preserve"> link between the product’s life cycle and the potential environmental impacts associated with it. The impact assessment stage consists of three phases that are intended to evaluate the significance of the potential environmental effects associated with the product system:</w:t>
      </w:r>
    </w:p>
    <w:p w14:paraId="0D49462E" w14:textId="77777777" w:rsidR="00F82B67" w:rsidRPr="00041296" w:rsidRDefault="00F82B67" w:rsidP="00F82B67">
      <w:pPr>
        <w:pStyle w:val="ListBullet"/>
      </w:pPr>
      <w:r w:rsidRPr="00041296">
        <w:t>The first phase is the characterisation of the results, assigning the elemental flows to impact categories, and calculating their contribution to that impact.</w:t>
      </w:r>
    </w:p>
    <w:p w14:paraId="0D49462F" w14:textId="77777777" w:rsidR="00F82B67" w:rsidRPr="00041296" w:rsidRDefault="00F82B67" w:rsidP="00F82B67">
      <w:pPr>
        <w:pStyle w:val="ListBullet"/>
      </w:pPr>
      <w:r w:rsidRPr="00041296">
        <w:t>The second phase is the comparison of the impact results to total national impact levels and is called normalisation.</w:t>
      </w:r>
    </w:p>
    <w:p w14:paraId="0D494630" w14:textId="77777777" w:rsidR="00F82B67" w:rsidRPr="00041296" w:rsidRDefault="00F82B67" w:rsidP="00F82B67">
      <w:pPr>
        <w:pStyle w:val="ListBullet"/>
      </w:pPr>
      <w:r w:rsidRPr="00041296">
        <w:t>The third phase is the weighting of these normalised results together to enable the calculation of a single indicator result. In this study, only the first two phases are undertaken.</w:t>
      </w:r>
    </w:p>
    <w:p w14:paraId="0D494631" w14:textId="77777777" w:rsidR="00F82B67" w:rsidRPr="00041296" w:rsidRDefault="00F82B67" w:rsidP="009E73CF">
      <w:pPr>
        <w:pStyle w:val="Heading2"/>
        <w:numPr>
          <w:ilvl w:val="1"/>
          <w:numId w:val="31"/>
        </w:numPr>
        <w:ind w:left="426"/>
      </w:pPr>
      <w:bookmarkStart w:id="353" w:name="_Toc433964597"/>
      <w:r w:rsidRPr="00041296">
        <w:t>Interpretation</w:t>
      </w:r>
      <w:bookmarkEnd w:id="353"/>
    </w:p>
    <w:p w14:paraId="0D494632" w14:textId="77777777" w:rsidR="00F82B67" w:rsidRDefault="00F82B67" w:rsidP="003A2892">
      <w:r w:rsidRPr="00041296">
        <w:lastRenderedPageBreak/>
        <w:t>Interpretation is a systematic evaluation of the outcomes of the life cycle inventory analysis and/or impact assessment, in relation to the goal and scope. This interpretation result into conclusions of the environmental profile of the product or system under investigation, and recommendations on how to improve the environmental profile.</w:t>
      </w:r>
    </w:p>
    <w:p w14:paraId="0D494633" w14:textId="77777777" w:rsidR="006B07CF" w:rsidRDefault="006B07CF" w:rsidP="009E73CF">
      <w:pPr>
        <w:pStyle w:val="Heading2"/>
        <w:numPr>
          <w:ilvl w:val="0"/>
          <w:numId w:val="31"/>
        </w:numPr>
      </w:pPr>
      <w:bookmarkStart w:id="354" w:name="_Ref337120664"/>
      <w:bookmarkStart w:id="355" w:name="_Toc433964598"/>
      <w:r>
        <w:t>The application of LCA</w:t>
      </w:r>
      <w:r w:rsidRPr="006B07CF">
        <w:t xml:space="preserve"> to studies of recycling</w:t>
      </w:r>
      <w:bookmarkEnd w:id="354"/>
      <w:bookmarkEnd w:id="355"/>
    </w:p>
    <w:p w14:paraId="0D494634" w14:textId="77777777" w:rsidR="006B07CF" w:rsidRDefault="006B07CF" w:rsidP="006B07CF">
      <w:pPr>
        <w:ind w:left="567" w:right="521"/>
        <w:rPr>
          <w:lang w:eastAsia="x-none"/>
        </w:rPr>
      </w:pPr>
      <w:r>
        <w:rPr>
          <w:lang w:eastAsia="x-none"/>
        </w:rPr>
        <w:t>In ISO 14040 (see below) LCA is defined as the "compilation and evaluation of the inputs, outputs and potential environmental impacts of a product system throughout its life cycle". Thus, LCA is a tool for the analysis of the environmental burden of products at all stages in their life cycle – from the extraction of resources, through the production of materials, product parts and the product itself, and the use of the product to the management after it is</w:t>
      </w:r>
      <w:r w:rsidRPr="00235E70">
        <w:t xml:space="preserve"> </w:t>
      </w:r>
      <w:r>
        <w:rPr>
          <w:lang w:eastAsia="x-none"/>
        </w:rPr>
        <w:t>discarded, either by reuse, recycling or final disposal (in effect, therefore, ‘from the cradle to the grave’).</w:t>
      </w:r>
    </w:p>
    <w:p w14:paraId="0D494635" w14:textId="0516CD0C" w:rsidR="006B07CF" w:rsidRDefault="006B07CF" w:rsidP="006B07CF">
      <w:pPr>
        <w:ind w:left="567" w:right="521"/>
        <w:rPr>
          <w:lang w:eastAsia="x-none"/>
        </w:rPr>
      </w:pPr>
      <w:r>
        <w:rPr>
          <w:lang w:eastAsia="x-none"/>
        </w:rPr>
        <w:fldChar w:fldCharType="begin"/>
      </w:r>
      <w:r w:rsidR="00F40CE2">
        <w:rPr>
          <w:lang w:eastAsia="x-none"/>
        </w:rPr>
        <w:instrText xml:space="preserve"> ADDIN EN.CITE &lt;EndNote&gt;&lt;Cite&gt;&lt;Author&gt;Guinée&lt;/Author&gt;&lt;Year&gt;2002&lt;/Year&gt;&lt;RecNum&gt;42&lt;/RecNum&gt;&lt;DisplayText&gt;(Guinée, 2002)&lt;/DisplayText&gt;&lt;record&gt;&lt;rec-number&gt;42&lt;/rec-number&gt;&lt;foreign-keys&gt;&lt;key app="EN" db-id="tfpv5staxsvs2nexzpp5taewzsvpx0er5fap"&gt;42&lt;/key&gt;&lt;/foreign-keys&gt;&lt;ref-type name="Book"&gt;6&lt;/ref-type&gt;&lt;contributors&gt;&lt;authors&gt;&lt;author&gt;Guinée, J. B.&lt;/author&gt;&lt;/authors&gt;&lt;/contributors&gt;&lt;titles&gt;&lt;title&gt;Handbook on Life Cycle Assessment : Operational Guide to the ISO Standards&lt;/title&gt;&lt;secondary-title&gt;Eco-efficiency in industry and science ; v. 7&lt;/secondary-title&gt;&lt;/titles&gt;&lt;pages&gt;705p.&lt;/pages&gt;&lt;keywords&gt;&lt;keyword&gt;Industrial ecology--Handbooks, manuals, etc&lt;/keyword&gt;&lt;keyword&gt;Product life cycle--Environmental aspects--Handbooks, manuals, etc&lt;/keyword&gt;&lt;keyword&gt;BUSINESS &amp;amp; ECONOMICS / Production &amp;amp; Operations Management&lt;/keyword&gt;&lt;keyword&gt;TECHNOLOGY &amp;amp; ENGINEERING / Industrial Engineering&lt;/keyword&gt;&lt;keyword&gt;TECHNOLOGY &amp;amp; ENGINEERING / Industrial Technology&lt;/keyword&gt;&lt;/keywords&gt;&lt;dates&gt;&lt;year&gt;2002&lt;/year&gt;&lt;/dates&gt;&lt;publisher&gt;Kluwer Academic Publishers&lt;/publisher&gt;&lt;isbn&gt;9781402002281&amp;#xD;9780306480553&lt;/isbn&gt;&lt;work-type&gt;Book&lt;/work-type&gt;&lt;urls&gt;&lt;related-urls&gt;&lt;url&gt;http://search.ebscohost.com/login.aspx?direct=true&amp;amp;db=nlebk&amp;amp;AN=99359&amp;amp;site=ehost-live&amp;amp;scope=site&lt;/url&gt;&lt;/related-urls&gt;&lt;/urls&gt;&lt;remote-database-name&gt;nlebk&lt;/remote-database-name&gt;&lt;remote-database-provider&gt;EBSCOhost&lt;/remote-database-provider&gt;&lt;/record&gt;&lt;/Cite&gt;&lt;/EndNote&gt;</w:instrText>
      </w:r>
      <w:r>
        <w:rPr>
          <w:lang w:eastAsia="x-none"/>
        </w:rPr>
        <w:fldChar w:fldCharType="separate"/>
      </w:r>
      <w:r w:rsidR="00F40CE2">
        <w:rPr>
          <w:noProof/>
          <w:lang w:eastAsia="x-none"/>
        </w:rPr>
        <w:t>(</w:t>
      </w:r>
      <w:hyperlink w:anchor="_ENREF_41" w:tooltip="Guinée, 2002 #42" w:history="1">
        <w:r w:rsidR="00F40CE2">
          <w:rPr>
            <w:noProof/>
            <w:lang w:eastAsia="x-none"/>
          </w:rPr>
          <w:t>Guinée, 2002</w:t>
        </w:r>
      </w:hyperlink>
      <w:r w:rsidR="00F40CE2">
        <w:rPr>
          <w:noProof/>
          <w:lang w:eastAsia="x-none"/>
        </w:rPr>
        <w:t>)</w:t>
      </w:r>
      <w:r>
        <w:rPr>
          <w:lang w:eastAsia="x-none"/>
        </w:rPr>
        <w:fldChar w:fldCharType="end"/>
      </w:r>
    </w:p>
    <w:p w14:paraId="0D494636" w14:textId="4318ED0E" w:rsidR="006B07CF" w:rsidRDefault="006B07CF" w:rsidP="006B07CF">
      <w:pPr>
        <w:rPr>
          <w:lang w:eastAsia="x-none"/>
        </w:rPr>
      </w:pPr>
      <w:r>
        <w:rPr>
          <w:lang w:eastAsia="x-none"/>
        </w:rPr>
        <w:t xml:space="preserve">The above quote from </w:t>
      </w:r>
      <w:r>
        <w:rPr>
          <w:lang w:eastAsia="x-none"/>
        </w:rPr>
        <w:fldChar w:fldCharType="begin"/>
      </w:r>
      <w:r w:rsidR="00F40CE2">
        <w:rPr>
          <w:lang w:eastAsia="x-none"/>
        </w:rPr>
        <w:instrText xml:space="preserve"> ADDIN EN.CITE &lt;EndNote&gt;&lt;Cite&gt;&lt;Author&gt;Guinée&lt;/Author&gt;&lt;Year&gt;2002&lt;/Year&gt;&lt;RecNum&gt;42&lt;/RecNum&gt;&lt;DisplayText&gt;(Guinée, 2002)&lt;/DisplayText&gt;&lt;record&gt;&lt;rec-number&gt;42&lt;/rec-number&gt;&lt;foreign-keys&gt;&lt;key app="EN" db-id="tfpv5staxsvs2nexzpp5taewzsvpx0er5fap"&gt;42&lt;/key&gt;&lt;/foreign-keys&gt;&lt;ref-type name="Book"&gt;6&lt;/ref-type&gt;&lt;contributors&gt;&lt;authors&gt;&lt;author&gt;Guinée, J. B.&lt;/author&gt;&lt;/authors&gt;&lt;/contributors&gt;&lt;titles&gt;&lt;title&gt;Handbook on Life Cycle Assessment : Operational Guide to the ISO Standards&lt;/title&gt;&lt;secondary-title&gt;Eco-efficiency in industry and science ; v. 7&lt;/secondary-title&gt;&lt;/titles&gt;&lt;pages&gt;705p.&lt;/pages&gt;&lt;keywords&gt;&lt;keyword&gt;Industrial ecology--Handbooks, manuals, etc&lt;/keyword&gt;&lt;keyword&gt;Product life cycle--Environmental aspects--Handbooks, manuals, etc&lt;/keyword&gt;&lt;keyword&gt;BUSINESS &amp;amp; ECONOMICS / Production &amp;amp; Operations Management&lt;/keyword&gt;&lt;keyword&gt;TECHNOLOGY &amp;amp; ENGINEERING / Industrial Engineering&lt;/keyword&gt;&lt;keyword&gt;TECHNOLOGY &amp;amp; ENGINEERING / Industrial Technology&lt;/keyword&gt;&lt;/keywords&gt;&lt;dates&gt;&lt;year&gt;2002&lt;/year&gt;&lt;/dates&gt;&lt;publisher&gt;Kluwer Academic Publishers&lt;/publisher&gt;&lt;isbn&gt;9781402002281&amp;#xD;9780306480553&lt;/isbn&gt;&lt;work-type&gt;Book&lt;/work-type&gt;&lt;urls&gt;&lt;related-urls&gt;&lt;url&gt;http://search.ebscohost.com/login.aspx?direct=true&amp;amp;db=nlebk&amp;amp;AN=99359&amp;amp;site=ehost-live&amp;amp;scope=site&lt;/url&gt;&lt;/related-urls&gt;&lt;/urls&gt;&lt;remote-database-name&gt;nlebk&lt;/remote-database-name&gt;&lt;remote-database-provider&gt;EBSCOhost&lt;/remote-database-provider&gt;&lt;/record&gt;&lt;/Cite&gt;&lt;/EndNote&gt;</w:instrText>
      </w:r>
      <w:r>
        <w:rPr>
          <w:lang w:eastAsia="x-none"/>
        </w:rPr>
        <w:fldChar w:fldCharType="separate"/>
      </w:r>
      <w:r w:rsidR="00F40CE2">
        <w:rPr>
          <w:noProof/>
          <w:lang w:eastAsia="x-none"/>
        </w:rPr>
        <w:t>(</w:t>
      </w:r>
      <w:hyperlink w:anchor="_ENREF_41" w:tooltip="Guinée, 2002 #42" w:history="1">
        <w:r w:rsidR="00F40CE2">
          <w:rPr>
            <w:noProof/>
            <w:lang w:eastAsia="x-none"/>
          </w:rPr>
          <w:t>Guinée, 2002</w:t>
        </w:r>
      </w:hyperlink>
      <w:r w:rsidR="00F40CE2">
        <w:rPr>
          <w:noProof/>
          <w:lang w:eastAsia="x-none"/>
        </w:rPr>
        <w:t>)</w:t>
      </w:r>
      <w:r>
        <w:rPr>
          <w:lang w:eastAsia="x-none"/>
        </w:rPr>
        <w:fldChar w:fldCharType="end"/>
      </w:r>
      <w:r>
        <w:rPr>
          <w:lang w:eastAsia="x-none"/>
        </w:rPr>
        <w:t xml:space="preserve">, illustrates the power of LCA to analyse the impacts of the recycling system. The multifaceted nature of the recycling system means that any assessment approach must look across multiple processes and consider impacts that occur at different points in a product life cycle. For these and other reasons, the LCA method is considered a good tool for assessing the impact of recycling in a holistic and objective manner. </w:t>
      </w:r>
      <w:r>
        <w:rPr>
          <w:lang w:eastAsia="x-none"/>
        </w:rPr>
        <w:fldChar w:fldCharType="begin"/>
      </w:r>
      <w:r w:rsidR="00F40CE2">
        <w:rPr>
          <w:lang w:eastAsia="x-none"/>
        </w:rPr>
        <w:instrText xml:space="preserve"> ADDIN EN.CITE &lt;EndNote&gt;&lt;Cite&gt;&lt;Author&gt;Guinée&lt;/Author&gt;&lt;Year&gt;2002&lt;/Year&gt;&lt;RecNum&gt;42&lt;/RecNum&gt;&lt;DisplayText&gt;(Guinée, 2002)&lt;/DisplayText&gt;&lt;record&gt;&lt;rec-number&gt;42&lt;/rec-number&gt;&lt;foreign-keys&gt;&lt;key app="EN" db-id="tfpv5staxsvs2nexzpp5taewzsvpx0er5fap"&gt;42&lt;/key&gt;&lt;/foreign-keys&gt;&lt;ref-type name="Book"&gt;6&lt;/ref-type&gt;&lt;contributors&gt;&lt;authors&gt;&lt;author&gt;Guinée, J. B.&lt;/author&gt;&lt;/authors&gt;&lt;/contributors&gt;&lt;titles&gt;&lt;title&gt;Handbook on Life Cycle Assessment : Operational Guide to the ISO Standards&lt;/title&gt;&lt;secondary-title&gt;Eco-efficiency in industry and science ; v. 7&lt;/secondary-title&gt;&lt;/titles&gt;&lt;pages&gt;705p.&lt;/pages&gt;&lt;keywords&gt;&lt;keyword&gt;Industrial ecology--Handbooks, manuals, etc&lt;/keyword&gt;&lt;keyword&gt;Product life cycle--Environmental aspects--Handbooks, manuals, etc&lt;/keyword&gt;&lt;keyword&gt;BUSINESS &amp;amp; ECONOMICS / Production &amp;amp; Operations Management&lt;/keyword&gt;&lt;keyword&gt;TECHNOLOGY &amp;amp; ENGINEERING / Industrial Engineering&lt;/keyword&gt;&lt;keyword&gt;TECHNOLOGY &amp;amp; ENGINEERING / Industrial Technology&lt;/keyword&gt;&lt;/keywords&gt;&lt;dates&gt;&lt;year&gt;2002&lt;/year&gt;&lt;/dates&gt;&lt;publisher&gt;Kluwer Academic Publishers&lt;/publisher&gt;&lt;isbn&gt;9781402002281&amp;#xD;9780306480553&lt;/isbn&gt;&lt;work-type&gt;Book&lt;/work-type&gt;&lt;urls&gt;&lt;related-urls&gt;&lt;url&gt;http://search.ebscohost.com/login.aspx?direct=true&amp;amp;db=nlebk&amp;amp;AN=99359&amp;amp;site=ehost-live&amp;amp;scope=site&lt;/url&gt;&lt;/related-urls&gt;&lt;/urls&gt;&lt;remote-database-name&gt;nlebk&lt;/remote-database-name&gt;&lt;remote-database-provider&gt;EBSCOhost&lt;/remote-database-provider&gt;&lt;/record&gt;&lt;/Cite&gt;&lt;/EndNote&gt;</w:instrText>
      </w:r>
      <w:r>
        <w:rPr>
          <w:lang w:eastAsia="x-none"/>
        </w:rPr>
        <w:fldChar w:fldCharType="separate"/>
      </w:r>
      <w:r w:rsidR="00F40CE2">
        <w:rPr>
          <w:noProof/>
          <w:lang w:eastAsia="x-none"/>
        </w:rPr>
        <w:t>(</w:t>
      </w:r>
      <w:hyperlink w:anchor="_ENREF_41" w:tooltip="Guinée, 2002 #42" w:history="1">
        <w:r w:rsidR="00F40CE2">
          <w:rPr>
            <w:noProof/>
            <w:lang w:eastAsia="x-none"/>
          </w:rPr>
          <w:t>Guinée, 2002</w:t>
        </w:r>
      </w:hyperlink>
      <w:r w:rsidR="00F40CE2">
        <w:rPr>
          <w:noProof/>
          <w:lang w:eastAsia="x-none"/>
        </w:rPr>
        <w:t>)</w:t>
      </w:r>
      <w:r>
        <w:rPr>
          <w:lang w:eastAsia="x-none"/>
        </w:rPr>
        <w:fldChar w:fldCharType="end"/>
      </w:r>
      <w:r>
        <w:rPr>
          <w:lang w:eastAsia="x-none"/>
        </w:rPr>
        <w:t xml:space="preserve"> refers specifically to the assessment of waste management options as an appropriate use of LCA (p.7.).</w:t>
      </w:r>
    </w:p>
    <w:p w14:paraId="0D494637" w14:textId="77777777" w:rsidR="006B07CF" w:rsidRDefault="006B07CF" w:rsidP="006B07CF">
      <w:pPr>
        <w:rPr>
          <w:lang w:eastAsia="x-none"/>
        </w:rPr>
      </w:pPr>
      <w:r>
        <w:rPr>
          <w:lang w:eastAsia="x-none"/>
        </w:rPr>
        <w:t>Although an appropriate tool for assessing the environmental impacts of recycling, LCA is not without its limitations. Of these, the allocation protocol (to deal with process which have multiple inputs and/or multiple outputs) used within an LCA can be a source of subjectivity, therefore clear rules are presented in the ISO standard that govern how allocation should be applied. Within ISO14044:2006 (section 4.3.4.3), recycling is addressed directly under the topic of allocation. In summary, the standard requires that allocation be avoided where possible, and that “Changes in the inherent properties of materials shall be taken into account” (ISO14044:2006), and that clear explanation of the system boundary between “original and subsequent” product system be provided.</w:t>
      </w:r>
    </w:p>
    <w:p w14:paraId="0D494638" w14:textId="77777777" w:rsidR="006B07CF" w:rsidRDefault="006B07CF" w:rsidP="009E73CF">
      <w:pPr>
        <w:pStyle w:val="Heading2"/>
        <w:numPr>
          <w:ilvl w:val="1"/>
          <w:numId w:val="31"/>
        </w:numPr>
        <w:ind w:left="426"/>
      </w:pPr>
      <w:bookmarkStart w:id="356" w:name="_Ref337208342"/>
      <w:bookmarkStart w:id="357" w:name="_Toc433964599"/>
      <w:r>
        <w:t>Allocation and partitioning</w:t>
      </w:r>
      <w:bookmarkEnd w:id="356"/>
      <w:bookmarkEnd w:id="357"/>
    </w:p>
    <w:p w14:paraId="0D494639" w14:textId="5442E3D4" w:rsidR="006B07CF" w:rsidRDefault="006B07CF" w:rsidP="006B07CF">
      <w:pPr>
        <w:rPr>
          <w:lang w:eastAsia="x-none"/>
        </w:rPr>
      </w:pPr>
      <w:r>
        <w:rPr>
          <w:lang w:eastAsia="x-none"/>
        </w:rPr>
        <w:t xml:space="preserve">Typically, partitioning problems pervade the study of products rather than systems, where impacts have to be allocated to a particular product in isolation from subsequent products (such as when a glass bottle is recycled at the end of its life). For example, the model used in Grant et al </w:t>
      </w:r>
      <w:r>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Pr>
          <w:lang w:eastAsia="x-none"/>
        </w:rPr>
        <w:fldChar w:fldCharType="end"/>
      </w:r>
      <w:r>
        <w:rPr>
          <w:lang w:eastAsia="x-none"/>
        </w:rPr>
        <w:t xml:space="preserve"> addressed the impacts needed to reprocess the recyclate to a material equivalent to virgin material. In affect the approach</w:t>
      </w:r>
      <w:r w:rsidRPr="001E2C78">
        <w:rPr>
          <w:lang w:eastAsia="x-none"/>
        </w:rPr>
        <w:t xml:space="preserve"> </w:t>
      </w:r>
      <w:r>
        <w:rPr>
          <w:lang w:eastAsia="x-none"/>
        </w:rPr>
        <w:t xml:space="preserve">used in Grant et al </w:t>
      </w:r>
      <w:r>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Pr>
          <w:lang w:eastAsia="x-none"/>
        </w:rPr>
        <w:fldChar w:fldCharType="end"/>
      </w:r>
      <w:r>
        <w:rPr>
          <w:lang w:eastAsia="x-none"/>
        </w:rPr>
        <w:t xml:space="preserve"> is a ‘closed loop’ model of reprocessing. This approach may be valid, however alternative approaches exist that will need to be considered.</w:t>
      </w:r>
    </w:p>
    <w:p w14:paraId="0D49463A" w14:textId="100886EF" w:rsidR="006B07CF" w:rsidRDefault="006B07CF" w:rsidP="006B07CF">
      <w:pPr>
        <w:rPr>
          <w:lang w:eastAsia="x-none"/>
        </w:rPr>
      </w:pPr>
      <w:r w:rsidRPr="0091538B">
        <w:rPr>
          <w:lang w:eastAsia="x-none"/>
        </w:rPr>
        <w:t xml:space="preserve">Ekvall and Tillman </w:t>
      </w:r>
      <w:r>
        <w:rPr>
          <w:lang w:eastAsia="x-none"/>
        </w:rPr>
        <w:fldChar w:fldCharType="begin"/>
      </w:r>
      <w:r>
        <w:rPr>
          <w:lang w:eastAsia="x-none"/>
        </w:rPr>
        <w:instrText xml:space="preserve"> ADDIN EN.CITE &lt;EndNote&gt;&lt;Cite ExcludeAuth="1"&gt;&lt;Author&gt;Ekvall&lt;/Author&gt;&lt;Year&gt;1997&lt;/Year&gt;&lt;RecNum&gt;44&lt;/RecNum&gt;&lt;DisplayText&gt;(1997)&lt;/DisplayText&gt;&lt;record&gt;&lt;rec-number&gt;44&lt;/rec-number&gt;&lt;foreign-keys&gt;&lt;key app="EN" db-id="tfpv5staxsvs2nexzpp5taewzsvpx0er5fap"&gt;44&lt;/key&gt;&lt;/foreign-keys&gt;&lt;ref-type name="Journal Article"&gt;17&lt;/ref-type&gt;&lt;contributors&gt;&lt;authors&gt;&lt;author&gt;Ekvall, T.&lt;/author&gt;&lt;author&gt;Tillman, A. M.&lt;/author&gt;&lt;/authors&gt;&lt;/contributors&gt;&lt;titles&gt;&lt;title&gt;Open-loop recycling: Criteria for allocation procedures&lt;/title&gt;&lt;secondary-title&gt;International Journal of Life Cycle Assessment&lt;/secondary-title&gt;&lt;/titles&gt;&lt;periodical&gt;&lt;full-title&gt;International Journal of Life Cycle Assessment&lt;/full-title&gt;&lt;/periodical&gt;&lt;pages&gt;155-162&lt;/pages&gt;&lt;volume&gt;2&lt;/volume&gt;&lt;number&gt;3&lt;/number&gt;&lt;dates&gt;&lt;year&gt;1997&lt;/year&gt;&lt;pub-dates&gt;&lt;date&gt;//&lt;/date&gt;&lt;/pub-dates&gt;&lt;/dates&gt;&lt;urls&gt;&lt;related-urls&gt;&lt;url&gt;http://www.scopus.com/inward/record.url?eid=2-s2.0-0001009515&amp;amp;partnerID=40&amp;amp;md5=65e06883f469af2218176474c7d80c8e&lt;/url&gt;&lt;/related-urls&gt;&lt;/urls&gt;&lt;/record&gt;&lt;/Cite&gt;&lt;/EndNote&gt;</w:instrText>
      </w:r>
      <w:r>
        <w:rPr>
          <w:lang w:eastAsia="x-none"/>
        </w:rPr>
        <w:fldChar w:fldCharType="separate"/>
      </w:r>
      <w:r>
        <w:rPr>
          <w:noProof/>
          <w:lang w:eastAsia="x-none"/>
        </w:rPr>
        <w:t>(</w:t>
      </w:r>
      <w:hyperlink w:anchor="_ENREF_19" w:tooltip="Ekvall, 1997 #44" w:history="1">
        <w:r w:rsidR="00F40CE2">
          <w:rPr>
            <w:noProof/>
            <w:lang w:eastAsia="x-none"/>
          </w:rPr>
          <w:t>1997</w:t>
        </w:r>
      </w:hyperlink>
      <w:r>
        <w:rPr>
          <w:noProof/>
          <w:lang w:eastAsia="x-none"/>
        </w:rPr>
        <w:t>)</w:t>
      </w:r>
      <w:r>
        <w:rPr>
          <w:lang w:eastAsia="x-none"/>
        </w:rPr>
        <w:fldChar w:fldCharType="end"/>
      </w:r>
      <w:r>
        <w:rPr>
          <w:lang w:eastAsia="x-none"/>
        </w:rPr>
        <w:t xml:space="preserve">, provide a basis for making the allocation decision that helps navigate the allocation procedure selection, with the essential conclusion being “use a logical approach, consistent with the study goal" when dealing with allocation in open-loop recycling (SETAC 1993)” </w:t>
      </w:r>
      <w:r>
        <w:rPr>
          <w:lang w:eastAsia="x-none"/>
        </w:rPr>
        <w:fldChar w:fldCharType="begin"/>
      </w:r>
      <w:r w:rsidR="00F40CE2">
        <w:rPr>
          <w:lang w:eastAsia="x-none"/>
        </w:rPr>
        <w:instrText xml:space="preserve"> ADDIN EN.CITE &lt;EndNote&gt;&lt;Cite&gt;&lt;Author&gt;Ekvall&lt;/Author&gt;&lt;Year&gt;1997&lt;/Year&gt;&lt;RecNum&gt;44&lt;/RecNum&gt;&lt;DisplayText&gt;(Ekvall and Tillman, 1997)&lt;/DisplayText&gt;&lt;record&gt;&lt;rec-number&gt;44&lt;/rec-number&gt;&lt;foreign-keys&gt;&lt;key app="EN" db-id="tfpv5staxsvs2nexzpp5taewzsvpx0er5fap"&gt;44&lt;/key&gt;&lt;/foreign-keys&gt;&lt;ref-type name="Journal Article"&gt;17&lt;/ref-type&gt;&lt;contributors&gt;&lt;authors&gt;&lt;author&gt;Ekvall, T.&lt;/author&gt;&lt;author&gt;Tillman, A. M.&lt;/author&gt;&lt;/authors&gt;&lt;/contributors&gt;&lt;titles&gt;&lt;title&gt;Open-loop recycling: Criteria for allocation procedures&lt;/title&gt;&lt;secondary-title&gt;International Journal of Life Cycle Assessment&lt;/secondary-title&gt;&lt;/titles&gt;&lt;periodical&gt;&lt;full-title&gt;International Journal of Life Cycle Assessment&lt;/full-title&gt;&lt;/periodical&gt;&lt;pages&gt;155-162&lt;/pages&gt;&lt;volume&gt;2&lt;/volume&gt;&lt;number&gt;3&lt;/number&gt;&lt;dates&gt;&lt;year&gt;1997&lt;/year&gt;&lt;pub-dates&gt;&lt;date&gt;//&lt;/date&gt;&lt;/pub-dates&gt;&lt;/dates&gt;&lt;urls&gt;&lt;related-urls&gt;&lt;url&gt;http://www.scopus.com/inward/record.url?eid=2-s2.0-0001009515&amp;amp;partnerID=40&amp;amp;md5=65e06883f469af2218176474c7d80c8e&lt;/url&gt;&lt;/related-urls&gt;&lt;/urls&gt;&lt;/record&gt;&lt;/Cite&gt;&lt;/EndNote&gt;</w:instrText>
      </w:r>
      <w:r>
        <w:rPr>
          <w:lang w:eastAsia="x-none"/>
        </w:rPr>
        <w:fldChar w:fldCharType="separate"/>
      </w:r>
      <w:r w:rsidR="00F40CE2">
        <w:rPr>
          <w:noProof/>
          <w:lang w:eastAsia="x-none"/>
        </w:rPr>
        <w:t>(</w:t>
      </w:r>
      <w:hyperlink w:anchor="_ENREF_19" w:tooltip="Ekvall, 1997 #44" w:history="1">
        <w:r w:rsidR="00F40CE2">
          <w:rPr>
            <w:noProof/>
            <w:lang w:eastAsia="x-none"/>
          </w:rPr>
          <w:t>Ekvall and Tillman, 1997</w:t>
        </w:r>
      </w:hyperlink>
      <w:r w:rsidR="00F40CE2">
        <w:rPr>
          <w:noProof/>
          <w:lang w:eastAsia="x-none"/>
        </w:rPr>
        <w:t>)</w:t>
      </w:r>
      <w:r>
        <w:rPr>
          <w:lang w:eastAsia="x-none"/>
        </w:rPr>
        <w:fldChar w:fldCharType="end"/>
      </w:r>
      <w:r>
        <w:rPr>
          <w:lang w:eastAsia="x-none"/>
        </w:rPr>
        <w:t>. They argue that more than one approach is valid and it is the consistency with the goals of the study that should determine selection. In this study, allocation procedures will be argued within this context.</w:t>
      </w:r>
    </w:p>
    <w:p w14:paraId="0D49463B" w14:textId="77777777" w:rsidR="006B07CF" w:rsidRDefault="006B07CF" w:rsidP="009E73CF">
      <w:pPr>
        <w:pStyle w:val="Heading2"/>
        <w:numPr>
          <w:ilvl w:val="1"/>
          <w:numId w:val="31"/>
        </w:numPr>
        <w:ind w:left="426"/>
      </w:pPr>
      <w:bookmarkStart w:id="358" w:name="_Ref337552643"/>
      <w:bookmarkStart w:id="359" w:name="_Toc433964600"/>
      <w:r w:rsidRPr="006B07CF">
        <w:t>Consequential versus attributional perspectives</w:t>
      </w:r>
      <w:bookmarkEnd w:id="358"/>
      <w:bookmarkEnd w:id="359"/>
    </w:p>
    <w:p w14:paraId="0D49463C" w14:textId="77777777" w:rsidR="006B07CF" w:rsidRDefault="006B07CF" w:rsidP="006B07CF">
      <w:pPr>
        <w:rPr>
          <w:lang w:eastAsia="x-none"/>
        </w:rPr>
      </w:pPr>
      <w:r>
        <w:rPr>
          <w:lang w:eastAsia="x-none"/>
        </w:rPr>
        <w:t>In addition to, and stemming from, the allocation challenge, the perspective from which the LCA is compiled is important. LCA’s are typically compiled from a largely attributional standpoint, from which the existing impacts of the system are allocated to the unit processes that make up the system. This is in contrast to the consequential approach which seeks to understand how a system will respond to a change in system operation. The attributional perspective is typified by a retrospective viewpoint and assumed that all future impacts will be the same as the past, whereas the consequential perspective is considered a prospective view, where future impacts will be different to the past.</w:t>
      </w:r>
    </w:p>
    <w:p w14:paraId="0D49463D" w14:textId="51A09BDD" w:rsidR="006B07CF" w:rsidRDefault="006B07CF" w:rsidP="006B07CF">
      <w:pPr>
        <w:rPr>
          <w:lang w:eastAsia="x-none"/>
        </w:rPr>
      </w:pPr>
      <w:r>
        <w:rPr>
          <w:lang w:eastAsia="x-none"/>
        </w:rPr>
        <w:lastRenderedPageBreak/>
        <w:t xml:space="preserve">The conceptual difference between attributional and consequential LCA, as outlined by Weidema </w:t>
      </w:r>
      <w:r>
        <w:rPr>
          <w:lang w:eastAsia="x-none"/>
        </w:rPr>
        <w:fldChar w:fldCharType="begin"/>
      </w:r>
      <w:r>
        <w:rPr>
          <w:lang w:eastAsia="x-none"/>
        </w:rPr>
        <w:instrText xml:space="preserve"> ADDIN EN.CITE &lt;EndNote&gt;&lt;Cite ExcludeAuth="1"&gt;&lt;Author&gt;Weidema&lt;/Author&gt;&lt;Year&gt;2003&lt;/Year&gt;&lt;RecNum&gt;45&lt;/RecNum&gt;&lt;DisplayText&gt;(2003)&lt;/DisplayText&gt;&lt;record&gt;&lt;rec-number&gt;45&lt;/rec-number&gt;&lt;foreign-keys&gt;&lt;key app="EN" db-id="tfpv5staxsvs2nexzpp5taewzsvpx0er5fap"&gt;45&lt;/key&gt;&lt;/foreign-keys&gt;&lt;ref-type name="Book"&gt;6&lt;/ref-type&gt;&lt;contributors&gt;&lt;authors&gt;&lt;author&gt;B. Weidema&lt;/author&gt;&lt;/authors&gt;&lt;/contributors&gt;&lt;titles&gt;&lt;title&gt;Environmental Project No. 863 - Market Information in Life Cycle Assessment&lt;/title&gt;&lt;/titles&gt;&lt;dates&gt;&lt;year&gt;2003&lt;/year&gt;&lt;/dates&gt;&lt;pub-location&gt;Denmark&lt;/pub-location&gt;&lt;publisher&gt;Danish Environmental Protection Agency&lt;/publisher&gt;&lt;urls&gt;&lt;/urls&gt;&lt;/record&gt;&lt;/Cite&gt;&lt;/EndNote&gt;</w:instrText>
      </w:r>
      <w:r>
        <w:rPr>
          <w:lang w:eastAsia="x-none"/>
        </w:rPr>
        <w:fldChar w:fldCharType="separate"/>
      </w:r>
      <w:r>
        <w:rPr>
          <w:noProof/>
          <w:lang w:eastAsia="x-none"/>
        </w:rPr>
        <w:t>(</w:t>
      </w:r>
      <w:hyperlink w:anchor="_ENREF_84" w:tooltip="Weidema, 2003 #45" w:history="1">
        <w:r w:rsidR="00F40CE2">
          <w:rPr>
            <w:noProof/>
            <w:lang w:eastAsia="x-none"/>
          </w:rPr>
          <w:t>2003</w:t>
        </w:r>
      </w:hyperlink>
      <w:r>
        <w:rPr>
          <w:noProof/>
          <w:lang w:eastAsia="x-none"/>
        </w:rPr>
        <w:t>)</w:t>
      </w:r>
      <w:r>
        <w:rPr>
          <w:lang w:eastAsia="x-none"/>
        </w:rPr>
        <w:fldChar w:fldCharType="end"/>
      </w:r>
      <w:r>
        <w:rPr>
          <w:lang w:eastAsia="x-none"/>
        </w:rPr>
        <w:t xml:space="preserve">, is provided in </w:t>
      </w:r>
      <w:r>
        <w:rPr>
          <w:lang w:eastAsia="x-none"/>
        </w:rPr>
        <w:fldChar w:fldCharType="begin"/>
      </w:r>
      <w:r>
        <w:rPr>
          <w:lang w:eastAsia="x-none"/>
        </w:rPr>
        <w:instrText xml:space="preserve"> REF _Ref337723148 \h </w:instrText>
      </w:r>
      <w:r>
        <w:rPr>
          <w:lang w:eastAsia="x-none"/>
        </w:rPr>
      </w:r>
      <w:r>
        <w:rPr>
          <w:lang w:eastAsia="x-none"/>
        </w:rPr>
        <w:fldChar w:fldCharType="separate"/>
      </w:r>
      <w:r w:rsidR="00564E5C" w:rsidRPr="00DB06F9">
        <w:t xml:space="preserve">Figure </w:t>
      </w:r>
      <w:r w:rsidR="00564E5C">
        <w:rPr>
          <w:noProof/>
        </w:rPr>
        <w:t>3</w:t>
      </w:r>
      <w:r>
        <w:rPr>
          <w:lang w:eastAsia="x-none"/>
        </w:rPr>
        <w:fldChar w:fldCharType="end"/>
      </w:r>
      <w:r>
        <w:rPr>
          <w:lang w:eastAsia="x-none"/>
        </w:rPr>
        <w:t>. The two circles represent the total global environmental exchanges. In the left circle, attributional LCA seeks to cut out the piece with dotted lines that belongs to a specific human activity, e.g. car driving. In the right circle, consequential LCA seeks to capture the change in environmental exchanges that occur as a consequence of adding or removing a specific human activity (e.g. the additional amount of road needed for one additional car).</w:t>
      </w:r>
    </w:p>
    <w:p w14:paraId="0D49463E" w14:textId="3BF9BC09" w:rsidR="006B07CF" w:rsidRDefault="006B07CF" w:rsidP="006B07CF">
      <w:pPr>
        <w:rPr>
          <w:lang w:eastAsia="x-none"/>
        </w:rPr>
      </w:pPr>
      <w:r>
        <w:rPr>
          <w:lang w:eastAsia="x-none"/>
        </w:rPr>
        <w:t xml:space="preserve">The consequential LCI methodology described in Weidema’s </w:t>
      </w:r>
      <w:r>
        <w:rPr>
          <w:lang w:eastAsia="x-none"/>
        </w:rPr>
        <w:fldChar w:fldCharType="begin"/>
      </w:r>
      <w:r>
        <w:rPr>
          <w:lang w:eastAsia="x-none"/>
        </w:rPr>
        <w:instrText xml:space="preserve"> ADDIN EN.CITE &lt;EndNote&gt;&lt;Cite ExcludeAuth="1"&gt;&lt;Author&gt;Weidema&lt;/Author&gt;&lt;Year&gt;2003&lt;/Year&gt;&lt;RecNum&gt;45&lt;/RecNum&gt;&lt;DisplayText&gt;(2003)&lt;/DisplayText&gt;&lt;record&gt;&lt;rec-number&gt;45&lt;/rec-number&gt;&lt;foreign-keys&gt;&lt;key app="EN" db-id="tfpv5staxsvs2nexzpp5taewzsvpx0er5fap"&gt;45&lt;/key&gt;&lt;/foreign-keys&gt;&lt;ref-type name="Book"&gt;6&lt;/ref-type&gt;&lt;contributors&gt;&lt;authors&gt;&lt;author&gt;B. Weidema&lt;/author&gt;&lt;/authors&gt;&lt;/contributors&gt;&lt;titles&gt;&lt;title&gt;Environmental Project No. 863 - Market Information in Life Cycle Assessment&lt;/title&gt;&lt;/titles&gt;&lt;dates&gt;&lt;year&gt;2003&lt;/year&gt;&lt;/dates&gt;&lt;pub-location&gt;Denmark&lt;/pub-location&gt;&lt;publisher&gt;Danish Environmental Protection Agency&lt;/publisher&gt;&lt;urls&gt;&lt;/urls&gt;&lt;/record&gt;&lt;/Cite&gt;&lt;/EndNote&gt;</w:instrText>
      </w:r>
      <w:r>
        <w:rPr>
          <w:lang w:eastAsia="x-none"/>
        </w:rPr>
        <w:fldChar w:fldCharType="separate"/>
      </w:r>
      <w:r>
        <w:rPr>
          <w:noProof/>
          <w:lang w:eastAsia="x-none"/>
        </w:rPr>
        <w:t>(</w:t>
      </w:r>
      <w:hyperlink w:anchor="_ENREF_84" w:tooltip="Weidema, 2003 #45" w:history="1">
        <w:r w:rsidR="00F40CE2">
          <w:rPr>
            <w:noProof/>
            <w:lang w:eastAsia="x-none"/>
          </w:rPr>
          <w:t>2003</w:t>
        </w:r>
      </w:hyperlink>
      <w:r>
        <w:rPr>
          <w:noProof/>
          <w:lang w:eastAsia="x-none"/>
        </w:rPr>
        <w:t>)</w:t>
      </w:r>
      <w:r>
        <w:rPr>
          <w:lang w:eastAsia="x-none"/>
        </w:rPr>
        <w:fldChar w:fldCharType="end"/>
      </w:r>
      <w:r>
        <w:rPr>
          <w:lang w:eastAsia="x-none"/>
        </w:rPr>
        <w:t xml:space="preserve"> paper aims to describe how the environmentally relevant physical flows to and from the technological system will change in response to possible changes in the life cycle. We distinguish it from attributional LCI methodology, which aims at describing the environmentally relevant physical flows to and from a life cycle and its subsystems. A consequential LCI methodology is designed to generate information on the consequences of actions </w:t>
      </w:r>
      <w:r>
        <w:rPr>
          <w:lang w:eastAsia="x-none"/>
        </w:rPr>
        <w:fldChar w:fldCharType="begin"/>
      </w:r>
      <w:r w:rsidR="00F40CE2">
        <w:rPr>
          <w:lang w:eastAsia="x-none"/>
        </w:rPr>
        <w:instrText xml:space="preserve"> ADDIN EN.CITE &lt;EndNote&gt;&lt;Cite&gt;&lt;Author&gt;Weidema&lt;/Author&gt;&lt;Year&gt;2003&lt;/Year&gt;&lt;RecNum&gt;45&lt;/RecNum&gt;&lt;DisplayText&gt;(Weidema, 2003)&lt;/DisplayText&gt;&lt;record&gt;&lt;rec-number&gt;45&lt;/rec-number&gt;&lt;foreign-keys&gt;&lt;key app="EN" db-id="tfpv5staxsvs2nexzpp5taewzsvpx0er5fap"&gt;45&lt;/key&gt;&lt;/foreign-keys&gt;&lt;ref-type name="Book"&gt;6&lt;/ref-type&gt;&lt;contributors&gt;&lt;authors&gt;&lt;author&gt;B. Weidema&lt;/author&gt;&lt;/authors&gt;&lt;/contributors&gt;&lt;titles&gt;&lt;title&gt;Environmental Project No. 863 - Market Information in Life Cycle Assessment&lt;/title&gt;&lt;/titles&gt;&lt;dates&gt;&lt;year&gt;2003&lt;/year&gt;&lt;/dates&gt;&lt;pub-location&gt;Denmark&lt;/pub-location&gt;&lt;publisher&gt;Danish Environmental Protection Agency&lt;/publisher&gt;&lt;urls&gt;&lt;/urls&gt;&lt;/record&gt;&lt;/Cite&gt;&lt;/EndNote&gt;</w:instrText>
      </w:r>
      <w:r>
        <w:rPr>
          <w:lang w:eastAsia="x-none"/>
        </w:rPr>
        <w:fldChar w:fldCharType="separate"/>
      </w:r>
      <w:r w:rsidR="00F40CE2">
        <w:rPr>
          <w:noProof/>
          <w:lang w:eastAsia="x-none"/>
        </w:rPr>
        <w:t>(</w:t>
      </w:r>
      <w:hyperlink w:anchor="_ENREF_84" w:tooltip="Weidema, 2003 #45" w:history="1">
        <w:r w:rsidR="00F40CE2">
          <w:rPr>
            <w:noProof/>
            <w:lang w:eastAsia="x-none"/>
          </w:rPr>
          <w:t>Weidema, 2003</w:t>
        </w:r>
      </w:hyperlink>
      <w:r w:rsidR="00F40CE2">
        <w:rPr>
          <w:noProof/>
          <w:lang w:eastAsia="x-none"/>
        </w:rPr>
        <w:t>)</w:t>
      </w:r>
      <w:r>
        <w:rPr>
          <w:lang w:eastAsia="x-none"/>
        </w:rPr>
        <w:fldChar w:fldCharType="end"/>
      </w:r>
      <w:r>
        <w:rPr>
          <w:lang w:eastAsia="x-none"/>
        </w:rPr>
        <w:t>.</w:t>
      </w:r>
    </w:p>
    <w:p w14:paraId="0D49463F" w14:textId="77777777" w:rsidR="006B07CF" w:rsidRDefault="006B07CF" w:rsidP="006B07CF">
      <w:pPr>
        <w:keepNext/>
        <w:jc w:val="center"/>
        <w:rPr>
          <w:lang w:eastAsia="x-none"/>
        </w:rPr>
      </w:pPr>
      <w:r>
        <w:rPr>
          <w:noProof/>
        </w:rPr>
        <w:drawing>
          <wp:inline distT="0" distB="0" distL="0" distR="0" wp14:anchorId="0D494733" wp14:editId="0D494734">
            <wp:extent cx="3971925"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71925" cy="2381250"/>
                    </a:xfrm>
                    <a:prstGeom prst="rect">
                      <a:avLst/>
                    </a:prstGeom>
                    <a:noFill/>
                    <a:ln>
                      <a:noFill/>
                    </a:ln>
                  </pic:spPr>
                </pic:pic>
              </a:graphicData>
            </a:graphic>
          </wp:inline>
        </w:drawing>
      </w:r>
    </w:p>
    <w:p w14:paraId="0D494640" w14:textId="461CCBED" w:rsidR="006B07CF" w:rsidRPr="00DB06F9" w:rsidRDefault="006B07CF" w:rsidP="006B07CF">
      <w:pPr>
        <w:pStyle w:val="Caption"/>
      </w:pPr>
      <w:bookmarkStart w:id="360" w:name="_Ref337723148"/>
      <w:bookmarkStart w:id="361" w:name="_Ref337723136"/>
      <w:r w:rsidRPr="00DB06F9">
        <w:t xml:space="preserve">Figure </w:t>
      </w:r>
      <w:r w:rsidR="00FC7DE2">
        <w:fldChar w:fldCharType="begin"/>
      </w:r>
      <w:r w:rsidR="00FC7DE2">
        <w:instrText xml:space="preserve"> SEQ Figure \* ARABIC </w:instrText>
      </w:r>
      <w:r w:rsidR="00FC7DE2">
        <w:fldChar w:fldCharType="separate"/>
      </w:r>
      <w:r w:rsidR="00564E5C">
        <w:rPr>
          <w:noProof/>
        </w:rPr>
        <w:t>3</w:t>
      </w:r>
      <w:r w:rsidR="00FC7DE2">
        <w:rPr>
          <w:noProof/>
        </w:rPr>
        <w:fldChar w:fldCharType="end"/>
      </w:r>
      <w:bookmarkEnd w:id="360"/>
      <w:r w:rsidRPr="00DB06F9">
        <w:t xml:space="preserve"> Consequential versus attributional perspectives.</w:t>
      </w:r>
      <w:bookmarkEnd w:id="361"/>
      <w:r w:rsidRPr="00DB06F9">
        <w:t xml:space="preserve"> The circles represent the total global environmental exchanges. In the left circle, attributional LCA seeks to cut out the piece with dotted lines that belongs to a specific human activity, e.g. car driving. In the right circle, consequential LCA seeks to capture the change in environmental exchanges that occur as a consequence of adding or removing a specific human activity.”</w:t>
      </w:r>
      <w:r w:rsidRPr="00DB06F9">
        <w:fldChar w:fldCharType="begin"/>
      </w:r>
      <w:r w:rsidR="00F40CE2">
        <w:instrText xml:space="preserve"> ADDIN EN.CITE &lt;EndNote&gt;&lt;Cite&gt;&lt;Author&gt;Weidema&lt;/Author&gt;&lt;Year&gt;2003&lt;/Year&gt;&lt;RecNum&gt;45&lt;/RecNum&gt;&lt;DisplayText&gt;(Weidema, 2003)&lt;/DisplayText&gt;&lt;record&gt;&lt;rec-number&gt;45&lt;/rec-number&gt;&lt;foreign-keys&gt;&lt;key app="EN" db-id="tfpv5staxsvs2nexzpp5taewzsvpx0er5fap"&gt;45&lt;/key&gt;&lt;/foreign-keys&gt;&lt;ref-type name="Book"&gt;6&lt;/ref-type&gt;&lt;contributors&gt;&lt;authors&gt;&lt;author&gt;B. Weidema&lt;/author&gt;&lt;/authors&gt;&lt;/contributors&gt;&lt;titles&gt;&lt;title&gt;Environmental Project No. 863 - Market Information in Life Cycle Assessment&lt;/title&gt;&lt;/titles&gt;&lt;dates&gt;&lt;year&gt;2003&lt;/year&gt;&lt;/dates&gt;&lt;pub-location&gt;Denmark&lt;/pub-location&gt;&lt;publisher&gt;Danish Environmental Protection Agency&lt;/publisher&gt;&lt;urls&gt;&lt;/urls&gt;&lt;/record&gt;&lt;/Cite&gt;&lt;/EndNote&gt;</w:instrText>
      </w:r>
      <w:r w:rsidRPr="00DB06F9">
        <w:fldChar w:fldCharType="separate"/>
      </w:r>
      <w:r w:rsidR="00F40CE2">
        <w:rPr>
          <w:noProof/>
        </w:rPr>
        <w:t>(</w:t>
      </w:r>
      <w:hyperlink w:anchor="_ENREF_84" w:tooltip="Weidema, 2003 #45" w:history="1">
        <w:r w:rsidR="00F40CE2">
          <w:rPr>
            <w:noProof/>
          </w:rPr>
          <w:t>Weidema, 2003</w:t>
        </w:r>
      </w:hyperlink>
      <w:r w:rsidR="00F40CE2">
        <w:rPr>
          <w:noProof/>
        </w:rPr>
        <w:t>)</w:t>
      </w:r>
      <w:r w:rsidRPr="00DB06F9">
        <w:fldChar w:fldCharType="end"/>
      </w:r>
    </w:p>
    <w:p w14:paraId="0D494641" w14:textId="77777777" w:rsidR="006B07CF" w:rsidRDefault="006B07CF" w:rsidP="006B07CF">
      <w:pPr>
        <w:rPr>
          <w:lang w:eastAsia="x-none"/>
        </w:rPr>
      </w:pPr>
      <w:r>
        <w:rPr>
          <w:lang w:eastAsia="x-none"/>
        </w:rPr>
        <w:t>The difference between the consequential and attributional approach is particularly relevant to the assessment of recycling systems, especially where growth in recycling is the desired outcome. The attributional approach assumes that an increase in recycling will result in environmental impacts that are linearly related to the impacts of the current recycling system. The consequential approach does not assume a linear ‘scaling’ of the existing system, but rather explores shifts of behaviour within the system.</w:t>
      </w:r>
    </w:p>
    <w:p w14:paraId="0D494642" w14:textId="07C4B190" w:rsidR="006B07CF" w:rsidRDefault="006B07CF" w:rsidP="006B07CF">
      <w:pPr>
        <w:rPr>
          <w:lang w:eastAsia="x-none"/>
        </w:rPr>
      </w:pPr>
      <w:r>
        <w:rPr>
          <w:lang w:eastAsia="x-none"/>
        </w:rPr>
        <w:t xml:space="preserve">Both approaches have their limitations which </w:t>
      </w:r>
      <w:r>
        <w:rPr>
          <w:lang w:eastAsia="x-none"/>
        </w:rPr>
        <w:fldChar w:fldCharType="begin"/>
      </w:r>
      <w:r w:rsidR="00F40CE2">
        <w:rPr>
          <w:lang w:eastAsia="x-none"/>
        </w:rPr>
        <w:instrText xml:space="preserve"> ADDIN EN.CITE &lt;EndNote&gt;&lt;Cite&gt;&lt;Author&gt;T.Ekvall&lt;/Author&gt;&lt;Year&gt;2003&lt;/Year&gt;&lt;RecNum&gt;46&lt;/RecNum&gt;&lt;DisplayText&gt;(T.Ekvall, 2003)&lt;/DisplayText&gt;&lt;record&gt;&lt;rec-number&gt;46&lt;/rec-number&gt;&lt;foreign-keys&gt;&lt;key app="EN" db-id="tfpv5staxsvs2nexzpp5taewzsvpx0er5fap"&gt;46&lt;/key&gt;&lt;/foreign-keys&gt;&lt;ref-type name="Conference Proceedings"&gt;10&lt;/ref-type&gt;&lt;contributors&gt;&lt;authors&gt;&lt;author&gt;T.Ekvall&lt;/author&gt;&lt;/authors&gt;&lt;/contributors&gt;&lt;titles&gt;&lt;title&gt;Attributional and consequential LCI modelling (presentation)&lt;/title&gt;&lt;secondary-title&gt;InLCA/LCM 2003&lt;/secondary-title&gt;&lt;/titles&gt;&lt;dates&gt;&lt;year&gt;2003&lt;/year&gt;&lt;/dates&gt;&lt;pub-location&gt;Seattle, Washington&lt;/pub-location&gt;&lt;publisher&gt;American Center for Life Cycle Assessment&lt;/publisher&gt;&lt;urls&gt;&lt;related-urls&gt;&lt;url&gt;http://www.lcacenter.org/InLCA-LCM03/Ekvall-presentation.pdf&lt;/url&gt;&lt;/related-urls&gt;&lt;/urls&gt;&lt;/record&gt;&lt;/Cite&gt;&lt;/EndNote&gt;</w:instrText>
      </w:r>
      <w:r>
        <w:rPr>
          <w:lang w:eastAsia="x-none"/>
        </w:rPr>
        <w:fldChar w:fldCharType="separate"/>
      </w:r>
      <w:r w:rsidR="00F40CE2">
        <w:rPr>
          <w:noProof/>
          <w:lang w:eastAsia="x-none"/>
        </w:rPr>
        <w:t>(</w:t>
      </w:r>
      <w:hyperlink w:anchor="_ENREF_77" w:tooltip="T.Ekvall, 2003 #46" w:history="1">
        <w:r w:rsidR="00F40CE2">
          <w:rPr>
            <w:noProof/>
            <w:lang w:eastAsia="x-none"/>
          </w:rPr>
          <w:t>T.Ekvall, 2003</w:t>
        </w:r>
      </w:hyperlink>
      <w:r w:rsidR="00F40CE2">
        <w:rPr>
          <w:noProof/>
          <w:lang w:eastAsia="x-none"/>
        </w:rPr>
        <w:t>)</w:t>
      </w:r>
      <w:r>
        <w:rPr>
          <w:lang w:eastAsia="x-none"/>
        </w:rPr>
        <w:fldChar w:fldCharType="end"/>
      </w:r>
      <w:r>
        <w:rPr>
          <w:lang w:eastAsia="x-none"/>
        </w:rPr>
        <w:t xml:space="preserve"> summarises:</w:t>
      </w:r>
    </w:p>
    <w:p w14:paraId="0D494643" w14:textId="77777777" w:rsidR="006B07CF" w:rsidRDefault="006B07CF" w:rsidP="00B84C97">
      <w:pPr>
        <w:pStyle w:val="ListParagraph"/>
        <w:numPr>
          <w:ilvl w:val="0"/>
          <w:numId w:val="24"/>
        </w:numPr>
        <w:spacing w:after="0"/>
        <w:rPr>
          <w:lang w:eastAsia="x-none"/>
        </w:rPr>
      </w:pPr>
      <w:r>
        <w:rPr>
          <w:lang w:eastAsia="x-none"/>
        </w:rPr>
        <w:t>Attributional LCA:</w:t>
      </w:r>
    </w:p>
    <w:p w14:paraId="0D494644" w14:textId="77777777" w:rsidR="006B07CF" w:rsidRDefault="006B07CF" w:rsidP="00B84C97">
      <w:pPr>
        <w:pStyle w:val="ListParagraph"/>
        <w:numPr>
          <w:ilvl w:val="1"/>
          <w:numId w:val="24"/>
        </w:numPr>
        <w:spacing w:after="0"/>
        <w:rPr>
          <w:lang w:eastAsia="x-none"/>
        </w:rPr>
      </w:pPr>
      <w:r>
        <w:rPr>
          <w:lang w:eastAsia="x-none"/>
        </w:rPr>
        <w:t>Describes systems only</w:t>
      </w:r>
    </w:p>
    <w:p w14:paraId="0D494645" w14:textId="77777777" w:rsidR="006B07CF" w:rsidRDefault="006B07CF" w:rsidP="00B84C97">
      <w:pPr>
        <w:pStyle w:val="ListParagraph"/>
        <w:numPr>
          <w:ilvl w:val="1"/>
          <w:numId w:val="24"/>
        </w:numPr>
        <w:spacing w:after="0"/>
        <w:rPr>
          <w:lang w:eastAsia="x-none"/>
        </w:rPr>
      </w:pPr>
      <w:r>
        <w:rPr>
          <w:lang w:eastAsia="x-none"/>
        </w:rPr>
        <w:t>Systems are subjective (allocation, geographical boundaries etc.)</w:t>
      </w:r>
    </w:p>
    <w:p w14:paraId="0D494646" w14:textId="77777777" w:rsidR="006B07CF" w:rsidRDefault="006B07CF" w:rsidP="00B84C97">
      <w:pPr>
        <w:pStyle w:val="ListParagraph"/>
        <w:numPr>
          <w:ilvl w:val="0"/>
          <w:numId w:val="24"/>
        </w:numPr>
        <w:spacing w:after="0"/>
        <w:rPr>
          <w:lang w:eastAsia="x-none"/>
        </w:rPr>
      </w:pPr>
      <w:r>
        <w:rPr>
          <w:lang w:eastAsia="x-none"/>
        </w:rPr>
        <w:t>Consequential LCA:</w:t>
      </w:r>
    </w:p>
    <w:p w14:paraId="0D494647" w14:textId="77777777" w:rsidR="006B07CF" w:rsidRDefault="006B07CF" w:rsidP="00B84C97">
      <w:pPr>
        <w:pStyle w:val="ListParagraph"/>
        <w:numPr>
          <w:ilvl w:val="1"/>
          <w:numId w:val="24"/>
        </w:numPr>
        <w:spacing w:after="0"/>
        <w:rPr>
          <w:lang w:eastAsia="x-none"/>
        </w:rPr>
      </w:pPr>
      <w:r>
        <w:rPr>
          <w:lang w:eastAsia="x-none"/>
        </w:rPr>
        <w:t>Describes consequences only</w:t>
      </w:r>
    </w:p>
    <w:p w14:paraId="0D494648" w14:textId="77777777" w:rsidR="006B07CF" w:rsidRDefault="006B07CF" w:rsidP="00B84C97">
      <w:pPr>
        <w:pStyle w:val="ListParagraph"/>
        <w:numPr>
          <w:ilvl w:val="1"/>
          <w:numId w:val="24"/>
        </w:numPr>
        <w:spacing w:after="0"/>
        <w:rPr>
          <w:lang w:eastAsia="x-none"/>
        </w:rPr>
      </w:pPr>
      <w:r>
        <w:rPr>
          <w:lang w:eastAsia="x-none"/>
        </w:rPr>
        <w:t xml:space="preserve">Entails great uncertainty and instability” </w:t>
      </w:r>
    </w:p>
    <w:p w14:paraId="0D494649" w14:textId="77777777" w:rsidR="006B07CF" w:rsidRDefault="006B07CF" w:rsidP="006B07CF">
      <w:pPr>
        <w:spacing w:after="0"/>
        <w:rPr>
          <w:lang w:eastAsia="x-none"/>
        </w:rPr>
      </w:pPr>
    </w:p>
    <w:p w14:paraId="0D49464A" w14:textId="454C0F44" w:rsidR="006B07CF" w:rsidRDefault="006B07CF" w:rsidP="006B07CF">
      <w:pPr>
        <w:rPr>
          <w:lang w:eastAsia="x-none"/>
        </w:rPr>
      </w:pPr>
      <w:r>
        <w:rPr>
          <w:lang w:eastAsia="x-none"/>
        </w:rPr>
        <w:t xml:space="preserve">The selection of approach will impact the study outcome so methods such as that described by </w:t>
      </w:r>
      <w:r w:rsidRPr="0091538B">
        <w:rPr>
          <w:lang w:eastAsia="x-none"/>
        </w:rPr>
        <w:t xml:space="preserve">Ekvall and Tillman </w:t>
      </w:r>
      <w:r>
        <w:rPr>
          <w:lang w:eastAsia="x-none"/>
        </w:rPr>
        <w:fldChar w:fldCharType="begin"/>
      </w:r>
      <w:r>
        <w:rPr>
          <w:lang w:eastAsia="x-none"/>
        </w:rPr>
        <w:instrText xml:space="preserve"> ADDIN EN.CITE &lt;EndNote&gt;&lt;Cite ExcludeAuth="1"&gt;&lt;Author&gt;Ekvall&lt;/Author&gt;&lt;Year&gt;1997&lt;/Year&gt;&lt;RecNum&gt;44&lt;/RecNum&gt;&lt;DisplayText&gt;(1997)&lt;/DisplayText&gt;&lt;record&gt;&lt;rec-number&gt;44&lt;/rec-number&gt;&lt;foreign-keys&gt;&lt;key app="EN" db-id="tfpv5staxsvs2nexzpp5taewzsvpx0er5fap"&gt;44&lt;/key&gt;&lt;/foreign-keys&gt;&lt;ref-type name="Journal Article"&gt;17&lt;/ref-type&gt;&lt;contributors&gt;&lt;authors&gt;&lt;author&gt;Ekvall, T.&lt;/author&gt;&lt;author&gt;Tillman, A. M.&lt;/author&gt;&lt;/authors&gt;&lt;/contributors&gt;&lt;titles&gt;&lt;title&gt;Open-loop recycling: Criteria for allocation procedures&lt;/title&gt;&lt;secondary-title&gt;International Journal of Life Cycle Assessment&lt;/secondary-title&gt;&lt;/titles&gt;&lt;periodical&gt;&lt;full-title&gt;International Journal of Life Cycle Assessment&lt;/full-title&gt;&lt;/periodical&gt;&lt;pages&gt;155-162&lt;/pages&gt;&lt;volume&gt;2&lt;/volume&gt;&lt;number&gt;3&lt;/number&gt;&lt;dates&gt;&lt;year&gt;1997&lt;/year&gt;&lt;pub-dates&gt;&lt;date&gt;//&lt;/date&gt;&lt;/pub-dates&gt;&lt;/dates&gt;&lt;urls&gt;&lt;related-urls&gt;&lt;url&gt;http://www.scopus.com/inward/record.url?eid=2-s2.0-0001009515&amp;amp;partnerID=40&amp;amp;md5=65e06883f469af2218176474c7d80c8e&lt;/url&gt;&lt;/related-urls&gt;&lt;/urls&gt;&lt;/record&gt;&lt;/Cite&gt;&lt;/EndNote&gt;</w:instrText>
      </w:r>
      <w:r>
        <w:rPr>
          <w:lang w:eastAsia="x-none"/>
        </w:rPr>
        <w:fldChar w:fldCharType="separate"/>
      </w:r>
      <w:r>
        <w:rPr>
          <w:noProof/>
          <w:lang w:eastAsia="x-none"/>
        </w:rPr>
        <w:t>(</w:t>
      </w:r>
      <w:hyperlink w:anchor="_ENREF_19" w:tooltip="Ekvall, 1997 #44" w:history="1">
        <w:r w:rsidR="00F40CE2">
          <w:rPr>
            <w:noProof/>
            <w:lang w:eastAsia="x-none"/>
          </w:rPr>
          <w:t>1997</w:t>
        </w:r>
      </w:hyperlink>
      <w:r>
        <w:rPr>
          <w:noProof/>
          <w:lang w:eastAsia="x-none"/>
        </w:rPr>
        <w:t>)</w:t>
      </w:r>
      <w:r>
        <w:rPr>
          <w:lang w:eastAsia="x-none"/>
        </w:rPr>
        <w:fldChar w:fldCharType="end"/>
      </w:r>
      <w:r>
        <w:rPr>
          <w:lang w:eastAsia="x-none"/>
        </w:rPr>
        <w:t xml:space="preserve">,  will need to be employed. In this study, it is likely that attributional approaches will be used to characterise the impacts of the existing recycling system, and consequential approaches used to determine the impact of policies that seek to increase recycling rates. </w:t>
      </w:r>
    </w:p>
    <w:p w14:paraId="0C906A3E" w14:textId="77777777" w:rsidR="008A15DB" w:rsidRDefault="008A15DB">
      <w:pPr>
        <w:widowControl/>
        <w:spacing w:after="0"/>
        <w:jc w:val="left"/>
        <w:rPr>
          <w:rFonts w:eastAsia="Times New Roman" w:cs="Times New Roman"/>
          <w:b/>
          <w:iCs/>
          <w:kern w:val="32"/>
          <w:sz w:val="28"/>
          <w:szCs w:val="28"/>
          <w:lang w:val="x-none" w:eastAsia="x-none"/>
        </w:rPr>
      </w:pPr>
      <w:bookmarkStart w:id="362" w:name="_Ref337644273"/>
      <w:r>
        <w:br w:type="page"/>
      </w:r>
    </w:p>
    <w:p w14:paraId="0D49464B" w14:textId="7DF71FEB" w:rsidR="006B07CF" w:rsidRDefault="006B07CF" w:rsidP="009E73CF">
      <w:pPr>
        <w:pStyle w:val="Heading2"/>
        <w:numPr>
          <w:ilvl w:val="1"/>
          <w:numId w:val="31"/>
        </w:numPr>
        <w:ind w:left="426"/>
      </w:pPr>
      <w:bookmarkStart w:id="363" w:name="_Toc433964601"/>
      <w:r w:rsidRPr="006B07CF">
        <w:lastRenderedPageBreak/>
        <w:t>Characterising environmental impacts</w:t>
      </w:r>
      <w:bookmarkEnd w:id="362"/>
      <w:bookmarkEnd w:id="363"/>
    </w:p>
    <w:p w14:paraId="0D49464C" w14:textId="37E000FB" w:rsidR="006B07CF" w:rsidRDefault="006B07CF" w:rsidP="006B07CF">
      <w:pPr>
        <w:rPr>
          <w:lang w:eastAsia="x-none"/>
        </w:rPr>
      </w:pPr>
      <w:r>
        <w:rPr>
          <w:lang w:eastAsia="x-none"/>
        </w:rPr>
        <w:t xml:space="preserve">In characterising the environmental impacts of recycling, ISO14044:2006 provides guidance, as do prior studies such as </w:t>
      </w:r>
      <w:r w:rsidRPr="0091538B">
        <w:rPr>
          <w:lang w:eastAsia="x-none"/>
        </w:rPr>
        <w:t>Grant et a</w:t>
      </w:r>
      <w:r>
        <w:rPr>
          <w:lang w:eastAsia="x-none"/>
        </w:rPr>
        <w:t xml:space="preserve">l </w:t>
      </w:r>
      <w:r>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Pr>
          <w:lang w:eastAsia="x-none"/>
        </w:rPr>
        <w:fldChar w:fldCharType="end"/>
      </w:r>
      <w:r>
        <w:rPr>
          <w:lang w:eastAsia="x-none"/>
        </w:rPr>
        <w:t xml:space="preserve"> and LCA review studies such as </w:t>
      </w:r>
      <w:r w:rsidRPr="0091538B">
        <w:rPr>
          <w:lang w:eastAsia="x-none"/>
        </w:rPr>
        <w:t xml:space="preserve">Michaud et al </w:t>
      </w:r>
      <w:r>
        <w:rPr>
          <w:lang w:eastAsia="x-none"/>
        </w:rPr>
        <w:fldChar w:fldCharType="begin"/>
      </w:r>
      <w:r>
        <w:rPr>
          <w:lang w:eastAsia="x-none"/>
        </w:rPr>
        <w:instrText xml:space="preserve"> ADDIN EN.CITE &lt;EndNote&gt;&lt;Cite ExcludeAuth="1"&gt;&lt;Author&gt;Michaud&lt;/Author&gt;&lt;Year&gt;2010&lt;/Year&gt;&lt;RecNum&gt;299&lt;/RecNum&gt;&lt;DisplayText&gt;(2010)&lt;/DisplayText&gt;&lt;record&gt;&lt;rec-number&gt;299&lt;/rec-number&gt;&lt;foreign-keys&gt;&lt;key app="EN" db-id="tfpv5staxsvs2nexzpp5taewzsvpx0er5fap"&gt;299&lt;/key&gt;&lt;/foreign-keys&gt;&lt;ref-type name="Report"&gt;27&lt;/ref-type&gt;&lt;contributors&gt;&lt;authors&gt;&lt;author&gt;Jean-Charles Michaud&lt;/author&gt;&lt;author&gt;Laura Farrant&lt;/author&gt;&lt;author&gt;Olivier Jan&lt;/author&gt;&lt;author&gt;Birgitte Kjær&lt;/author&gt;&lt;author&gt;Ioannis Bakas&lt;/author&gt;&lt;/authors&gt;&lt;/contributors&gt;&lt;titles&gt;&lt;title&gt;Environmental benefits of recycling – 2010 update&lt;/title&gt;&lt;/titles&gt;&lt;dates&gt;&lt;year&gt;2010&lt;/year&gt;&lt;/dates&gt;&lt;urls&gt;&lt;/urls&gt;&lt;/record&gt;&lt;/Cite&gt;&lt;/EndNote&gt;</w:instrText>
      </w:r>
      <w:r>
        <w:rPr>
          <w:lang w:eastAsia="x-none"/>
        </w:rPr>
        <w:fldChar w:fldCharType="separate"/>
      </w:r>
      <w:r>
        <w:rPr>
          <w:noProof/>
          <w:lang w:eastAsia="x-none"/>
        </w:rPr>
        <w:t>(</w:t>
      </w:r>
      <w:hyperlink w:anchor="_ENREF_58" w:tooltip="Michaud, 2010 #299" w:history="1">
        <w:r w:rsidR="00F40CE2">
          <w:rPr>
            <w:noProof/>
            <w:lang w:eastAsia="x-none"/>
          </w:rPr>
          <w:t>2010</w:t>
        </w:r>
      </w:hyperlink>
      <w:r>
        <w:rPr>
          <w:noProof/>
          <w:lang w:eastAsia="x-none"/>
        </w:rPr>
        <w:t>)</w:t>
      </w:r>
      <w:r>
        <w:rPr>
          <w:lang w:eastAsia="x-none"/>
        </w:rPr>
        <w:fldChar w:fldCharType="end"/>
      </w:r>
      <w:r>
        <w:rPr>
          <w:lang w:eastAsia="x-none"/>
        </w:rPr>
        <w:t xml:space="preserve">. </w:t>
      </w:r>
    </w:p>
    <w:p w14:paraId="0D49464D" w14:textId="77777777" w:rsidR="006B07CF" w:rsidRDefault="006B07CF" w:rsidP="006B07CF">
      <w:pPr>
        <w:rPr>
          <w:lang w:eastAsia="x-none"/>
        </w:rPr>
      </w:pPr>
      <w:r>
        <w:rPr>
          <w:lang w:eastAsia="x-none"/>
        </w:rPr>
        <w:t>“The LCIA phase shall be carefully planned to achieve the goal and scope of the study. The LCIA phase shall be coordinated with other phases of the LCA to take into account the following possible omissions and sources of uncertainty:</w:t>
      </w:r>
    </w:p>
    <w:p w14:paraId="0D49464E" w14:textId="77777777" w:rsidR="006B07CF" w:rsidRDefault="006B07CF" w:rsidP="00B84C97">
      <w:pPr>
        <w:numPr>
          <w:ilvl w:val="0"/>
          <w:numId w:val="23"/>
        </w:numPr>
        <w:rPr>
          <w:lang w:eastAsia="x-none"/>
        </w:rPr>
      </w:pPr>
      <w:r>
        <w:rPr>
          <w:lang w:eastAsia="x-none"/>
        </w:rPr>
        <w:t>Whether the quality of the LCI data and results is sufficient to conduct the LCIA in accordance with the study goal and scope definition;</w:t>
      </w:r>
    </w:p>
    <w:p w14:paraId="0D49464F" w14:textId="77777777" w:rsidR="006B07CF" w:rsidRDefault="006B07CF" w:rsidP="00B84C97">
      <w:pPr>
        <w:numPr>
          <w:ilvl w:val="0"/>
          <w:numId w:val="23"/>
        </w:numPr>
        <w:rPr>
          <w:lang w:eastAsia="x-none"/>
        </w:rPr>
      </w:pPr>
      <w:r>
        <w:rPr>
          <w:lang w:eastAsia="x-none"/>
        </w:rPr>
        <w:t>Whether the system boundary and data cut-off decisions have been sufficiently reviewed to ensure the availability of LCI results necessary to calculate indicator results for the LCIA;</w:t>
      </w:r>
    </w:p>
    <w:p w14:paraId="0D494650" w14:textId="77777777" w:rsidR="006B07CF" w:rsidRDefault="006B07CF" w:rsidP="00B84C97">
      <w:pPr>
        <w:numPr>
          <w:ilvl w:val="0"/>
          <w:numId w:val="23"/>
        </w:numPr>
        <w:rPr>
          <w:lang w:eastAsia="x-none"/>
        </w:rPr>
      </w:pPr>
      <w:r>
        <w:rPr>
          <w:lang w:eastAsia="x-none"/>
        </w:rPr>
        <w:t>Whether the environmental relevance of the LCIA results is decreased due to the LCI functional unit calculation, system wide averaging, aggregation and allocation” (ISO14044:2006)</w:t>
      </w:r>
    </w:p>
    <w:p w14:paraId="0D494651" w14:textId="233951B9" w:rsidR="006B07CF" w:rsidRDefault="006B07CF" w:rsidP="006B07CF">
      <w:pPr>
        <w:rPr>
          <w:lang w:eastAsia="x-none"/>
        </w:rPr>
      </w:pPr>
      <w:r>
        <w:rPr>
          <w:lang w:eastAsia="x-none"/>
        </w:rPr>
        <w:t xml:space="preserve">Locally derived documents also provide guidance as to how to apply methods in a way appropriate to the Australian situation </w:t>
      </w:r>
      <w:r>
        <w:rPr>
          <w:lang w:eastAsia="x-none"/>
        </w:rPr>
        <w:fldChar w:fldCharType="begin"/>
      </w:r>
      <w:r w:rsidR="00F40CE2">
        <w:rPr>
          <w:lang w:eastAsia="x-none"/>
        </w:rPr>
        <w:instrText xml:space="preserve"> ADDIN EN.CITE &lt;EndNote&gt;&lt;Cite&gt;&lt;Author&gt;Grant&lt;/Author&gt;&lt;Year&gt;2008&lt;/Year&gt;&lt;RecNum&gt;14&lt;/RecNum&gt;&lt;DisplayText&gt;(Grant and Peters, 2008)&lt;/DisplayText&gt;&lt;record&gt;&lt;rec-number&gt;14&lt;/rec-number&gt;&lt;foreign-keys&gt;&lt;key app="EN" db-id="ze9fwxztjsrvxievad7vt9wl2fd2za000ewr"&gt;14&lt;/key&gt;&lt;/foreign-keys&gt;&lt;ref-type name="Unpublished Work"&gt;34&lt;/ref-type&gt;&lt;contributors&gt;&lt;authors&gt;&lt;author&gt;Grant, T.&lt;/author&gt;&lt;author&gt;Peters, G.&lt;/author&gt;&lt;/authors&gt;&lt;/contributors&gt;&lt;titles&gt;&lt;title&gt;Best Practice Guide to Life Cycle Assessment in Australia&lt;/title&gt;&lt;/titles&gt;&lt;number&gt;Draft V3&lt;/number&gt;&lt;dates&gt;&lt;year&gt;2008&lt;/year&gt;&lt;/dates&gt;&lt;publisher&gt;Australian Life Cycle Assessment Society&lt;/publisher&gt;&lt;urls&gt;&lt;/urls&gt;&lt;/record&gt;&lt;/Cite&gt;&lt;/EndNote&gt;</w:instrText>
      </w:r>
      <w:r>
        <w:rPr>
          <w:lang w:eastAsia="x-none"/>
        </w:rPr>
        <w:fldChar w:fldCharType="separate"/>
      </w:r>
      <w:r w:rsidR="00F40CE2">
        <w:rPr>
          <w:noProof/>
          <w:lang w:eastAsia="x-none"/>
        </w:rPr>
        <w:t>(</w:t>
      </w:r>
      <w:hyperlink w:anchor="_ENREF_39" w:tooltip="Grant, 2008 #14" w:history="1">
        <w:r w:rsidR="00F40CE2">
          <w:rPr>
            <w:noProof/>
            <w:lang w:eastAsia="x-none"/>
          </w:rPr>
          <w:t>Grant and Peters, 2008</w:t>
        </w:r>
      </w:hyperlink>
      <w:r w:rsidR="00F40CE2">
        <w:rPr>
          <w:noProof/>
          <w:lang w:eastAsia="x-none"/>
        </w:rPr>
        <w:t>)</w:t>
      </w:r>
      <w:r>
        <w:rPr>
          <w:lang w:eastAsia="x-none"/>
        </w:rPr>
        <w:fldChar w:fldCharType="end"/>
      </w:r>
      <w:r>
        <w:rPr>
          <w:lang w:eastAsia="x-none"/>
        </w:rPr>
        <w:t>.</w:t>
      </w:r>
    </w:p>
    <w:p w14:paraId="0D494652" w14:textId="77777777" w:rsidR="006B07CF" w:rsidRDefault="006B07CF" w:rsidP="006B07CF">
      <w:pPr>
        <w:rPr>
          <w:lang w:eastAsia="x-none"/>
        </w:rPr>
      </w:pPr>
      <w:r>
        <w:rPr>
          <w:lang w:eastAsia="x-none"/>
        </w:rPr>
        <w:t>A survey</w:t>
      </w:r>
      <w:r>
        <w:rPr>
          <w:rStyle w:val="FootnoteReference"/>
          <w:lang w:eastAsia="x-none"/>
        </w:rPr>
        <w:footnoteReference w:id="9"/>
      </w:r>
      <w:r>
        <w:rPr>
          <w:lang w:eastAsia="x-none"/>
        </w:rPr>
        <w:t xml:space="preserve"> of LCA’s that consider waste treatment systems, </w:t>
      </w:r>
      <w:r>
        <w:rPr>
          <w:lang w:eastAsia="x-none"/>
        </w:rPr>
        <w:fldChar w:fldCharType="begin"/>
      </w:r>
      <w:r>
        <w:rPr>
          <w:lang w:eastAsia="x-none"/>
        </w:rPr>
        <w:instrText xml:space="preserve"> REF _Ref337632502 \h </w:instrText>
      </w:r>
      <w:r>
        <w:rPr>
          <w:lang w:eastAsia="x-none"/>
        </w:rPr>
      </w:r>
      <w:r>
        <w:rPr>
          <w:lang w:eastAsia="x-none"/>
        </w:rPr>
        <w:fldChar w:fldCharType="separate"/>
      </w:r>
      <w:r w:rsidR="00564E5C">
        <w:t xml:space="preserve">Table </w:t>
      </w:r>
      <w:r w:rsidR="00564E5C">
        <w:rPr>
          <w:noProof/>
        </w:rPr>
        <w:t>55</w:t>
      </w:r>
      <w:r>
        <w:rPr>
          <w:lang w:eastAsia="x-none"/>
        </w:rPr>
        <w:fldChar w:fldCharType="end"/>
      </w:r>
      <w:r>
        <w:rPr>
          <w:lang w:eastAsia="x-none"/>
        </w:rPr>
        <w:t>, indicates a variety of impact assessment methods are employed in studies that consider waste treatment and recycling The indicators listed are categorised as either indicators of environmental impact (I) or precursors to environmental impact (P). The difference between these two groups is that indicators directly measure environmental impact (such as Global Warming), whereas precursors measure activities that typically lead to subsequent environmental impact, such as Solid Waste. The Solid Waste indicator is considered a precursor because it measures a quantity of waste disposed of to landfill, yet does not describe what the environmental impact of this might be. Precursors leave readers to infer the environmental outcomes from an indicator (such as leachate generation, land occupation or global warming).</w:t>
      </w:r>
    </w:p>
    <w:p w14:paraId="0D494653" w14:textId="77777777" w:rsidR="006B07CF" w:rsidRDefault="006B07CF" w:rsidP="006B07CF">
      <w:pPr>
        <w:pStyle w:val="Caption"/>
        <w:keepNext/>
      </w:pPr>
      <w:bookmarkStart w:id="364" w:name="_Ref337632502"/>
      <w:r>
        <w:t xml:space="preserve">Table </w:t>
      </w:r>
      <w:r w:rsidR="00FC7DE2">
        <w:fldChar w:fldCharType="begin"/>
      </w:r>
      <w:r w:rsidR="00FC7DE2">
        <w:instrText xml:space="preserve"> SEQ Table \* ARABIC </w:instrText>
      </w:r>
      <w:r w:rsidR="00FC7DE2">
        <w:fldChar w:fldCharType="separate"/>
      </w:r>
      <w:r w:rsidR="00564E5C">
        <w:rPr>
          <w:noProof/>
        </w:rPr>
        <w:t>55</w:t>
      </w:r>
      <w:r w:rsidR="00FC7DE2">
        <w:rPr>
          <w:noProof/>
        </w:rPr>
        <w:fldChar w:fldCharType="end"/>
      </w:r>
      <w:bookmarkEnd w:id="364"/>
      <w:r>
        <w:rPr>
          <w:lang w:val="en-AU"/>
        </w:rPr>
        <w:t xml:space="preserve"> Indicators used to characterise environmental impacts.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279"/>
        <w:gridCol w:w="992"/>
        <w:gridCol w:w="993"/>
        <w:gridCol w:w="1276"/>
        <w:gridCol w:w="1133"/>
        <w:gridCol w:w="1134"/>
      </w:tblGrid>
      <w:tr w:rsidR="006B07CF" w:rsidRPr="001F0FBA" w14:paraId="0D49465B" w14:textId="77777777" w:rsidTr="00E076B3">
        <w:trPr>
          <w:cantSplit/>
          <w:trHeight w:val="1074"/>
        </w:trPr>
        <w:tc>
          <w:tcPr>
            <w:tcW w:w="2373" w:type="dxa"/>
            <w:shd w:val="clear" w:color="auto" w:fill="D9D9D9"/>
          </w:tcPr>
          <w:p w14:paraId="0D494654" w14:textId="0ACAB874" w:rsidR="006B07CF" w:rsidRPr="001F0FBA" w:rsidRDefault="006B07CF" w:rsidP="005F283C">
            <w:pPr>
              <w:spacing w:after="0"/>
              <w:jc w:val="left"/>
              <w:rPr>
                <w:sz w:val="16"/>
                <w:szCs w:val="16"/>
                <w:lang w:eastAsia="x-none"/>
              </w:rPr>
            </w:pPr>
            <w:r w:rsidRPr="001F0FBA">
              <w:rPr>
                <w:sz w:val="16"/>
                <w:szCs w:val="16"/>
                <w:lang w:eastAsia="x-none"/>
              </w:rPr>
              <w:t>Indicators (definitions</w:t>
            </w:r>
            <w:r>
              <w:rPr>
                <w:sz w:val="16"/>
                <w:szCs w:val="16"/>
                <w:lang w:eastAsia="x-none"/>
              </w:rPr>
              <w:t xml:space="preserve"> for indicators to be used in this study</w:t>
            </w:r>
            <w:r w:rsidRPr="001F0FBA">
              <w:rPr>
                <w:sz w:val="16"/>
                <w:szCs w:val="16"/>
                <w:lang w:eastAsia="x-none"/>
              </w:rPr>
              <w:t xml:space="preserve"> are provided in </w:t>
            </w:r>
            <w:r>
              <w:rPr>
                <w:sz w:val="16"/>
                <w:szCs w:val="16"/>
                <w:lang w:eastAsia="x-none"/>
              </w:rPr>
              <w:t xml:space="preserve">Section </w:t>
            </w:r>
            <w:r w:rsidR="005F283C">
              <w:rPr>
                <w:sz w:val="16"/>
                <w:szCs w:val="16"/>
                <w:lang w:eastAsia="x-none"/>
              </w:rPr>
              <w:fldChar w:fldCharType="begin"/>
            </w:r>
            <w:r w:rsidR="005F283C">
              <w:rPr>
                <w:sz w:val="16"/>
                <w:szCs w:val="16"/>
                <w:lang w:eastAsia="x-none"/>
              </w:rPr>
              <w:instrText xml:space="preserve"> REF _Ref367799406 \r \h </w:instrText>
            </w:r>
            <w:r w:rsidR="005F283C">
              <w:rPr>
                <w:sz w:val="16"/>
                <w:szCs w:val="16"/>
                <w:lang w:eastAsia="x-none"/>
              </w:rPr>
            </w:r>
            <w:r w:rsidR="005F283C">
              <w:rPr>
                <w:sz w:val="16"/>
                <w:szCs w:val="16"/>
                <w:lang w:eastAsia="x-none"/>
              </w:rPr>
              <w:fldChar w:fldCharType="separate"/>
            </w:r>
            <w:r w:rsidR="00564E5C">
              <w:rPr>
                <w:sz w:val="16"/>
                <w:szCs w:val="16"/>
                <w:lang w:eastAsia="x-none"/>
              </w:rPr>
              <w:t>5.8</w:t>
            </w:r>
            <w:r w:rsidR="005F283C">
              <w:rPr>
                <w:sz w:val="16"/>
                <w:szCs w:val="16"/>
                <w:lang w:eastAsia="x-none"/>
              </w:rPr>
              <w:fldChar w:fldCharType="end"/>
            </w:r>
            <w:r w:rsidRPr="001F0FBA">
              <w:rPr>
                <w:sz w:val="16"/>
                <w:szCs w:val="16"/>
                <w:lang w:eastAsia="x-none"/>
              </w:rPr>
              <w:t>)</w:t>
            </w:r>
          </w:p>
        </w:tc>
        <w:tc>
          <w:tcPr>
            <w:tcW w:w="1279" w:type="dxa"/>
            <w:shd w:val="clear" w:color="auto" w:fill="D9D9D9"/>
          </w:tcPr>
          <w:p w14:paraId="0D494655" w14:textId="77777777" w:rsidR="006B07CF" w:rsidRPr="001F0FBA" w:rsidRDefault="006B07CF" w:rsidP="00E076B3">
            <w:pPr>
              <w:spacing w:after="0"/>
              <w:jc w:val="left"/>
              <w:rPr>
                <w:sz w:val="16"/>
                <w:szCs w:val="16"/>
                <w:lang w:eastAsia="x-none"/>
              </w:rPr>
            </w:pPr>
            <w:r w:rsidRPr="001F0FBA">
              <w:rPr>
                <w:sz w:val="16"/>
                <w:szCs w:val="16"/>
                <w:lang w:eastAsia="x-none"/>
              </w:rPr>
              <w:t>Indicator of Impact (I) or precursor to impact (P)</w:t>
            </w:r>
          </w:p>
        </w:tc>
        <w:tc>
          <w:tcPr>
            <w:tcW w:w="992" w:type="dxa"/>
            <w:shd w:val="clear" w:color="auto" w:fill="D9D9D9"/>
          </w:tcPr>
          <w:p w14:paraId="0D494656" w14:textId="5F778A21" w:rsidR="006B07CF" w:rsidRPr="001F0FBA" w:rsidRDefault="006B07CF" w:rsidP="00F40CE2">
            <w:pPr>
              <w:spacing w:after="0"/>
              <w:jc w:val="left"/>
              <w:rPr>
                <w:sz w:val="16"/>
                <w:szCs w:val="16"/>
                <w:lang w:eastAsia="x-none"/>
              </w:rPr>
            </w:pPr>
            <w:r w:rsidRPr="001F0FBA">
              <w:rPr>
                <w:sz w:val="16"/>
                <w:szCs w:val="16"/>
                <w:lang w:eastAsia="x-none"/>
              </w:rPr>
              <w:fldChar w:fldCharType="begin"/>
            </w:r>
            <w:r w:rsidR="00F40CE2">
              <w:rPr>
                <w:sz w:val="16"/>
                <w:szCs w:val="16"/>
                <w:lang w:eastAsia="x-none"/>
              </w:rPr>
              <w:instrText xml:space="preserve"> ADDIN EN.CITE &lt;EndNote&gt;&lt;Cite&gt;&lt;Author&gt;Grant&lt;/Author&gt;&lt;Year&gt;2001&lt;/Year&gt;&lt;RecNum&gt;25&lt;/RecNum&gt;&lt;DisplayText&gt;(Grant et al., 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sidRPr="001F0FBA">
              <w:rPr>
                <w:sz w:val="16"/>
                <w:szCs w:val="16"/>
                <w:lang w:eastAsia="x-none"/>
              </w:rPr>
              <w:fldChar w:fldCharType="separate"/>
            </w:r>
            <w:r w:rsidR="00F40CE2">
              <w:rPr>
                <w:noProof/>
                <w:sz w:val="16"/>
                <w:szCs w:val="16"/>
                <w:lang w:eastAsia="x-none"/>
              </w:rPr>
              <w:t>(</w:t>
            </w:r>
            <w:hyperlink w:anchor="_ENREF_35" w:tooltip="Grant, 2001 #262" w:history="1">
              <w:r w:rsidR="00F40CE2">
                <w:rPr>
                  <w:noProof/>
                  <w:sz w:val="16"/>
                  <w:szCs w:val="16"/>
                  <w:lang w:eastAsia="x-none"/>
                </w:rPr>
                <w:t>Grant et al., 2001a</w:t>
              </w:r>
            </w:hyperlink>
            <w:r w:rsidR="00F40CE2">
              <w:rPr>
                <w:noProof/>
                <w:sz w:val="16"/>
                <w:szCs w:val="16"/>
                <w:lang w:eastAsia="x-none"/>
              </w:rPr>
              <w:t>)</w:t>
            </w:r>
            <w:r w:rsidRPr="001F0FBA">
              <w:rPr>
                <w:sz w:val="16"/>
                <w:szCs w:val="16"/>
                <w:lang w:eastAsia="x-none"/>
              </w:rPr>
              <w:fldChar w:fldCharType="end"/>
            </w:r>
          </w:p>
        </w:tc>
        <w:tc>
          <w:tcPr>
            <w:tcW w:w="993" w:type="dxa"/>
            <w:shd w:val="clear" w:color="auto" w:fill="D9D9D9"/>
          </w:tcPr>
          <w:p w14:paraId="0D494657" w14:textId="7D9D258A" w:rsidR="006B07CF" w:rsidRPr="001F0FBA" w:rsidRDefault="006B07CF" w:rsidP="00F40CE2">
            <w:pPr>
              <w:spacing w:after="0"/>
              <w:jc w:val="left"/>
              <w:rPr>
                <w:sz w:val="16"/>
                <w:szCs w:val="16"/>
                <w:lang w:eastAsia="x-none"/>
              </w:rPr>
            </w:pPr>
            <w:r w:rsidRPr="001F0FBA">
              <w:rPr>
                <w:sz w:val="16"/>
                <w:szCs w:val="16"/>
                <w:lang w:eastAsia="x-none"/>
              </w:rPr>
              <w:fldChar w:fldCharType="begin"/>
            </w:r>
            <w:r w:rsidR="00F40CE2">
              <w:rPr>
                <w:sz w:val="16"/>
                <w:szCs w:val="16"/>
                <w:lang w:eastAsia="x-none"/>
              </w:rPr>
              <w:instrText xml:space="preserve"> ADDIN EN.CITE &lt;EndNote&gt;&lt;Cite&gt;&lt;Author&gt;Grant&lt;/Author&gt;&lt;Year&gt;2003&lt;/Year&gt;&lt;RecNum&gt;15&lt;/RecNum&gt;&lt;DisplayText&gt;(Grant et al., 2003a)&lt;/DisplayText&gt;&lt;record&gt;&lt;rec-number&gt;15&lt;/rec-number&gt;&lt;foreign-keys&gt;&lt;key app="EN" db-id="ze9fwxztjsrvxievad7vt9wl2fd2za000ewr"&gt;15&lt;/key&gt;&lt;/foreign-keys&gt;&lt;ref-type name="Report"&gt;27&lt;/ref-type&gt;&lt;contributors&gt;&lt;authors&gt;&lt;author&gt;Tim Grant&lt;/author&gt;&lt;author&gt;Karli James&lt;/author&gt;&lt;author&gt;Hannes Partl&lt;/author&gt;&lt;/authors&gt;&lt;/contributors&gt;&lt;titles&gt;&lt;title&gt;Life Cycle Assessment of Waste and Resource Recovery Options (including energy from waste) - Final Report for EcoRecycle Victoria&lt;/title&gt;&lt;/titles&gt;&lt;dates&gt;&lt;year&gt;2003&lt;/year&gt;&lt;/dates&gt;&lt;pub-location&gt;Melbourne, Victoria&lt;/pub-location&gt;&lt;publisher&gt;Centre for Design at RMIT University (www.cfd.rmit.edu.au)&lt;/publisher&gt;&lt;urls&gt;&lt;/urls&gt;&lt;/record&gt;&lt;/Cite&gt;&lt;/EndNote&gt;</w:instrText>
            </w:r>
            <w:r w:rsidRPr="001F0FBA">
              <w:rPr>
                <w:sz w:val="16"/>
                <w:szCs w:val="16"/>
                <w:lang w:eastAsia="x-none"/>
              </w:rPr>
              <w:fldChar w:fldCharType="separate"/>
            </w:r>
            <w:r w:rsidR="00F40CE2">
              <w:rPr>
                <w:noProof/>
                <w:sz w:val="16"/>
                <w:szCs w:val="16"/>
                <w:lang w:eastAsia="x-none"/>
              </w:rPr>
              <w:t>(</w:t>
            </w:r>
            <w:hyperlink w:anchor="_ENREF_37" w:tooltip="Grant, 2003 #15" w:history="1">
              <w:r w:rsidR="00F40CE2">
                <w:rPr>
                  <w:noProof/>
                  <w:sz w:val="16"/>
                  <w:szCs w:val="16"/>
                  <w:lang w:eastAsia="x-none"/>
                </w:rPr>
                <w:t>Grant et al., 2003a</w:t>
              </w:r>
            </w:hyperlink>
            <w:r w:rsidR="00F40CE2">
              <w:rPr>
                <w:noProof/>
                <w:sz w:val="16"/>
                <w:szCs w:val="16"/>
                <w:lang w:eastAsia="x-none"/>
              </w:rPr>
              <w:t>)</w:t>
            </w:r>
            <w:r w:rsidRPr="001F0FBA">
              <w:rPr>
                <w:sz w:val="16"/>
                <w:szCs w:val="16"/>
                <w:lang w:eastAsia="x-none"/>
              </w:rPr>
              <w:fldChar w:fldCharType="end"/>
            </w:r>
          </w:p>
        </w:tc>
        <w:tc>
          <w:tcPr>
            <w:tcW w:w="1276" w:type="dxa"/>
            <w:shd w:val="clear" w:color="auto" w:fill="D9D9D9"/>
          </w:tcPr>
          <w:p w14:paraId="0D494658" w14:textId="7CE1F413" w:rsidR="006B07CF" w:rsidRPr="001F0FBA" w:rsidRDefault="006B07CF" w:rsidP="00F40CE2">
            <w:pPr>
              <w:spacing w:after="0"/>
              <w:jc w:val="left"/>
              <w:rPr>
                <w:sz w:val="16"/>
                <w:szCs w:val="16"/>
                <w:lang w:eastAsia="x-none"/>
              </w:rPr>
            </w:pPr>
            <w:r w:rsidRPr="001F0FBA">
              <w:rPr>
                <w:sz w:val="16"/>
                <w:szCs w:val="16"/>
                <w:lang w:eastAsia="x-none"/>
              </w:rPr>
              <w:fldChar w:fldCharType="begin"/>
            </w:r>
            <w:r w:rsidR="00F40CE2">
              <w:rPr>
                <w:sz w:val="16"/>
                <w:szCs w:val="16"/>
                <w:lang w:eastAsia="x-none"/>
              </w:rPr>
              <w:instrText xml:space="preserve"> ADDIN EN.CITE &lt;EndNote&gt;&lt;Cite&gt;&lt;Author&gt;European Commission - Joint Research Centre&lt;/Author&gt;&lt;Year&gt;2008&lt;/Year&gt;&lt;RecNum&gt;381&lt;/RecNum&gt;&lt;DisplayText&gt;(European Commission - Joint Research Centre, 2008)&lt;/DisplayText&gt;&lt;record&gt;&lt;rec-number&gt;381&lt;/rec-number&gt;&lt;foreign-keys&gt;&lt;key app="EN" db-id="tfpv5staxsvs2nexzpp5taewzsvpx0er5fap"&gt;381&lt;/key&gt;&lt;/foreign-keys&gt;&lt;ref-type name="Report"&gt;27&lt;/ref-type&gt;&lt;contributors&gt;&lt;authors&gt;&lt;author&gt;European Commission - Joint Research Centre,&lt;/author&gt;&lt;/authors&gt;&lt;/contributors&gt;&lt;titles&gt;&lt;title&gt;Environmental Assessment of Municipal Waste Management Scenarios: Part II – Detailed Life Cycle Assessments&lt;/title&gt;&lt;/titles&gt;&lt;dates&gt;&lt;year&gt;2008&lt;/year&gt;&lt;/dates&gt;&lt;pub-location&gt;Luxembourg&lt;/pub-location&gt;&lt;publisher&gt;European Commission - Joint Research Centre, Institute for Environment and Sustainability&lt;/publisher&gt;&lt;urls&gt;&lt;/urls&gt;&lt;/record&gt;&lt;/Cite&gt;&lt;/EndNote&gt;</w:instrText>
            </w:r>
            <w:r w:rsidRPr="001F0FBA">
              <w:rPr>
                <w:sz w:val="16"/>
                <w:szCs w:val="16"/>
                <w:lang w:eastAsia="x-none"/>
              </w:rPr>
              <w:fldChar w:fldCharType="separate"/>
            </w:r>
            <w:r w:rsidR="00F40CE2">
              <w:rPr>
                <w:noProof/>
                <w:sz w:val="16"/>
                <w:szCs w:val="16"/>
                <w:lang w:eastAsia="x-none"/>
              </w:rPr>
              <w:t>(</w:t>
            </w:r>
            <w:hyperlink w:anchor="_ENREF_23" w:tooltip="European Commission - Joint Research Centre, 2008 #381" w:history="1">
              <w:r w:rsidR="00F40CE2">
                <w:rPr>
                  <w:noProof/>
                  <w:sz w:val="16"/>
                  <w:szCs w:val="16"/>
                  <w:lang w:eastAsia="x-none"/>
                </w:rPr>
                <w:t>European Commission - Joint Research Centre, 2008</w:t>
              </w:r>
            </w:hyperlink>
            <w:r w:rsidR="00F40CE2">
              <w:rPr>
                <w:noProof/>
                <w:sz w:val="16"/>
                <w:szCs w:val="16"/>
                <w:lang w:eastAsia="x-none"/>
              </w:rPr>
              <w:t>)</w:t>
            </w:r>
            <w:r w:rsidRPr="001F0FBA">
              <w:rPr>
                <w:sz w:val="16"/>
                <w:szCs w:val="16"/>
                <w:lang w:eastAsia="x-none"/>
              </w:rPr>
              <w:fldChar w:fldCharType="end"/>
            </w:r>
          </w:p>
        </w:tc>
        <w:tc>
          <w:tcPr>
            <w:tcW w:w="1133" w:type="dxa"/>
            <w:shd w:val="clear" w:color="auto" w:fill="D9D9D9"/>
          </w:tcPr>
          <w:p w14:paraId="0D494659" w14:textId="1A3BD6A5" w:rsidR="006B07CF" w:rsidRPr="001F0FBA" w:rsidRDefault="006B07CF" w:rsidP="00F40CE2">
            <w:pPr>
              <w:spacing w:after="0"/>
              <w:jc w:val="left"/>
              <w:rPr>
                <w:sz w:val="16"/>
                <w:szCs w:val="16"/>
                <w:lang w:eastAsia="x-none"/>
              </w:rPr>
            </w:pPr>
            <w:r w:rsidRPr="001F0FBA">
              <w:rPr>
                <w:sz w:val="16"/>
                <w:szCs w:val="16"/>
                <w:lang w:eastAsia="x-none"/>
              </w:rPr>
              <w:fldChar w:fldCharType="begin"/>
            </w:r>
            <w:r w:rsidR="00F40CE2">
              <w:rPr>
                <w:sz w:val="16"/>
                <w:szCs w:val="16"/>
                <w:lang w:eastAsia="x-none"/>
              </w:rPr>
              <w:instrText xml:space="preserve"> ADDIN EN.CITE &lt;EndNote&gt;&lt;Cite&gt;&lt;Author&gt;Carre&lt;/Author&gt;&lt;Year&gt;2009&lt;/Year&gt;&lt;RecNum&gt;47&lt;/RecNum&gt;&lt;DisplayText&gt;(Carre et al., 2009)&lt;/DisplayText&gt;&lt;record&gt;&lt;rec-number&gt;47&lt;/rec-number&gt;&lt;foreign-keys&gt;&lt;key app="EN" db-id="tfpv5staxsvs2nexzpp5taewzsvpx0er5fap"&gt;47&lt;/key&gt;&lt;/foreign-keys&gt;&lt;ref-type name="Report"&gt;27&lt;/ref-type&gt;&lt;contributors&gt;&lt;authors&gt;&lt;author&gt;Andrew Carre&lt;/author&gt;&lt;author&gt;Ian Jones&lt;/author&gt;&lt;author&gt;Paul-Antoine Bontinck&lt;/author&gt;&lt;author&gt;Glenn Di-Mauro Hayes&lt;/author&gt;&lt;/authors&gt;&lt;/contributors&gt;&lt;titles&gt;&lt;title&gt;Extended Environmental Benefits of Recycling (EEBR) Project&lt;/title&gt;&lt;/titles&gt;&lt;dates&gt;&lt;year&gt;2009&lt;/year&gt;&lt;/dates&gt;&lt;pub-location&gt;Melbourne&lt;/pub-location&gt;&lt;publisher&gt;RMIT University&lt;/publisher&gt;&lt;urls&gt;&lt;/urls&gt;&lt;/record&gt;&lt;/Cite&gt;&lt;/EndNote&gt;</w:instrText>
            </w:r>
            <w:r w:rsidRPr="001F0FBA">
              <w:rPr>
                <w:sz w:val="16"/>
                <w:szCs w:val="16"/>
                <w:lang w:eastAsia="x-none"/>
              </w:rPr>
              <w:fldChar w:fldCharType="separate"/>
            </w:r>
            <w:r w:rsidR="00F40CE2">
              <w:rPr>
                <w:noProof/>
                <w:sz w:val="16"/>
                <w:szCs w:val="16"/>
                <w:lang w:eastAsia="x-none"/>
              </w:rPr>
              <w:t>(</w:t>
            </w:r>
            <w:hyperlink w:anchor="_ENREF_13" w:tooltip="Carre, 2009 #47" w:history="1">
              <w:r w:rsidR="00F40CE2">
                <w:rPr>
                  <w:noProof/>
                  <w:sz w:val="16"/>
                  <w:szCs w:val="16"/>
                  <w:lang w:eastAsia="x-none"/>
                </w:rPr>
                <w:t>Carre et al., 2009</w:t>
              </w:r>
            </w:hyperlink>
            <w:r w:rsidR="00F40CE2">
              <w:rPr>
                <w:noProof/>
                <w:sz w:val="16"/>
                <w:szCs w:val="16"/>
                <w:lang w:eastAsia="x-none"/>
              </w:rPr>
              <w:t>)</w:t>
            </w:r>
            <w:r w:rsidRPr="001F0FBA">
              <w:rPr>
                <w:sz w:val="16"/>
                <w:szCs w:val="16"/>
                <w:lang w:eastAsia="x-none"/>
              </w:rPr>
              <w:fldChar w:fldCharType="end"/>
            </w:r>
          </w:p>
        </w:tc>
        <w:tc>
          <w:tcPr>
            <w:tcW w:w="1134" w:type="dxa"/>
            <w:shd w:val="clear" w:color="auto" w:fill="D9D9D9"/>
          </w:tcPr>
          <w:p w14:paraId="0D49465A" w14:textId="77777777" w:rsidR="006B07CF" w:rsidRPr="001F0FBA" w:rsidRDefault="00FA4FCC" w:rsidP="00E076B3">
            <w:pPr>
              <w:spacing w:after="0"/>
              <w:jc w:val="left"/>
              <w:rPr>
                <w:sz w:val="16"/>
                <w:szCs w:val="16"/>
                <w:lang w:eastAsia="x-none"/>
              </w:rPr>
            </w:pPr>
            <w:hyperlink w:anchor="_ENREF_26" w:tooltip="Michaud, 2010 #299" w:history="1">
              <w:r w:rsidR="006B07CF" w:rsidRPr="001F0FBA">
                <w:rPr>
                  <w:noProof/>
                  <w:sz w:val="16"/>
                  <w:szCs w:val="16"/>
                  <w:lang w:eastAsia="x-none"/>
                </w:rPr>
                <w:t>Michaud et al. (2010</w:t>
              </w:r>
            </w:hyperlink>
            <w:r w:rsidR="006B07CF" w:rsidRPr="001F0FBA">
              <w:rPr>
                <w:noProof/>
                <w:sz w:val="16"/>
                <w:szCs w:val="16"/>
                <w:lang w:eastAsia="x-none"/>
              </w:rPr>
              <w:t>)</w:t>
            </w:r>
          </w:p>
        </w:tc>
      </w:tr>
      <w:tr w:rsidR="006B07CF" w:rsidRPr="001F0FBA" w14:paraId="0D494663" w14:textId="77777777" w:rsidTr="00E076B3">
        <w:tc>
          <w:tcPr>
            <w:tcW w:w="2373" w:type="dxa"/>
          </w:tcPr>
          <w:p w14:paraId="0D49465C" w14:textId="77777777" w:rsidR="006B07CF" w:rsidRPr="001F0FBA" w:rsidRDefault="006B07CF" w:rsidP="00E076B3">
            <w:pPr>
              <w:spacing w:after="0"/>
              <w:rPr>
                <w:sz w:val="16"/>
                <w:szCs w:val="16"/>
                <w:lang w:eastAsia="x-none"/>
              </w:rPr>
            </w:pPr>
            <w:r w:rsidRPr="001F0FBA">
              <w:rPr>
                <w:sz w:val="16"/>
                <w:szCs w:val="16"/>
                <w:lang w:eastAsia="x-none"/>
              </w:rPr>
              <w:t>Photochemical oxidation</w:t>
            </w:r>
          </w:p>
        </w:tc>
        <w:tc>
          <w:tcPr>
            <w:tcW w:w="1279" w:type="dxa"/>
          </w:tcPr>
          <w:p w14:paraId="0D49465D"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5E"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993" w:type="dxa"/>
          </w:tcPr>
          <w:p w14:paraId="0D49465F"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60" w14:textId="77777777" w:rsidR="006B07CF" w:rsidRPr="001F0FBA" w:rsidRDefault="006B07CF" w:rsidP="00E076B3">
            <w:pPr>
              <w:spacing w:after="0"/>
              <w:jc w:val="center"/>
              <w:rPr>
                <w:sz w:val="16"/>
                <w:szCs w:val="16"/>
                <w:lang w:eastAsia="x-none"/>
              </w:rPr>
            </w:pPr>
          </w:p>
        </w:tc>
        <w:tc>
          <w:tcPr>
            <w:tcW w:w="1133" w:type="dxa"/>
          </w:tcPr>
          <w:p w14:paraId="0D494661" w14:textId="77777777" w:rsidR="006B07CF" w:rsidRPr="001F0FBA" w:rsidRDefault="006B07CF" w:rsidP="00E076B3">
            <w:pPr>
              <w:spacing w:after="0"/>
              <w:jc w:val="center"/>
              <w:rPr>
                <w:sz w:val="16"/>
                <w:szCs w:val="16"/>
                <w:lang w:eastAsia="x-none"/>
              </w:rPr>
            </w:pPr>
          </w:p>
        </w:tc>
        <w:tc>
          <w:tcPr>
            <w:tcW w:w="1134" w:type="dxa"/>
          </w:tcPr>
          <w:p w14:paraId="0D494662" w14:textId="77777777" w:rsidR="006B07CF" w:rsidRPr="001F0FBA" w:rsidRDefault="006B07CF" w:rsidP="00E076B3">
            <w:pPr>
              <w:spacing w:after="0"/>
              <w:jc w:val="center"/>
              <w:rPr>
                <w:sz w:val="16"/>
                <w:szCs w:val="16"/>
                <w:lang w:eastAsia="x-none"/>
              </w:rPr>
            </w:pPr>
          </w:p>
        </w:tc>
      </w:tr>
      <w:tr w:rsidR="006B07CF" w:rsidRPr="001F0FBA" w14:paraId="0D49466B" w14:textId="77777777" w:rsidTr="00E076B3">
        <w:tc>
          <w:tcPr>
            <w:tcW w:w="2373" w:type="dxa"/>
          </w:tcPr>
          <w:p w14:paraId="0D494664" w14:textId="77777777" w:rsidR="006B07CF" w:rsidRPr="001F0FBA" w:rsidRDefault="006B07CF" w:rsidP="00E076B3">
            <w:pPr>
              <w:spacing w:after="0"/>
              <w:rPr>
                <w:sz w:val="16"/>
                <w:szCs w:val="16"/>
                <w:lang w:eastAsia="x-none"/>
              </w:rPr>
            </w:pPr>
            <w:r w:rsidRPr="001F0FBA">
              <w:rPr>
                <w:sz w:val="16"/>
                <w:szCs w:val="16"/>
                <w:lang w:eastAsia="x-none"/>
              </w:rPr>
              <w:t>Cumulative energy demand</w:t>
            </w:r>
          </w:p>
        </w:tc>
        <w:tc>
          <w:tcPr>
            <w:tcW w:w="1279" w:type="dxa"/>
          </w:tcPr>
          <w:p w14:paraId="0D494665" w14:textId="77777777" w:rsidR="006B07CF" w:rsidRPr="001F0FBA" w:rsidRDefault="006B07CF" w:rsidP="00E076B3">
            <w:pPr>
              <w:spacing w:after="0"/>
              <w:jc w:val="center"/>
              <w:rPr>
                <w:sz w:val="16"/>
                <w:szCs w:val="16"/>
                <w:lang w:eastAsia="x-none"/>
              </w:rPr>
            </w:pPr>
            <w:r w:rsidRPr="001F0FBA">
              <w:rPr>
                <w:sz w:val="16"/>
                <w:szCs w:val="16"/>
                <w:lang w:eastAsia="x-none"/>
              </w:rPr>
              <w:t>P</w:t>
            </w:r>
          </w:p>
        </w:tc>
        <w:tc>
          <w:tcPr>
            <w:tcW w:w="992" w:type="dxa"/>
          </w:tcPr>
          <w:p w14:paraId="0D494666"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993" w:type="dxa"/>
          </w:tcPr>
          <w:p w14:paraId="0D494667" w14:textId="77777777" w:rsidR="006B07CF" w:rsidRPr="001F0FBA" w:rsidRDefault="006B07CF" w:rsidP="00E076B3">
            <w:pPr>
              <w:spacing w:after="0"/>
              <w:jc w:val="center"/>
              <w:rPr>
                <w:sz w:val="16"/>
                <w:szCs w:val="16"/>
                <w:lang w:eastAsia="x-none"/>
              </w:rPr>
            </w:pPr>
          </w:p>
        </w:tc>
        <w:tc>
          <w:tcPr>
            <w:tcW w:w="1276" w:type="dxa"/>
          </w:tcPr>
          <w:p w14:paraId="0D494668" w14:textId="77777777" w:rsidR="006B07CF" w:rsidRPr="001F0FBA" w:rsidRDefault="006B07CF" w:rsidP="00E076B3">
            <w:pPr>
              <w:spacing w:after="0"/>
              <w:jc w:val="center"/>
              <w:rPr>
                <w:sz w:val="16"/>
                <w:szCs w:val="16"/>
                <w:lang w:eastAsia="x-none"/>
              </w:rPr>
            </w:pPr>
          </w:p>
        </w:tc>
        <w:tc>
          <w:tcPr>
            <w:tcW w:w="1133" w:type="dxa"/>
          </w:tcPr>
          <w:p w14:paraId="0D494669"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134" w:type="dxa"/>
          </w:tcPr>
          <w:p w14:paraId="0D49466A"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r>
      <w:tr w:rsidR="006B07CF" w:rsidRPr="001F0FBA" w14:paraId="0D494673" w14:textId="77777777" w:rsidTr="00E076B3">
        <w:tc>
          <w:tcPr>
            <w:tcW w:w="2373" w:type="dxa"/>
          </w:tcPr>
          <w:p w14:paraId="0D49466C" w14:textId="77777777" w:rsidR="006B07CF" w:rsidRPr="001F0FBA" w:rsidRDefault="006B07CF" w:rsidP="00E076B3">
            <w:pPr>
              <w:spacing w:after="0"/>
              <w:rPr>
                <w:sz w:val="16"/>
                <w:szCs w:val="16"/>
                <w:lang w:eastAsia="x-none"/>
              </w:rPr>
            </w:pPr>
            <w:r w:rsidRPr="001F0FBA">
              <w:rPr>
                <w:sz w:val="16"/>
                <w:szCs w:val="16"/>
                <w:lang w:eastAsia="x-none"/>
              </w:rPr>
              <w:t>Water use</w:t>
            </w:r>
          </w:p>
        </w:tc>
        <w:tc>
          <w:tcPr>
            <w:tcW w:w="1279" w:type="dxa"/>
          </w:tcPr>
          <w:p w14:paraId="0D49466D"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6E"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993" w:type="dxa"/>
          </w:tcPr>
          <w:p w14:paraId="0D49466F" w14:textId="77777777" w:rsidR="006B07CF" w:rsidRPr="001F0FBA" w:rsidRDefault="006B07CF" w:rsidP="00E076B3">
            <w:pPr>
              <w:spacing w:after="0"/>
              <w:jc w:val="center"/>
              <w:rPr>
                <w:sz w:val="16"/>
                <w:szCs w:val="16"/>
                <w:lang w:eastAsia="x-none"/>
              </w:rPr>
            </w:pPr>
          </w:p>
        </w:tc>
        <w:tc>
          <w:tcPr>
            <w:tcW w:w="1276" w:type="dxa"/>
          </w:tcPr>
          <w:p w14:paraId="0D494670" w14:textId="77777777" w:rsidR="006B07CF" w:rsidRPr="001F0FBA" w:rsidRDefault="006B07CF" w:rsidP="00E076B3">
            <w:pPr>
              <w:spacing w:after="0"/>
              <w:jc w:val="center"/>
              <w:rPr>
                <w:sz w:val="16"/>
                <w:szCs w:val="16"/>
                <w:lang w:eastAsia="x-none"/>
              </w:rPr>
            </w:pPr>
          </w:p>
        </w:tc>
        <w:tc>
          <w:tcPr>
            <w:tcW w:w="1133" w:type="dxa"/>
          </w:tcPr>
          <w:p w14:paraId="0D494671"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134" w:type="dxa"/>
          </w:tcPr>
          <w:p w14:paraId="0D494672"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r>
      <w:tr w:rsidR="006B07CF" w:rsidRPr="001F0FBA" w14:paraId="0D49467B" w14:textId="77777777" w:rsidTr="00E076B3">
        <w:tc>
          <w:tcPr>
            <w:tcW w:w="2373" w:type="dxa"/>
          </w:tcPr>
          <w:p w14:paraId="0D494674" w14:textId="77777777" w:rsidR="006B07CF" w:rsidRPr="001F0FBA" w:rsidRDefault="006B07CF" w:rsidP="00E076B3">
            <w:pPr>
              <w:spacing w:after="0"/>
              <w:rPr>
                <w:sz w:val="16"/>
                <w:szCs w:val="16"/>
                <w:lang w:eastAsia="x-none"/>
              </w:rPr>
            </w:pPr>
            <w:r w:rsidRPr="001F0FBA">
              <w:rPr>
                <w:sz w:val="16"/>
                <w:szCs w:val="16"/>
                <w:lang w:eastAsia="x-none"/>
              </w:rPr>
              <w:t>Solid waste</w:t>
            </w:r>
          </w:p>
        </w:tc>
        <w:tc>
          <w:tcPr>
            <w:tcW w:w="1279" w:type="dxa"/>
          </w:tcPr>
          <w:p w14:paraId="0D494675" w14:textId="77777777" w:rsidR="006B07CF" w:rsidRPr="001F0FBA" w:rsidRDefault="006B07CF" w:rsidP="00E076B3">
            <w:pPr>
              <w:spacing w:after="0"/>
              <w:jc w:val="center"/>
              <w:rPr>
                <w:sz w:val="16"/>
                <w:szCs w:val="16"/>
                <w:lang w:eastAsia="x-none"/>
              </w:rPr>
            </w:pPr>
            <w:r w:rsidRPr="001F0FBA">
              <w:rPr>
                <w:sz w:val="16"/>
                <w:szCs w:val="16"/>
                <w:lang w:eastAsia="x-none"/>
              </w:rPr>
              <w:t>P</w:t>
            </w:r>
          </w:p>
        </w:tc>
        <w:tc>
          <w:tcPr>
            <w:tcW w:w="992" w:type="dxa"/>
          </w:tcPr>
          <w:p w14:paraId="0D494676"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993" w:type="dxa"/>
          </w:tcPr>
          <w:p w14:paraId="0D494677" w14:textId="77777777" w:rsidR="006B07CF" w:rsidRPr="001F0FBA" w:rsidRDefault="006B07CF" w:rsidP="00E076B3">
            <w:pPr>
              <w:spacing w:after="0"/>
              <w:jc w:val="center"/>
              <w:rPr>
                <w:sz w:val="16"/>
                <w:szCs w:val="16"/>
                <w:lang w:eastAsia="x-none"/>
              </w:rPr>
            </w:pPr>
          </w:p>
        </w:tc>
        <w:tc>
          <w:tcPr>
            <w:tcW w:w="1276" w:type="dxa"/>
          </w:tcPr>
          <w:p w14:paraId="0D494678" w14:textId="77777777" w:rsidR="006B07CF" w:rsidRPr="001F0FBA" w:rsidRDefault="006B07CF" w:rsidP="00E076B3">
            <w:pPr>
              <w:spacing w:after="0"/>
              <w:jc w:val="center"/>
              <w:rPr>
                <w:sz w:val="16"/>
                <w:szCs w:val="16"/>
                <w:lang w:eastAsia="x-none"/>
              </w:rPr>
            </w:pPr>
          </w:p>
        </w:tc>
        <w:tc>
          <w:tcPr>
            <w:tcW w:w="1133" w:type="dxa"/>
          </w:tcPr>
          <w:p w14:paraId="0D494679"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134" w:type="dxa"/>
          </w:tcPr>
          <w:p w14:paraId="0D49467A" w14:textId="77777777" w:rsidR="006B07CF" w:rsidRPr="001F0FBA" w:rsidRDefault="006B07CF" w:rsidP="00E076B3">
            <w:pPr>
              <w:spacing w:after="0"/>
              <w:jc w:val="center"/>
              <w:rPr>
                <w:sz w:val="16"/>
                <w:szCs w:val="16"/>
                <w:lang w:eastAsia="x-none"/>
              </w:rPr>
            </w:pPr>
          </w:p>
        </w:tc>
      </w:tr>
      <w:tr w:rsidR="006B07CF" w:rsidRPr="001F0FBA" w14:paraId="0D494683" w14:textId="77777777" w:rsidTr="00E076B3">
        <w:tc>
          <w:tcPr>
            <w:tcW w:w="2373" w:type="dxa"/>
          </w:tcPr>
          <w:p w14:paraId="0D49467C" w14:textId="77777777" w:rsidR="006B07CF" w:rsidRPr="001F0FBA" w:rsidRDefault="006B07CF" w:rsidP="00E076B3">
            <w:pPr>
              <w:spacing w:after="0"/>
              <w:rPr>
                <w:sz w:val="16"/>
                <w:szCs w:val="16"/>
                <w:lang w:eastAsia="x-none"/>
              </w:rPr>
            </w:pPr>
            <w:r w:rsidRPr="001F0FBA">
              <w:rPr>
                <w:sz w:val="16"/>
                <w:szCs w:val="16"/>
                <w:lang w:eastAsia="x-none"/>
              </w:rPr>
              <w:t>Global warming</w:t>
            </w:r>
          </w:p>
        </w:tc>
        <w:tc>
          <w:tcPr>
            <w:tcW w:w="1279" w:type="dxa"/>
          </w:tcPr>
          <w:p w14:paraId="0D49467D"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7E"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993" w:type="dxa"/>
          </w:tcPr>
          <w:p w14:paraId="0D49467F"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80" w14:textId="77777777" w:rsidR="006B07CF" w:rsidRPr="001F0FBA" w:rsidRDefault="006B07CF" w:rsidP="00E076B3">
            <w:pPr>
              <w:spacing w:after="0"/>
              <w:jc w:val="center"/>
              <w:rPr>
                <w:sz w:val="16"/>
                <w:szCs w:val="16"/>
                <w:lang w:eastAsia="x-none"/>
              </w:rPr>
            </w:pPr>
          </w:p>
        </w:tc>
        <w:tc>
          <w:tcPr>
            <w:tcW w:w="1133" w:type="dxa"/>
          </w:tcPr>
          <w:p w14:paraId="0D494681"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134" w:type="dxa"/>
          </w:tcPr>
          <w:p w14:paraId="0D494682"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r>
      <w:tr w:rsidR="006B07CF" w:rsidRPr="001F0FBA" w14:paraId="0D49468B" w14:textId="77777777" w:rsidTr="00E076B3">
        <w:tc>
          <w:tcPr>
            <w:tcW w:w="2373" w:type="dxa"/>
          </w:tcPr>
          <w:p w14:paraId="0D494684" w14:textId="77777777" w:rsidR="006B07CF" w:rsidRPr="001F0FBA" w:rsidRDefault="006B07CF" w:rsidP="00E076B3">
            <w:pPr>
              <w:spacing w:after="0"/>
              <w:rPr>
                <w:sz w:val="16"/>
                <w:szCs w:val="16"/>
                <w:lang w:eastAsia="x-none"/>
              </w:rPr>
            </w:pPr>
            <w:r w:rsidRPr="001F0FBA">
              <w:rPr>
                <w:sz w:val="16"/>
                <w:szCs w:val="16"/>
                <w:lang w:eastAsia="x-none"/>
              </w:rPr>
              <w:t>Human toxicity</w:t>
            </w:r>
          </w:p>
        </w:tc>
        <w:tc>
          <w:tcPr>
            <w:tcW w:w="1279" w:type="dxa"/>
          </w:tcPr>
          <w:p w14:paraId="0D494685"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86" w14:textId="77777777" w:rsidR="006B07CF" w:rsidRPr="001F0FBA" w:rsidRDefault="006B07CF" w:rsidP="00E076B3">
            <w:pPr>
              <w:spacing w:after="0"/>
              <w:jc w:val="center"/>
              <w:rPr>
                <w:sz w:val="16"/>
                <w:szCs w:val="16"/>
                <w:lang w:eastAsia="x-none"/>
              </w:rPr>
            </w:pPr>
          </w:p>
        </w:tc>
        <w:tc>
          <w:tcPr>
            <w:tcW w:w="993" w:type="dxa"/>
          </w:tcPr>
          <w:p w14:paraId="0D494687"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88" w14:textId="77777777" w:rsidR="006B07CF" w:rsidRPr="001F0FBA" w:rsidRDefault="006B07CF" w:rsidP="00E076B3">
            <w:pPr>
              <w:spacing w:after="0"/>
              <w:jc w:val="center"/>
              <w:rPr>
                <w:sz w:val="16"/>
                <w:szCs w:val="16"/>
                <w:lang w:eastAsia="x-none"/>
              </w:rPr>
            </w:pPr>
          </w:p>
        </w:tc>
        <w:tc>
          <w:tcPr>
            <w:tcW w:w="1133" w:type="dxa"/>
          </w:tcPr>
          <w:p w14:paraId="0D494689" w14:textId="77777777" w:rsidR="006B07CF" w:rsidRPr="001F0FBA" w:rsidRDefault="006B07CF" w:rsidP="00E076B3">
            <w:pPr>
              <w:spacing w:after="0"/>
              <w:jc w:val="center"/>
              <w:rPr>
                <w:sz w:val="16"/>
                <w:szCs w:val="16"/>
                <w:lang w:eastAsia="x-none"/>
              </w:rPr>
            </w:pPr>
          </w:p>
        </w:tc>
        <w:tc>
          <w:tcPr>
            <w:tcW w:w="1134" w:type="dxa"/>
          </w:tcPr>
          <w:p w14:paraId="0D49468A" w14:textId="77777777" w:rsidR="006B07CF" w:rsidRPr="001F0FBA" w:rsidRDefault="006B07CF" w:rsidP="00E076B3">
            <w:pPr>
              <w:spacing w:after="0"/>
              <w:jc w:val="center"/>
              <w:rPr>
                <w:sz w:val="16"/>
                <w:szCs w:val="16"/>
                <w:lang w:eastAsia="x-none"/>
              </w:rPr>
            </w:pPr>
          </w:p>
        </w:tc>
      </w:tr>
      <w:tr w:rsidR="006B07CF" w:rsidRPr="001F0FBA" w14:paraId="0D494693" w14:textId="77777777" w:rsidTr="00E076B3">
        <w:tc>
          <w:tcPr>
            <w:tcW w:w="2373" w:type="dxa"/>
          </w:tcPr>
          <w:p w14:paraId="0D49468C" w14:textId="77777777" w:rsidR="006B07CF" w:rsidRPr="001F0FBA" w:rsidRDefault="006B07CF" w:rsidP="00E076B3">
            <w:pPr>
              <w:spacing w:after="0"/>
              <w:rPr>
                <w:sz w:val="16"/>
                <w:szCs w:val="16"/>
                <w:lang w:eastAsia="x-none"/>
              </w:rPr>
            </w:pPr>
            <w:r w:rsidRPr="001F0FBA">
              <w:rPr>
                <w:sz w:val="16"/>
                <w:szCs w:val="16"/>
                <w:lang w:eastAsia="x-none"/>
              </w:rPr>
              <w:t>Ecotox</w:t>
            </w:r>
            <w:r>
              <w:rPr>
                <w:sz w:val="16"/>
                <w:szCs w:val="16"/>
                <w:lang w:eastAsia="x-none"/>
              </w:rPr>
              <w:t>i</w:t>
            </w:r>
            <w:r w:rsidRPr="001F0FBA">
              <w:rPr>
                <w:sz w:val="16"/>
                <w:szCs w:val="16"/>
                <w:lang w:eastAsia="x-none"/>
              </w:rPr>
              <w:t>city</w:t>
            </w:r>
          </w:p>
        </w:tc>
        <w:tc>
          <w:tcPr>
            <w:tcW w:w="1279" w:type="dxa"/>
          </w:tcPr>
          <w:p w14:paraId="0D49468D"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8E" w14:textId="77777777" w:rsidR="006B07CF" w:rsidRPr="001F0FBA" w:rsidRDefault="006B07CF" w:rsidP="00E076B3">
            <w:pPr>
              <w:spacing w:after="0"/>
              <w:jc w:val="center"/>
              <w:rPr>
                <w:sz w:val="16"/>
                <w:szCs w:val="16"/>
                <w:lang w:eastAsia="x-none"/>
              </w:rPr>
            </w:pPr>
          </w:p>
        </w:tc>
        <w:tc>
          <w:tcPr>
            <w:tcW w:w="993" w:type="dxa"/>
          </w:tcPr>
          <w:p w14:paraId="0D49468F"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90" w14:textId="77777777" w:rsidR="006B07CF" w:rsidRPr="001F0FBA" w:rsidRDefault="006B07CF" w:rsidP="00E076B3">
            <w:pPr>
              <w:spacing w:after="0"/>
              <w:jc w:val="center"/>
              <w:rPr>
                <w:sz w:val="16"/>
                <w:szCs w:val="16"/>
                <w:lang w:eastAsia="x-none"/>
              </w:rPr>
            </w:pPr>
          </w:p>
        </w:tc>
        <w:tc>
          <w:tcPr>
            <w:tcW w:w="1133" w:type="dxa"/>
          </w:tcPr>
          <w:p w14:paraId="0D494691" w14:textId="77777777" w:rsidR="006B07CF" w:rsidRPr="001F0FBA" w:rsidRDefault="006B07CF" w:rsidP="00E076B3">
            <w:pPr>
              <w:spacing w:after="0"/>
              <w:jc w:val="center"/>
              <w:rPr>
                <w:sz w:val="16"/>
                <w:szCs w:val="16"/>
                <w:lang w:eastAsia="x-none"/>
              </w:rPr>
            </w:pPr>
          </w:p>
        </w:tc>
        <w:tc>
          <w:tcPr>
            <w:tcW w:w="1134" w:type="dxa"/>
          </w:tcPr>
          <w:p w14:paraId="0D494692" w14:textId="77777777" w:rsidR="006B07CF" w:rsidRPr="001F0FBA" w:rsidRDefault="006B07CF" w:rsidP="00E076B3">
            <w:pPr>
              <w:spacing w:after="0"/>
              <w:jc w:val="center"/>
              <w:rPr>
                <w:sz w:val="16"/>
                <w:szCs w:val="16"/>
                <w:lang w:eastAsia="x-none"/>
              </w:rPr>
            </w:pPr>
          </w:p>
        </w:tc>
      </w:tr>
      <w:tr w:rsidR="006B07CF" w:rsidRPr="001F0FBA" w14:paraId="0D49469B" w14:textId="77777777" w:rsidTr="00E076B3">
        <w:tc>
          <w:tcPr>
            <w:tcW w:w="2373" w:type="dxa"/>
          </w:tcPr>
          <w:p w14:paraId="0D494694" w14:textId="77777777" w:rsidR="006B07CF" w:rsidRPr="001F0FBA" w:rsidRDefault="006B07CF" w:rsidP="00E076B3">
            <w:pPr>
              <w:spacing w:after="0"/>
              <w:rPr>
                <w:sz w:val="16"/>
                <w:szCs w:val="16"/>
                <w:lang w:eastAsia="x-none"/>
              </w:rPr>
            </w:pPr>
            <w:r w:rsidRPr="001F0FBA">
              <w:rPr>
                <w:sz w:val="16"/>
                <w:szCs w:val="16"/>
                <w:lang w:eastAsia="x-none"/>
              </w:rPr>
              <w:t>Resource depletion</w:t>
            </w:r>
          </w:p>
        </w:tc>
        <w:tc>
          <w:tcPr>
            <w:tcW w:w="1279" w:type="dxa"/>
          </w:tcPr>
          <w:p w14:paraId="0D494695"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96" w14:textId="77777777" w:rsidR="006B07CF" w:rsidRPr="001F0FBA" w:rsidRDefault="006B07CF" w:rsidP="00E076B3">
            <w:pPr>
              <w:spacing w:after="0"/>
              <w:jc w:val="center"/>
              <w:rPr>
                <w:sz w:val="16"/>
                <w:szCs w:val="16"/>
                <w:lang w:eastAsia="x-none"/>
              </w:rPr>
            </w:pPr>
          </w:p>
        </w:tc>
        <w:tc>
          <w:tcPr>
            <w:tcW w:w="993" w:type="dxa"/>
          </w:tcPr>
          <w:p w14:paraId="0D494697"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98" w14:textId="77777777" w:rsidR="006B07CF" w:rsidRPr="001F0FBA" w:rsidRDefault="006B07CF" w:rsidP="00E076B3">
            <w:pPr>
              <w:spacing w:after="0"/>
              <w:jc w:val="center"/>
              <w:rPr>
                <w:sz w:val="16"/>
                <w:szCs w:val="16"/>
                <w:lang w:eastAsia="x-none"/>
              </w:rPr>
            </w:pPr>
          </w:p>
        </w:tc>
        <w:tc>
          <w:tcPr>
            <w:tcW w:w="1133" w:type="dxa"/>
          </w:tcPr>
          <w:p w14:paraId="0D494699" w14:textId="77777777" w:rsidR="006B07CF" w:rsidRPr="001F0FBA" w:rsidRDefault="006B07CF" w:rsidP="00E076B3">
            <w:pPr>
              <w:spacing w:after="0"/>
              <w:jc w:val="center"/>
              <w:rPr>
                <w:sz w:val="16"/>
                <w:szCs w:val="16"/>
                <w:lang w:eastAsia="x-none"/>
              </w:rPr>
            </w:pPr>
          </w:p>
        </w:tc>
        <w:tc>
          <w:tcPr>
            <w:tcW w:w="1134" w:type="dxa"/>
          </w:tcPr>
          <w:p w14:paraId="0D49469A"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r>
      <w:tr w:rsidR="006B07CF" w:rsidRPr="001F0FBA" w14:paraId="0D4946A3" w14:textId="77777777" w:rsidTr="00E076B3">
        <w:tc>
          <w:tcPr>
            <w:tcW w:w="2373" w:type="dxa"/>
          </w:tcPr>
          <w:p w14:paraId="0D49469C" w14:textId="77777777" w:rsidR="006B07CF" w:rsidRPr="001F0FBA" w:rsidRDefault="006B07CF" w:rsidP="00E076B3">
            <w:pPr>
              <w:spacing w:after="0"/>
              <w:rPr>
                <w:sz w:val="16"/>
                <w:szCs w:val="16"/>
                <w:lang w:eastAsia="x-none"/>
              </w:rPr>
            </w:pPr>
            <w:r w:rsidRPr="001F0FBA">
              <w:rPr>
                <w:sz w:val="16"/>
                <w:szCs w:val="16"/>
                <w:lang w:eastAsia="x-none"/>
              </w:rPr>
              <w:t>Eutrophication</w:t>
            </w:r>
          </w:p>
        </w:tc>
        <w:tc>
          <w:tcPr>
            <w:tcW w:w="1279" w:type="dxa"/>
          </w:tcPr>
          <w:p w14:paraId="0D49469D" w14:textId="77777777" w:rsidR="006B07CF" w:rsidRPr="001F0FBA" w:rsidRDefault="006B07CF" w:rsidP="00E076B3">
            <w:pPr>
              <w:spacing w:after="0"/>
              <w:jc w:val="center"/>
              <w:rPr>
                <w:sz w:val="16"/>
                <w:szCs w:val="16"/>
                <w:lang w:eastAsia="x-none"/>
              </w:rPr>
            </w:pPr>
            <w:r w:rsidRPr="001F0FBA">
              <w:rPr>
                <w:sz w:val="16"/>
                <w:szCs w:val="16"/>
                <w:lang w:eastAsia="x-none"/>
              </w:rPr>
              <w:t>I</w:t>
            </w:r>
          </w:p>
        </w:tc>
        <w:tc>
          <w:tcPr>
            <w:tcW w:w="992" w:type="dxa"/>
          </w:tcPr>
          <w:p w14:paraId="0D49469E" w14:textId="77777777" w:rsidR="006B07CF" w:rsidRPr="001F0FBA" w:rsidRDefault="006B07CF" w:rsidP="00E076B3">
            <w:pPr>
              <w:spacing w:after="0"/>
              <w:jc w:val="center"/>
              <w:rPr>
                <w:sz w:val="16"/>
                <w:szCs w:val="16"/>
                <w:lang w:eastAsia="x-none"/>
              </w:rPr>
            </w:pPr>
          </w:p>
        </w:tc>
        <w:tc>
          <w:tcPr>
            <w:tcW w:w="993" w:type="dxa"/>
          </w:tcPr>
          <w:p w14:paraId="0D49469F" w14:textId="77777777" w:rsidR="006B07CF" w:rsidRPr="001F0FBA" w:rsidRDefault="006B07CF" w:rsidP="00E076B3">
            <w:pPr>
              <w:spacing w:after="0"/>
              <w:jc w:val="center"/>
              <w:rPr>
                <w:sz w:val="16"/>
                <w:szCs w:val="16"/>
                <w:lang w:eastAsia="x-none"/>
              </w:rPr>
            </w:pPr>
            <w:r>
              <w:rPr>
                <w:sz w:val="16"/>
                <w:szCs w:val="16"/>
                <w:lang w:eastAsia="x-none"/>
              </w:rPr>
              <w:sym w:font="Wingdings" w:char="F0FC"/>
            </w:r>
          </w:p>
        </w:tc>
        <w:tc>
          <w:tcPr>
            <w:tcW w:w="1276" w:type="dxa"/>
          </w:tcPr>
          <w:p w14:paraId="0D4946A0" w14:textId="77777777" w:rsidR="006B07CF" w:rsidRPr="001F0FBA" w:rsidRDefault="006B07CF" w:rsidP="00E076B3">
            <w:pPr>
              <w:spacing w:after="0"/>
              <w:jc w:val="center"/>
              <w:rPr>
                <w:sz w:val="16"/>
                <w:szCs w:val="16"/>
                <w:lang w:eastAsia="x-none"/>
              </w:rPr>
            </w:pPr>
          </w:p>
        </w:tc>
        <w:tc>
          <w:tcPr>
            <w:tcW w:w="1133" w:type="dxa"/>
          </w:tcPr>
          <w:p w14:paraId="0D4946A1" w14:textId="77777777" w:rsidR="006B07CF" w:rsidRPr="001F0FBA" w:rsidRDefault="006B07CF" w:rsidP="00E076B3">
            <w:pPr>
              <w:spacing w:after="0"/>
              <w:jc w:val="center"/>
              <w:rPr>
                <w:sz w:val="16"/>
                <w:szCs w:val="16"/>
                <w:lang w:eastAsia="x-none"/>
              </w:rPr>
            </w:pPr>
          </w:p>
        </w:tc>
        <w:tc>
          <w:tcPr>
            <w:tcW w:w="1134" w:type="dxa"/>
          </w:tcPr>
          <w:p w14:paraId="0D4946A2" w14:textId="77777777" w:rsidR="006B07CF" w:rsidRPr="001F0FBA" w:rsidRDefault="006B07CF" w:rsidP="00E076B3">
            <w:pPr>
              <w:spacing w:after="0"/>
              <w:jc w:val="center"/>
              <w:rPr>
                <w:sz w:val="16"/>
                <w:szCs w:val="16"/>
                <w:lang w:eastAsia="x-none"/>
              </w:rPr>
            </w:pPr>
          </w:p>
        </w:tc>
      </w:tr>
      <w:tr w:rsidR="006B07CF" w:rsidRPr="001F0FBA" w14:paraId="0D4946AB" w14:textId="77777777" w:rsidTr="00E076B3">
        <w:tc>
          <w:tcPr>
            <w:tcW w:w="2373" w:type="dxa"/>
          </w:tcPr>
          <w:p w14:paraId="0D4946A4" w14:textId="77777777" w:rsidR="006B07CF" w:rsidRPr="001F0FBA" w:rsidRDefault="006B07CF" w:rsidP="00E076B3">
            <w:pPr>
              <w:spacing w:after="0"/>
              <w:rPr>
                <w:sz w:val="16"/>
                <w:szCs w:val="16"/>
                <w:lang w:eastAsia="x-none"/>
              </w:rPr>
            </w:pPr>
            <w:r w:rsidRPr="001F0FBA">
              <w:rPr>
                <w:sz w:val="16"/>
                <w:szCs w:val="16"/>
                <w:lang w:eastAsia="x-none"/>
              </w:rPr>
              <w:t>End-point indicator*</w:t>
            </w:r>
          </w:p>
        </w:tc>
        <w:tc>
          <w:tcPr>
            <w:tcW w:w="1279" w:type="dxa"/>
          </w:tcPr>
          <w:p w14:paraId="0D4946A5" w14:textId="77777777" w:rsidR="006B07CF" w:rsidRPr="001F0FBA" w:rsidRDefault="006B07CF" w:rsidP="00E076B3">
            <w:pPr>
              <w:spacing w:after="0"/>
              <w:jc w:val="center"/>
              <w:rPr>
                <w:sz w:val="16"/>
                <w:szCs w:val="16"/>
                <w:lang w:eastAsia="x-none"/>
              </w:rPr>
            </w:pPr>
            <w:r w:rsidRPr="001F0FBA">
              <w:rPr>
                <w:sz w:val="16"/>
                <w:szCs w:val="16"/>
                <w:lang w:eastAsia="x-none"/>
              </w:rPr>
              <w:t>n</w:t>
            </w:r>
            <w:r>
              <w:rPr>
                <w:sz w:val="16"/>
                <w:szCs w:val="16"/>
                <w:lang w:eastAsia="x-none"/>
              </w:rPr>
              <w:t>/</w:t>
            </w:r>
            <w:r w:rsidRPr="001F0FBA">
              <w:rPr>
                <w:sz w:val="16"/>
                <w:szCs w:val="16"/>
                <w:lang w:eastAsia="x-none"/>
              </w:rPr>
              <w:t>a</w:t>
            </w:r>
          </w:p>
        </w:tc>
        <w:tc>
          <w:tcPr>
            <w:tcW w:w="992" w:type="dxa"/>
          </w:tcPr>
          <w:p w14:paraId="0D4946A6" w14:textId="77777777" w:rsidR="006B07CF" w:rsidRPr="001F0FBA" w:rsidRDefault="006B07CF" w:rsidP="00E076B3">
            <w:pPr>
              <w:spacing w:after="0"/>
              <w:jc w:val="center"/>
              <w:rPr>
                <w:sz w:val="16"/>
                <w:szCs w:val="16"/>
                <w:lang w:eastAsia="x-none"/>
              </w:rPr>
            </w:pPr>
          </w:p>
        </w:tc>
        <w:tc>
          <w:tcPr>
            <w:tcW w:w="993" w:type="dxa"/>
          </w:tcPr>
          <w:p w14:paraId="0D4946A7" w14:textId="77777777" w:rsidR="006B07CF" w:rsidRPr="001F0FBA" w:rsidRDefault="006B07CF" w:rsidP="00E076B3">
            <w:pPr>
              <w:spacing w:after="0"/>
              <w:jc w:val="center"/>
              <w:rPr>
                <w:sz w:val="16"/>
                <w:szCs w:val="16"/>
                <w:lang w:eastAsia="x-none"/>
              </w:rPr>
            </w:pPr>
          </w:p>
        </w:tc>
        <w:tc>
          <w:tcPr>
            <w:tcW w:w="1276" w:type="dxa"/>
          </w:tcPr>
          <w:p w14:paraId="0D4946A8" w14:textId="77777777" w:rsidR="006B07CF" w:rsidRPr="001F0FBA" w:rsidRDefault="006B07CF" w:rsidP="00E076B3">
            <w:pPr>
              <w:spacing w:after="0"/>
              <w:jc w:val="center"/>
              <w:rPr>
                <w:sz w:val="16"/>
                <w:szCs w:val="16"/>
                <w:lang w:eastAsia="x-none"/>
              </w:rPr>
            </w:pPr>
            <w:r>
              <w:rPr>
                <w:sz w:val="16"/>
                <w:szCs w:val="16"/>
                <w:lang w:eastAsia="x-none"/>
              </w:rPr>
              <w:sym w:font="Wingdings" w:char="F0FC"/>
            </w:r>
            <w:r w:rsidRPr="001F0FBA">
              <w:rPr>
                <w:sz w:val="16"/>
                <w:szCs w:val="16"/>
                <w:lang w:eastAsia="x-none"/>
              </w:rPr>
              <w:t>*</w:t>
            </w:r>
          </w:p>
        </w:tc>
        <w:tc>
          <w:tcPr>
            <w:tcW w:w="1133" w:type="dxa"/>
          </w:tcPr>
          <w:p w14:paraId="0D4946A9" w14:textId="77777777" w:rsidR="006B07CF" w:rsidRPr="001F0FBA" w:rsidRDefault="006B07CF" w:rsidP="00E076B3">
            <w:pPr>
              <w:spacing w:after="0"/>
              <w:jc w:val="center"/>
              <w:rPr>
                <w:sz w:val="16"/>
                <w:szCs w:val="16"/>
                <w:lang w:eastAsia="x-none"/>
              </w:rPr>
            </w:pPr>
          </w:p>
        </w:tc>
        <w:tc>
          <w:tcPr>
            <w:tcW w:w="1134" w:type="dxa"/>
          </w:tcPr>
          <w:p w14:paraId="0D4946AA" w14:textId="77777777" w:rsidR="006B07CF" w:rsidRPr="001F0FBA" w:rsidRDefault="006B07CF" w:rsidP="00E076B3">
            <w:pPr>
              <w:spacing w:after="0"/>
              <w:jc w:val="center"/>
              <w:rPr>
                <w:sz w:val="16"/>
                <w:szCs w:val="16"/>
                <w:lang w:eastAsia="x-none"/>
              </w:rPr>
            </w:pPr>
          </w:p>
        </w:tc>
      </w:tr>
    </w:tbl>
    <w:p w14:paraId="0D4946AC" w14:textId="77777777" w:rsidR="006B07CF" w:rsidRPr="00062E59" w:rsidRDefault="006B07CF" w:rsidP="006B07CF">
      <w:pPr>
        <w:rPr>
          <w:sz w:val="16"/>
          <w:lang w:eastAsia="x-none"/>
        </w:rPr>
      </w:pPr>
      <w:r w:rsidRPr="00062E59">
        <w:rPr>
          <w:sz w:val="16"/>
          <w:lang w:eastAsia="x-none"/>
        </w:rPr>
        <w:t xml:space="preserve">* An end-point indicator compiles and weights the results of a range of mid-point indicators (such as global warming, water use, photochemical oxidation etc.) to assess a total </w:t>
      </w:r>
      <w:r>
        <w:rPr>
          <w:sz w:val="16"/>
          <w:lang w:eastAsia="x-none"/>
        </w:rPr>
        <w:t>‘damage’</w:t>
      </w:r>
      <w:r w:rsidRPr="00062E59">
        <w:rPr>
          <w:sz w:val="16"/>
          <w:lang w:eastAsia="x-none"/>
        </w:rPr>
        <w:t xml:space="preserve"> outcome. The </w:t>
      </w:r>
      <w:r>
        <w:rPr>
          <w:sz w:val="16"/>
          <w:lang w:eastAsia="x-none"/>
        </w:rPr>
        <w:t xml:space="preserve">end-point </w:t>
      </w:r>
      <w:r w:rsidRPr="00062E59">
        <w:rPr>
          <w:sz w:val="16"/>
          <w:lang w:eastAsia="x-none"/>
        </w:rPr>
        <w:t>indicator used in the study here required the assessment of 22 mid-point indicators. The end point method used was a combination of EDIP 2003 and IMPACT 2002+.</w:t>
      </w:r>
    </w:p>
    <w:p w14:paraId="0D4946AD" w14:textId="77777777" w:rsidR="006B07CF" w:rsidRDefault="006B07CF" w:rsidP="006B07CF">
      <w:pPr>
        <w:rPr>
          <w:lang w:eastAsia="x-none"/>
        </w:rPr>
      </w:pPr>
      <w:r>
        <w:rPr>
          <w:lang w:eastAsia="x-none"/>
        </w:rPr>
        <w:t>Other studies (not shown in the table) tend to address one indicator (commonly global warming), with fewer addressing a range of indicators. Those LCA studies which address a range of indicators can be split into two categories, the first being those that employ ‘mid-point’ assessment methods, and the second being those that employ ‘end-point’ assessment methods (a definition of each is presented below). Mid-point approaches tended to be the most common of the multi-indicator approaches considered.</w:t>
      </w:r>
    </w:p>
    <w:p w14:paraId="0D4946AE" w14:textId="77777777" w:rsidR="006B07CF" w:rsidRPr="00062E59" w:rsidRDefault="006B07CF" w:rsidP="006B07CF">
      <w:pPr>
        <w:ind w:left="567" w:right="521"/>
        <w:rPr>
          <w:b/>
          <w:lang w:eastAsia="x-none"/>
        </w:rPr>
      </w:pPr>
      <w:r w:rsidRPr="00062E59">
        <w:rPr>
          <w:b/>
          <w:lang w:eastAsia="x-none"/>
        </w:rPr>
        <w:lastRenderedPageBreak/>
        <w:t>Mid</w:t>
      </w:r>
      <w:r>
        <w:rPr>
          <w:b/>
          <w:lang w:eastAsia="x-none"/>
        </w:rPr>
        <w:t>-</w:t>
      </w:r>
      <w:r w:rsidRPr="00062E59">
        <w:rPr>
          <w:b/>
          <w:lang w:eastAsia="x-none"/>
        </w:rPr>
        <w:t>point methods</w:t>
      </w:r>
    </w:p>
    <w:p w14:paraId="0D4946AF" w14:textId="48677DD4" w:rsidR="006B07CF" w:rsidRDefault="006B07CF" w:rsidP="006B07CF">
      <w:pPr>
        <w:ind w:left="567" w:right="521"/>
        <w:rPr>
          <w:lang w:eastAsia="x-none"/>
        </w:rPr>
      </w:pPr>
      <w:r>
        <w:rPr>
          <w:lang w:eastAsia="x-none"/>
        </w:rPr>
        <w:t xml:space="preserve">“Classical impact assessment methods (e.g. The Dutch Handbook: Guine et al. 2002, EDIP: Hauschild and Wenzel 1998 and further adaptations, TRACI: Bare et al. 2003) that stop quantitative modelling before the end of the impact pathways and link LCI results to so-defined midpoint categories, e.g. ozone depletion or acidification. However, depletion of the ozone layer, as expressed by a corresponding midpoint category indicator such as ozone depletion potential, is an environmental concern in itself, but the larger concern is usually the subsequent damages to humans, animals and plants.” </w:t>
      </w:r>
      <w:r>
        <w:rPr>
          <w:lang w:eastAsia="x-none"/>
        </w:rPr>
        <w:fldChar w:fldCharType="begin"/>
      </w:r>
      <w:r w:rsidR="00F40CE2">
        <w:rPr>
          <w:lang w:eastAsia="x-none"/>
        </w:rPr>
        <w:instrText xml:space="preserve"> ADDIN EN.CITE &lt;EndNote&gt;&lt;Cite&gt;&lt;Author&gt;Jolliet&lt;/Author&gt;&lt;Year&gt;2004&lt;/Year&gt;&lt;RecNum&gt;382&lt;/RecNum&gt;&lt;DisplayText&gt;(Jolliet et al., 2004)&lt;/DisplayText&gt;&lt;record&gt;&lt;rec-number&gt;382&lt;/rec-number&gt;&lt;foreign-keys&gt;&lt;key app="EN" db-id="tfpv5staxsvs2nexzpp5taewzsvpx0er5fap"&gt;382&lt;/key&gt;&lt;/foreign-keys&gt;&lt;ref-type name="Journal Article"&gt;17&lt;/ref-type&gt;&lt;contributors&gt;&lt;authors&gt;&lt;author&gt;Jolliet, Olivier&lt;/author&gt;&lt;author&gt;Müller-Wenk, Ruedi&lt;/author&gt;&lt;author&gt;Bare, Jane&lt;/author&gt;&lt;author&gt;Brent, Alan&lt;/author&gt;&lt;author&gt;Goedkoop, Mark&lt;/author&gt;&lt;author&gt;Heijungs, Reinout&lt;/author&gt;&lt;author&gt;Itsubo, Norihiro&lt;/author&gt;&lt;author&gt;Peña, Claudia&lt;/author&gt;&lt;author&gt;Pennington, David&lt;/author&gt;&lt;author&gt;Potting, José&lt;/author&gt;&lt;author&gt;Rebitzer, Gerald&lt;/author&gt;&lt;author&gt;Stewart, Mary&lt;/author&gt;&lt;author&gt;Haes, HeliasUdo&lt;/author&gt;&lt;author&gt;Weidema, Bo&lt;/author&gt;&lt;/authors&gt;&lt;/contributors&gt;&lt;titles&gt;&lt;title&gt;The LCIA midpoint-damage framework of the UNEP/SETAC life cycle initiative&lt;/title&gt;&lt;secondary-title&gt;The International Journal of Life Cycle Assessment&lt;/secondary-title&gt;&lt;alt-title&gt;Int J LCA&lt;/alt-title&gt;&lt;/titles&gt;&lt;periodical&gt;&lt;full-title&gt;The International Journal of Life Cycle Assessment&lt;/full-title&gt;&lt;abbr-1&gt;Int J LCA&lt;/abbr-1&gt;&lt;/periodical&gt;&lt;alt-periodical&gt;&lt;full-title&gt;The International Journal of Life Cycle Assessment&lt;/full-title&gt;&lt;abbr-1&gt;Int J LCA&lt;/abbr-1&gt;&lt;/alt-periodical&gt;&lt;pages&gt;394-404&lt;/pages&gt;&lt;volume&gt;9&lt;/volume&gt;&lt;number&gt;6&lt;/number&gt;&lt;keywords&gt;&lt;keyword&gt;Damage category&lt;/keyword&gt;&lt;keyword&gt;impact pathway&lt;/keyword&gt;&lt;keyword&gt;life cycle impact assessment (LCIA)&lt;/keyword&gt;&lt;keyword&gt;Life Cycle Initiative&lt;/keyword&gt;&lt;keyword&gt;midpoint category&lt;/keyword&gt;&lt;keyword&gt;SETAC&lt;/keyword&gt;&lt;keyword&gt;UNEP&lt;/keyword&gt;&lt;/keywords&gt;&lt;dates&gt;&lt;year&gt;2004&lt;/year&gt;&lt;pub-dates&gt;&lt;date&gt;2004/11/01&lt;/date&gt;&lt;/pub-dates&gt;&lt;/dates&gt;&lt;publisher&gt;Ecomed&lt;/publisher&gt;&lt;isbn&gt;0948-3349&lt;/isbn&gt;&lt;urls&gt;&lt;related-urls&gt;&lt;url&gt;http://dx.doi.org/10.1007/BF02979083&lt;/url&gt;&lt;/related-urls&gt;&lt;/urls&gt;&lt;electronic-resource-num&gt;10.1007/BF02979083&lt;/electronic-resource-num&gt;&lt;language&gt;English&lt;/language&gt;&lt;/record&gt;&lt;/Cite&gt;&lt;/EndNote&gt;</w:instrText>
      </w:r>
      <w:r>
        <w:rPr>
          <w:lang w:eastAsia="x-none"/>
        </w:rPr>
        <w:fldChar w:fldCharType="separate"/>
      </w:r>
      <w:r w:rsidR="00F40CE2">
        <w:rPr>
          <w:noProof/>
          <w:lang w:eastAsia="x-none"/>
        </w:rPr>
        <w:t>(</w:t>
      </w:r>
      <w:hyperlink w:anchor="_ENREF_54" w:tooltip="Jolliet, 2004 #382" w:history="1">
        <w:r w:rsidR="00F40CE2">
          <w:rPr>
            <w:noProof/>
            <w:lang w:eastAsia="x-none"/>
          </w:rPr>
          <w:t>Jolliet et al., 2004</w:t>
        </w:r>
      </w:hyperlink>
      <w:r w:rsidR="00F40CE2">
        <w:rPr>
          <w:noProof/>
          <w:lang w:eastAsia="x-none"/>
        </w:rPr>
        <w:t>)</w:t>
      </w:r>
      <w:r>
        <w:rPr>
          <w:lang w:eastAsia="x-none"/>
        </w:rPr>
        <w:fldChar w:fldCharType="end"/>
      </w:r>
    </w:p>
    <w:p w14:paraId="0D4946B0" w14:textId="77777777" w:rsidR="006B07CF" w:rsidRPr="00062E59" w:rsidRDefault="006B07CF" w:rsidP="006B07CF">
      <w:pPr>
        <w:ind w:left="567" w:right="521"/>
        <w:rPr>
          <w:b/>
          <w:lang w:eastAsia="x-none"/>
        </w:rPr>
      </w:pPr>
      <w:r w:rsidRPr="00062E59">
        <w:rPr>
          <w:b/>
          <w:lang w:eastAsia="x-none"/>
        </w:rPr>
        <w:t>End</w:t>
      </w:r>
      <w:r>
        <w:rPr>
          <w:b/>
          <w:lang w:eastAsia="x-none"/>
        </w:rPr>
        <w:t>-</w:t>
      </w:r>
      <w:r w:rsidRPr="00062E59">
        <w:rPr>
          <w:b/>
          <w:lang w:eastAsia="x-none"/>
        </w:rPr>
        <w:t>point methods</w:t>
      </w:r>
    </w:p>
    <w:p w14:paraId="0D4946B1" w14:textId="340BBEA7" w:rsidR="006B07CF" w:rsidRDefault="006B07CF" w:rsidP="006B07CF">
      <w:pPr>
        <w:ind w:left="567" w:right="521"/>
        <w:rPr>
          <w:lang w:eastAsia="x-none"/>
        </w:rPr>
      </w:pPr>
      <w:r>
        <w:rPr>
          <w:lang w:eastAsia="x-none"/>
        </w:rPr>
        <w:t>“Damage oriented methods (e.g. Ecoindicator 99: Goedkoop and Spriensma 2000, EPS: Steen 1999) which aim at LCA outcomes that are more easily interpretable for further weighting, by modelling the cause-effect chain up to the environmental damages, the damages to human health, to the natural environment and to natural resources. These may be expressed for example in additional cases of human health impairment or species endangerment, enabling to reduce the number of considered endpoints in making different midpoints comparable. They can, however, lead to high uncertainties.”</w:t>
      </w:r>
      <w:r>
        <w:rPr>
          <w:lang w:eastAsia="x-none"/>
        </w:rPr>
        <w:fldChar w:fldCharType="begin"/>
      </w:r>
      <w:r w:rsidR="00F40CE2">
        <w:rPr>
          <w:lang w:eastAsia="x-none"/>
        </w:rPr>
        <w:instrText xml:space="preserve"> ADDIN EN.CITE &lt;EndNote&gt;&lt;Cite&gt;&lt;Author&gt;Jolliet&lt;/Author&gt;&lt;Year&gt;2004&lt;/Year&gt;&lt;RecNum&gt;382&lt;/RecNum&gt;&lt;DisplayText&gt;(Jolliet et al., 2004)&lt;/DisplayText&gt;&lt;record&gt;&lt;rec-number&gt;382&lt;/rec-number&gt;&lt;foreign-keys&gt;&lt;key app="EN" db-id="tfpv5staxsvs2nexzpp5taewzsvpx0er5fap"&gt;382&lt;/key&gt;&lt;/foreign-keys&gt;&lt;ref-type name="Journal Article"&gt;17&lt;/ref-type&gt;&lt;contributors&gt;&lt;authors&gt;&lt;author&gt;Jolliet, Olivier&lt;/author&gt;&lt;author&gt;Müller-Wenk, Ruedi&lt;/author&gt;&lt;author&gt;Bare, Jane&lt;/author&gt;&lt;author&gt;Brent, Alan&lt;/author&gt;&lt;author&gt;Goedkoop, Mark&lt;/author&gt;&lt;author&gt;Heijungs, Reinout&lt;/author&gt;&lt;author&gt;Itsubo, Norihiro&lt;/author&gt;&lt;author&gt;Peña, Claudia&lt;/author&gt;&lt;author&gt;Pennington, David&lt;/author&gt;&lt;author&gt;Potting, José&lt;/author&gt;&lt;author&gt;Rebitzer, Gerald&lt;/author&gt;&lt;author&gt;Stewart, Mary&lt;/author&gt;&lt;author&gt;Haes, HeliasUdo&lt;/author&gt;&lt;author&gt;Weidema, Bo&lt;/author&gt;&lt;/authors&gt;&lt;/contributors&gt;&lt;titles&gt;&lt;title&gt;The LCIA midpoint-damage framework of the UNEP/SETAC life cycle initiative&lt;/title&gt;&lt;secondary-title&gt;The International Journal of Life Cycle Assessment&lt;/secondary-title&gt;&lt;alt-title&gt;Int J LCA&lt;/alt-title&gt;&lt;/titles&gt;&lt;periodical&gt;&lt;full-title&gt;The International Journal of Life Cycle Assessment&lt;/full-title&gt;&lt;abbr-1&gt;Int J LCA&lt;/abbr-1&gt;&lt;/periodical&gt;&lt;alt-periodical&gt;&lt;full-title&gt;The International Journal of Life Cycle Assessment&lt;/full-title&gt;&lt;abbr-1&gt;Int J LCA&lt;/abbr-1&gt;&lt;/alt-periodical&gt;&lt;pages&gt;394-404&lt;/pages&gt;&lt;volume&gt;9&lt;/volume&gt;&lt;number&gt;6&lt;/number&gt;&lt;keywords&gt;&lt;keyword&gt;Damage category&lt;/keyword&gt;&lt;keyword&gt;impact pathway&lt;/keyword&gt;&lt;keyword&gt;life cycle impact assessment (LCIA)&lt;/keyword&gt;&lt;keyword&gt;Life Cycle Initiative&lt;/keyword&gt;&lt;keyword&gt;midpoint category&lt;/keyword&gt;&lt;keyword&gt;SETAC&lt;/keyword&gt;&lt;keyword&gt;UNEP&lt;/keyword&gt;&lt;/keywords&gt;&lt;dates&gt;&lt;year&gt;2004&lt;/year&gt;&lt;pub-dates&gt;&lt;date&gt;2004/11/01&lt;/date&gt;&lt;/pub-dates&gt;&lt;/dates&gt;&lt;publisher&gt;Ecomed&lt;/publisher&gt;&lt;isbn&gt;0948-3349&lt;/isbn&gt;&lt;urls&gt;&lt;related-urls&gt;&lt;url&gt;http://dx.doi.org/10.1007/BF02979083&lt;/url&gt;&lt;/related-urls&gt;&lt;/urls&gt;&lt;electronic-resource-num&gt;10.1007/BF02979083&lt;/electronic-resource-num&gt;&lt;language&gt;English&lt;/language&gt;&lt;/record&gt;&lt;/Cite&gt;&lt;/EndNote&gt;</w:instrText>
      </w:r>
      <w:r>
        <w:rPr>
          <w:lang w:eastAsia="x-none"/>
        </w:rPr>
        <w:fldChar w:fldCharType="separate"/>
      </w:r>
      <w:r w:rsidR="00F40CE2">
        <w:rPr>
          <w:noProof/>
          <w:lang w:eastAsia="x-none"/>
        </w:rPr>
        <w:t>(</w:t>
      </w:r>
      <w:hyperlink w:anchor="_ENREF_54" w:tooltip="Jolliet, 2004 #382" w:history="1">
        <w:r w:rsidR="00F40CE2">
          <w:rPr>
            <w:noProof/>
            <w:lang w:eastAsia="x-none"/>
          </w:rPr>
          <w:t>Jolliet et al., 2004</w:t>
        </w:r>
      </w:hyperlink>
      <w:r w:rsidR="00F40CE2">
        <w:rPr>
          <w:noProof/>
          <w:lang w:eastAsia="x-none"/>
        </w:rPr>
        <w:t>)</w:t>
      </w:r>
      <w:r>
        <w:rPr>
          <w:lang w:eastAsia="x-none"/>
        </w:rPr>
        <w:fldChar w:fldCharType="end"/>
      </w:r>
    </w:p>
    <w:p w14:paraId="0D4946B2" w14:textId="77777777" w:rsidR="006B07CF" w:rsidRDefault="006B07CF" w:rsidP="006B07CF">
      <w:pPr>
        <w:rPr>
          <w:lang w:eastAsia="x-none"/>
        </w:rPr>
      </w:pPr>
      <w:r>
        <w:rPr>
          <w:lang w:eastAsia="x-none"/>
        </w:rPr>
        <w:t xml:space="preserve">Overall, the literature provides a range of valid options when it comes to impact assessment. </w:t>
      </w:r>
    </w:p>
    <w:p w14:paraId="0D4946B3" w14:textId="77777777" w:rsidR="006B07CF" w:rsidRPr="006B07CF" w:rsidRDefault="006B07CF" w:rsidP="009E73CF">
      <w:pPr>
        <w:pStyle w:val="Heading2"/>
        <w:numPr>
          <w:ilvl w:val="1"/>
          <w:numId w:val="31"/>
        </w:numPr>
        <w:ind w:left="426"/>
      </w:pPr>
      <w:bookmarkStart w:id="365" w:name="_Toc433964602"/>
      <w:r>
        <w:t>More recent recycling</w:t>
      </w:r>
      <w:r w:rsidRPr="006B07CF">
        <w:t xml:space="preserve"> LCA’s</w:t>
      </w:r>
      <w:bookmarkEnd w:id="365"/>
    </w:p>
    <w:p w14:paraId="0D4946B4" w14:textId="46BBCD2F" w:rsidR="006B07CF" w:rsidRDefault="006B07CF" w:rsidP="006B07CF">
      <w:pPr>
        <w:rPr>
          <w:lang w:eastAsia="x-none"/>
        </w:rPr>
      </w:pPr>
      <w:r>
        <w:rPr>
          <w:lang w:eastAsia="x-none"/>
        </w:rPr>
        <w:t xml:space="preserve">Numerous local (Australian) LCA based studies have been completed since </w:t>
      </w:r>
      <w:r w:rsidRPr="00BA0E49">
        <w:rPr>
          <w:lang w:eastAsia="x-none"/>
        </w:rPr>
        <w:t>Grant et al</w:t>
      </w:r>
      <w:r>
        <w:rPr>
          <w:lang w:eastAsia="x-none"/>
        </w:rPr>
        <w:t xml:space="preserve"> </w:t>
      </w:r>
      <w:r>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Pr>
          <w:lang w:eastAsia="x-none"/>
        </w:rPr>
        <w:fldChar w:fldCharType="end"/>
      </w:r>
      <w:r>
        <w:rPr>
          <w:lang w:eastAsia="x-none"/>
        </w:rPr>
        <w:t>, including:</w:t>
      </w:r>
    </w:p>
    <w:p w14:paraId="0D4946B5" w14:textId="5416B5EC" w:rsidR="006B07CF" w:rsidRPr="00BD79EE" w:rsidRDefault="006B07CF" w:rsidP="006B07CF">
      <w:pPr>
        <w:numPr>
          <w:ilvl w:val="0"/>
          <w:numId w:val="14"/>
        </w:numPr>
        <w:tabs>
          <w:tab w:val="left" w:pos="567"/>
        </w:tabs>
        <w:spacing w:after="0"/>
        <w:ind w:left="567" w:hanging="567"/>
        <w:rPr>
          <w:szCs w:val="16"/>
        </w:rPr>
      </w:pPr>
      <w:r w:rsidRPr="00BD79EE">
        <w:rPr>
          <w:szCs w:val="16"/>
        </w:rPr>
        <w:t xml:space="preserve">Report for Life Cycle Assessment for Paper and Packaging Waste Management Scenarios in New South Wales </w:t>
      </w:r>
      <w:r w:rsidRPr="00BD79EE">
        <w:rPr>
          <w:szCs w:val="16"/>
        </w:rPr>
        <w:fldChar w:fldCharType="begin"/>
      </w:r>
      <w:r w:rsidR="00F40CE2">
        <w:rPr>
          <w:szCs w:val="16"/>
        </w:rPr>
        <w:instrText xml:space="preserve"> ADDIN EN.CITE &lt;EndNote&gt;&lt;Cite&gt;&lt;Author&gt;Grant&lt;/Author&gt;&lt;Year&gt;2001&lt;/Year&gt;&lt;RecNum&gt;48&lt;/RecNum&gt;&lt;DisplayText&gt;(Grant et al., 2001b)&lt;/DisplayText&gt;&lt;record&gt;&lt;rec-number&gt;48&lt;/rec-number&gt;&lt;foreign-keys&gt;&lt;key app="EN" db-id="tfpv5staxsvs2nexzpp5taewzsvpx0er5fap"&gt;48&lt;/key&gt;&lt;/foreign-keys&gt;&lt;ref-type name="Report"&gt;27&lt;/ref-type&gt;&lt;contributors&gt;&lt;authors&gt;&lt;author&gt;Grant, T.&lt;/author&gt;&lt;author&gt;James, K.&lt;/author&gt;&lt;author&gt;Lundie, S.&lt;/author&gt;&lt;author&gt;Sonneveld, K.&lt;/author&gt;&lt;author&gt;Beavis, P.&lt;/author&gt;&lt;/authors&gt;&lt;/contributors&gt;&lt;titles&gt;&lt;title&gt;Report for Life Cycle Assessment for Paper and Packaging Waste Management Scenarios in New South Wales&lt;/title&gt;&lt;/titles&gt;&lt;dates&gt;&lt;year&gt;2001&lt;/year&gt;&lt;/dates&gt;&lt;pub-location&gt;Melbourne&lt;/pub-location&gt;&lt;urls&gt;&lt;/urls&gt;&lt;/record&gt;&lt;/Cite&gt;&lt;/EndNote&gt;</w:instrText>
      </w:r>
      <w:r w:rsidRPr="00BD79EE">
        <w:rPr>
          <w:szCs w:val="16"/>
        </w:rPr>
        <w:fldChar w:fldCharType="separate"/>
      </w:r>
      <w:r w:rsidR="00F40CE2">
        <w:rPr>
          <w:noProof/>
          <w:szCs w:val="16"/>
        </w:rPr>
        <w:t>(</w:t>
      </w:r>
      <w:hyperlink w:anchor="_ENREF_36" w:tooltip="Grant, 2001 #48" w:history="1">
        <w:r w:rsidR="00F40CE2">
          <w:rPr>
            <w:noProof/>
            <w:szCs w:val="16"/>
          </w:rPr>
          <w:t>Grant et al., 2001b</w:t>
        </w:r>
      </w:hyperlink>
      <w:r w:rsidR="00F40CE2">
        <w:rPr>
          <w:noProof/>
          <w:szCs w:val="16"/>
        </w:rPr>
        <w:t>)</w:t>
      </w:r>
      <w:r w:rsidRPr="00BD79EE">
        <w:rPr>
          <w:szCs w:val="16"/>
        </w:rPr>
        <w:fldChar w:fldCharType="end"/>
      </w:r>
    </w:p>
    <w:p w14:paraId="0D4946B6" w14:textId="098275E5" w:rsidR="006B07CF" w:rsidRPr="00BD79EE" w:rsidRDefault="006B07CF" w:rsidP="006B07CF">
      <w:pPr>
        <w:numPr>
          <w:ilvl w:val="0"/>
          <w:numId w:val="14"/>
        </w:numPr>
        <w:tabs>
          <w:tab w:val="left" w:pos="567"/>
        </w:tabs>
        <w:spacing w:after="0"/>
        <w:ind w:left="567" w:hanging="567"/>
        <w:rPr>
          <w:szCs w:val="16"/>
        </w:rPr>
      </w:pPr>
      <w:r w:rsidRPr="00BD79EE">
        <w:rPr>
          <w:szCs w:val="16"/>
        </w:rPr>
        <w:t xml:space="preserve">Life Cycle Assessment of Waste and Resource Recovery Options (including energy from waste) - Final Report for EcoRecycle Victoria </w:t>
      </w:r>
      <w:r w:rsidRPr="00BD79EE">
        <w:rPr>
          <w:szCs w:val="16"/>
        </w:rPr>
        <w:fldChar w:fldCharType="begin"/>
      </w:r>
      <w:r w:rsidR="00F40CE2">
        <w:rPr>
          <w:szCs w:val="16"/>
        </w:rPr>
        <w:instrText xml:space="preserve"> ADDIN EN.CITE &lt;EndNote&gt;&lt;Cite&gt;&lt;Author&gt;Grant&lt;/Author&gt;&lt;Year&gt;2003&lt;/Year&gt;&lt;RecNum&gt;15&lt;/RecNum&gt;&lt;DisplayText&gt;(Grant et al., 2003a)&lt;/DisplayText&gt;&lt;record&gt;&lt;rec-number&gt;15&lt;/rec-number&gt;&lt;foreign-keys&gt;&lt;key app="EN" db-id="ze9fwxztjsrvxievad7vt9wl2fd2za000ewr"&gt;15&lt;/key&gt;&lt;/foreign-keys&gt;&lt;ref-type name="Report"&gt;27&lt;/ref-type&gt;&lt;contributors&gt;&lt;authors&gt;&lt;author&gt;Tim Grant&lt;/author&gt;&lt;author&gt;Karli James&lt;/author&gt;&lt;author&gt;Hannes Partl&lt;/author&gt;&lt;/authors&gt;&lt;/contributors&gt;&lt;titles&gt;&lt;title&gt;Life Cycle Assessment of Waste and Resource Recovery Options (including energy from waste) - Final Report for EcoRecycle Victoria&lt;/title&gt;&lt;/titles&gt;&lt;dates&gt;&lt;year&gt;2003&lt;/year&gt;&lt;/dates&gt;&lt;pub-location&gt;Melbourne, Victoria&lt;/pub-location&gt;&lt;publisher&gt;Centre for Design at RMIT University (www.cfd.rmit.edu.au)&lt;/publisher&gt;&lt;urls&gt;&lt;/urls&gt;&lt;/record&gt;&lt;/Cite&gt;&lt;/EndNote&gt;</w:instrText>
      </w:r>
      <w:r w:rsidRPr="00BD79EE">
        <w:rPr>
          <w:szCs w:val="16"/>
        </w:rPr>
        <w:fldChar w:fldCharType="separate"/>
      </w:r>
      <w:r w:rsidR="00F40CE2">
        <w:rPr>
          <w:noProof/>
          <w:szCs w:val="16"/>
        </w:rPr>
        <w:t>(</w:t>
      </w:r>
      <w:hyperlink w:anchor="_ENREF_37" w:tooltip="Grant, 2003 #15" w:history="1">
        <w:r w:rsidR="00F40CE2">
          <w:rPr>
            <w:noProof/>
            <w:szCs w:val="16"/>
          </w:rPr>
          <w:t>Grant et al., 2003a</w:t>
        </w:r>
      </w:hyperlink>
      <w:r w:rsidR="00F40CE2">
        <w:rPr>
          <w:noProof/>
          <w:szCs w:val="16"/>
        </w:rPr>
        <w:t>)</w:t>
      </w:r>
      <w:r w:rsidRPr="00BD79EE">
        <w:rPr>
          <w:szCs w:val="16"/>
        </w:rPr>
        <w:fldChar w:fldCharType="end"/>
      </w:r>
    </w:p>
    <w:p w14:paraId="0D4946B7" w14:textId="5872F682" w:rsidR="006B07CF" w:rsidRPr="00BD79EE" w:rsidRDefault="006B07CF" w:rsidP="006B07CF">
      <w:pPr>
        <w:numPr>
          <w:ilvl w:val="0"/>
          <w:numId w:val="14"/>
        </w:numPr>
        <w:tabs>
          <w:tab w:val="left" w:pos="567"/>
        </w:tabs>
        <w:spacing w:after="0"/>
        <w:ind w:left="567" w:hanging="567"/>
        <w:rPr>
          <w:szCs w:val="16"/>
        </w:rPr>
      </w:pPr>
      <w:r w:rsidRPr="00BD79EE">
        <w:rPr>
          <w:szCs w:val="16"/>
        </w:rPr>
        <w:t xml:space="preserve">Life Cycle Impact Data for Resource Recovery from Commercial and Industrial and Construction and Demolition Waste in Victoria </w:t>
      </w:r>
      <w:r w:rsidRPr="00BD79EE">
        <w:rPr>
          <w:szCs w:val="16"/>
        </w:rPr>
        <w:fldChar w:fldCharType="begin"/>
      </w:r>
      <w:r w:rsidR="00F40CE2">
        <w:rPr>
          <w:szCs w:val="16"/>
        </w:rPr>
        <w:instrText xml:space="preserve"> ADDIN EN.CITE &lt;EndNote&gt;&lt;Cite&gt;&lt;Author&gt;Grant&lt;/Author&gt;&lt;Year&gt;2005&lt;/Year&gt;&lt;RecNum&gt;29&lt;/RecNum&gt;&lt;DisplayText&gt;(Grant and James, 2005)&lt;/DisplayText&gt;&lt;record&gt;&lt;rec-number&gt;29&lt;/rec-number&gt;&lt;foreign-keys&gt;&lt;key app="EN" db-id="tfpv5staxsvs2nexzpp5taewzsvpx0er5fap"&gt;29&lt;/key&gt;&lt;/foreign-keys&gt;&lt;ref-type name="Report"&gt;27&lt;/ref-type&gt;&lt;contributors&gt;&lt;authors&gt;&lt;author&gt;Grant, Tim&lt;/author&gt;&lt;author&gt;James, Karli&lt;/author&gt;&lt;/authors&gt;&lt;/contributors&gt;&lt;titles&gt;&lt;title&gt;Life Cycle Impact Data for Resource Recovery from Commercial and Industrial and Construction and Demolition Waste in Victoria &lt;/title&gt;&lt;/titles&gt;&lt;dates&gt;&lt;year&gt;2005&lt;/year&gt;&lt;/dates&gt;&lt;pub-location&gt;Melbourne&lt;/pub-location&gt;&lt;publisher&gt;Centre for Design, RMIT University&lt;/publisher&gt;&lt;urls&gt;&lt;/urls&gt;&lt;/record&gt;&lt;/Cite&gt;&lt;/EndNote&gt;</w:instrText>
      </w:r>
      <w:r w:rsidRPr="00BD79EE">
        <w:rPr>
          <w:szCs w:val="16"/>
        </w:rPr>
        <w:fldChar w:fldCharType="separate"/>
      </w:r>
      <w:r w:rsidR="00F40CE2">
        <w:rPr>
          <w:noProof/>
          <w:szCs w:val="16"/>
        </w:rPr>
        <w:t>(</w:t>
      </w:r>
      <w:hyperlink w:anchor="_ENREF_33" w:tooltip="Grant, 2005 #29" w:history="1">
        <w:r w:rsidR="00F40CE2">
          <w:rPr>
            <w:noProof/>
            <w:szCs w:val="16"/>
          </w:rPr>
          <w:t>Grant and James, 2005</w:t>
        </w:r>
      </w:hyperlink>
      <w:r w:rsidR="00F40CE2">
        <w:rPr>
          <w:noProof/>
          <w:szCs w:val="16"/>
        </w:rPr>
        <w:t>)</w:t>
      </w:r>
      <w:r w:rsidRPr="00BD79EE">
        <w:rPr>
          <w:szCs w:val="16"/>
        </w:rPr>
        <w:fldChar w:fldCharType="end"/>
      </w:r>
    </w:p>
    <w:p w14:paraId="0D4946B8" w14:textId="78579838" w:rsidR="006B07CF" w:rsidRDefault="006B07CF" w:rsidP="006B07CF">
      <w:pPr>
        <w:numPr>
          <w:ilvl w:val="0"/>
          <w:numId w:val="14"/>
        </w:numPr>
        <w:tabs>
          <w:tab w:val="left" w:pos="567"/>
        </w:tabs>
        <w:spacing w:after="0"/>
        <w:ind w:left="567" w:hanging="567"/>
        <w:rPr>
          <w:szCs w:val="16"/>
        </w:rPr>
      </w:pPr>
      <w:r w:rsidRPr="00BD79EE">
        <w:rPr>
          <w:szCs w:val="16"/>
        </w:rPr>
        <w:t xml:space="preserve">Extended Environmental Benefits of Recycling (EEBR) Project </w:t>
      </w:r>
      <w:r w:rsidRPr="00BD79EE">
        <w:rPr>
          <w:szCs w:val="16"/>
        </w:rPr>
        <w:fldChar w:fldCharType="begin"/>
      </w:r>
      <w:r w:rsidR="00F40CE2">
        <w:rPr>
          <w:szCs w:val="16"/>
        </w:rPr>
        <w:instrText xml:space="preserve"> ADDIN EN.CITE &lt;EndNote&gt;&lt;Cite&gt;&lt;Author&gt;Carre&lt;/Author&gt;&lt;Year&gt;2009&lt;/Year&gt;&lt;RecNum&gt;47&lt;/RecNum&gt;&lt;DisplayText&gt;(Carre et al., 2009)&lt;/DisplayText&gt;&lt;record&gt;&lt;rec-number&gt;47&lt;/rec-number&gt;&lt;foreign-keys&gt;&lt;key app="EN" db-id="tfpv5staxsvs2nexzpp5taewzsvpx0er5fap"&gt;47&lt;/key&gt;&lt;/foreign-keys&gt;&lt;ref-type name="Report"&gt;27&lt;/ref-type&gt;&lt;contributors&gt;&lt;authors&gt;&lt;author&gt;Andrew Carre&lt;/author&gt;&lt;author&gt;Ian Jones&lt;/author&gt;&lt;author&gt;Paul-Antoine Bontinck&lt;/author&gt;&lt;author&gt;Glenn Di-Mauro Hayes&lt;/author&gt;&lt;/authors&gt;&lt;/contributors&gt;&lt;titles&gt;&lt;title&gt;Extended Environmental Benefits of Recycling (EEBR) Project&lt;/title&gt;&lt;/titles&gt;&lt;dates&gt;&lt;year&gt;2009&lt;/year&gt;&lt;/dates&gt;&lt;pub-location&gt;Melbourne&lt;/pub-location&gt;&lt;publisher&gt;RMIT University&lt;/publisher&gt;&lt;urls&gt;&lt;/urls&gt;&lt;/record&gt;&lt;/Cite&gt;&lt;/EndNote&gt;</w:instrText>
      </w:r>
      <w:r w:rsidRPr="00BD79EE">
        <w:rPr>
          <w:szCs w:val="16"/>
        </w:rPr>
        <w:fldChar w:fldCharType="separate"/>
      </w:r>
      <w:r w:rsidR="00F40CE2">
        <w:rPr>
          <w:noProof/>
          <w:szCs w:val="16"/>
        </w:rPr>
        <w:t>(</w:t>
      </w:r>
      <w:hyperlink w:anchor="_ENREF_13" w:tooltip="Carre, 2009 #47" w:history="1">
        <w:r w:rsidR="00F40CE2">
          <w:rPr>
            <w:noProof/>
            <w:szCs w:val="16"/>
          </w:rPr>
          <w:t>Carre et al., 2009</w:t>
        </w:r>
      </w:hyperlink>
      <w:r w:rsidR="00F40CE2">
        <w:rPr>
          <w:noProof/>
          <w:szCs w:val="16"/>
        </w:rPr>
        <w:t>)</w:t>
      </w:r>
      <w:r w:rsidRPr="00BD79EE">
        <w:rPr>
          <w:szCs w:val="16"/>
        </w:rPr>
        <w:fldChar w:fldCharType="end"/>
      </w:r>
    </w:p>
    <w:p w14:paraId="0D4946B9" w14:textId="77777777" w:rsidR="006B07CF" w:rsidRPr="00BD79EE" w:rsidRDefault="006B07CF" w:rsidP="006B07CF">
      <w:pPr>
        <w:tabs>
          <w:tab w:val="left" w:pos="567"/>
        </w:tabs>
        <w:spacing w:after="0"/>
        <w:ind w:left="567"/>
        <w:rPr>
          <w:szCs w:val="16"/>
        </w:rPr>
      </w:pPr>
    </w:p>
    <w:p w14:paraId="0D4946BA" w14:textId="1A2CB801" w:rsidR="006B07CF" w:rsidRDefault="006B07CF" w:rsidP="006B07CF">
      <w:pPr>
        <w:rPr>
          <w:lang w:eastAsia="x-none"/>
        </w:rPr>
      </w:pPr>
      <w:r>
        <w:rPr>
          <w:lang w:eastAsia="x-none"/>
        </w:rPr>
        <w:t xml:space="preserve">These reports share a common methodology, stemming from </w:t>
      </w:r>
      <w:r w:rsidRPr="0091538B">
        <w:rPr>
          <w:lang w:eastAsia="x-none"/>
        </w:rPr>
        <w:t>Grant et a</w:t>
      </w:r>
      <w:r>
        <w:rPr>
          <w:lang w:eastAsia="x-none"/>
        </w:rPr>
        <w:t xml:space="preserve">l </w:t>
      </w:r>
      <w:r>
        <w:rPr>
          <w:lang w:eastAsia="x-none"/>
        </w:rPr>
        <w:fldChar w:fldCharType="begin"/>
      </w:r>
      <w:r w:rsidR="00F40CE2">
        <w:rPr>
          <w:lang w:eastAsia="x-none"/>
        </w:rPr>
        <w:instrText xml:space="preserve"> ADDIN EN.CITE &lt;EndNote&gt;&lt;Cite ExcludeAuth="1"&gt;&lt;Author&gt;Grant&lt;/Author&gt;&lt;Year&gt;2001&lt;/Year&gt;&lt;RecNum&gt;25&lt;/RecNum&gt;&lt;DisplayText&gt;(2001a)&lt;/DisplayText&gt;&lt;record&gt;&lt;rec-number&gt;25&lt;/rec-number&gt;&lt;foreign-keys&gt;&lt;key app="EN" db-id="tfpv5staxsvs2nexzpp5taewzsvpx0er5fap"&gt;25&lt;/key&gt;&lt;key app="ENWeb" db-id=""&gt;0&lt;/key&gt;&lt;/foreign-keys&gt;&lt;ref-type name="Report"&gt;27&lt;/ref-type&gt;&lt;contributors&gt;&lt;authors&gt;&lt;author&gt;T. Grant&lt;/author&gt;&lt;author&gt;K. James&lt;/author&gt;&lt;author&gt;S. Lundie&lt;/author&gt;&lt;author&gt;K. Sonneveld&lt;/author&gt;&lt;/authors&gt;&lt;/contributors&gt;&lt;titles&gt;&lt;title&gt;Stage 2 Report for Life Cycle Assessment for Paper and Packaging Waste Management Scenarios in Victoria&lt;/title&gt;&lt;/titles&gt;&lt;dates&gt;&lt;year&gt;2001&lt;/year&gt;&lt;/dates&gt;&lt;urls&gt;&lt;related-urls&gt;&lt;url&gt;http://www.ecorecycle.vic.gov.au/resources/documents/Stage_2_Report_for_Life_Cycle_Assess_for_Packaging_Waste_Mg.pdf&lt;/url&gt;&lt;/related-urls&gt;&lt;/urls&gt;&lt;/record&gt;&lt;/Cite&gt;&lt;/EndNote&gt;</w:instrText>
      </w:r>
      <w:r>
        <w:rPr>
          <w:lang w:eastAsia="x-none"/>
        </w:rPr>
        <w:fldChar w:fldCharType="separate"/>
      </w:r>
      <w:r w:rsidR="00F40CE2">
        <w:rPr>
          <w:noProof/>
          <w:lang w:eastAsia="x-none"/>
        </w:rPr>
        <w:t>(</w:t>
      </w:r>
      <w:hyperlink w:anchor="_ENREF_35" w:tooltip="Grant, 2001 #262" w:history="1">
        <w:r w:rsidR="00F40CE2">
          <w:rPr>
            <w:noProof/>
            <w:lang w:eastAsia="x-none"/>
          </w:rPr>
          <w:t>2001a</w:t>
        </w:r>
      </w:hyperlink>
      <w:r w:rsidR="00F40CE2">
        <w:rPr>
          <w:noProof/>
          <w:lang w:eastAsia="x-none"/>
        </w:rPr>
        <w:t>)</w:t>
      </w:r>
      <w:r>
        <w:rPr>
          <w:lang w:eastAsia="x-none"/>
        </w:rPr>
        <w:fldChar w:fldCharType="end"/>
      </w:r>
      <w:r>
        <w:rPr>
          <w:lang w:eastAsia="x-none"/>
        </w:rPr>
        <w:t>. Although a common method has been applied, data have been progressively updated to incorporate the various local aspects of the recycling systems considered and underpinning infrastructure elements (such as electricity generation).</w:t>
      </w:r>
    </w:p>
    <w:p w14:paraId="0D4946BB" w14:textId="71C333F0" w:rsidR="006B07CF" w:rsidRDefault="006B07CF" w:rsidP="006B07CF">
      <w:pPr>
        <w:rPr>
          <w:lang w:eastAsia="x-none"/>
        </w:rPr>
      </w:pPr>
      <w:r>
        <w:rPr>
          <w:lang w:eastAsia="x-none"/>
        </w:rPr>
        <w:t xml:space="preserve">More broadly, many LCA studies have been completed looking at individual packaging and product systems which incorporate recycling processes </w:t>
      </w:r>
      <w:r>
        <w:rPr>
          <w:lang w:eastAsia="x-none"/>
        </w:rPr>
        <w:fldChar w:fldCharType="begin">
          <w:fldData xml:space="preserve">PEVuZE5vdGU+PENpdGU+PEF1dGhvcj5GcmFua2xpbiBBc3NvY2lhdGVzLjwvQXV0aG9yPjxZZWFy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</w:fldData>
        </w:fldChar>
      </w:r>
      <w:r w:rsidR="00F40CE2">
        <w:rPr>
          <w:lang w:eastAsia="x-none"/>
        </w:rPr>
        <w:instrText xml:space="preserve"> ADDIN EN.CITE </w:instrText>
      </w:r>
      <w:r w:rsidR="00F40CE2">
        <w:rPr>
          <w:lang w:eastAsia="x-none"/>
        </w:rPr>
        <w:fldChar w:fldCharType="begin">
          <w:fldData xml:space="preserve">PEVuZE5vdGU+PENpdGU+PEF1dGhvcj5GcmFua2xpbiBBc3NvY2lhdGVzLjwvQXV0aG9yPjxZZWFy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</w:fldData>
        </w:fldChar>
      </w:r>
      <w:r w:rsidR="00F40CE2">
        <w:rPr>
          <w:lang w:eastAsia="x-none"/>
        </w:rPr>
        <w:instrText xml:space="preserve"> ADDIN EN.CITE.DATA </w:instrText>
      </w:r>
      <w:r w:rsidR="00F40CE2">
        <w:rPr>
          <w:lang w:eastAsia="x-none"/>
        </w:rPr>
      </w:r>
      <w:r w:rsidR="00F40CE2">
        <w:rPr>
          <w:lang w:eastAsia="x-none"/>
        </w:rPr>
        <w:fldChar w:fldCharType="end"/>
      </w:r>
      <w:r>
        <w:rPr>
          <w:lang w:eastAsia="x-none"/>
        </w:rPr>
      </w:r>
      <w:r>
        <w:rPr>
          <w:lang w:eastAsia="x-none"/>
        </w:rPr>
        <w:fldChar w:fldCharType="separate"/>
      </w:r>
      <w:r w:rsidR="00F40CE2">
        <w:rPr>
          <w:noProof/>
          <w:lang w:eastAsia="x-none"/>
        </w:rPr>
        <w:t>(</w:t>
      </w:r>
      <w:hyperlink w:anchor="_ENREF_28" w:tooltip="Franklin Associates., 2009 #286" w:history="1">
        <w:r w:rsidR="00F40CE2">
          <w:rPr>
            <w:noProof/>
            <w:lang w:eastAsia="x-none"/>
          </w:rPr>
          <w:t>Franklin Associates., 2009</w:t>
        </w:r>
      </w:hyperlink>
      <w:r w:rsidR="00F40CE2">
        <w:rPr>
          <w:noProof/>
          <w:lang w:eastAsia="x-none"/>
        </w:rPr>
        <w:t xml:space="preserve">, </w:t>
      </w:r>
      <w:hyperlink w:anchor="_ENREF_29" w:tooltip="Franklin Associates., 2010 #284" w:history="1">
        <w:r w:rsidR="00F40CE2">
          <w:rPr>
            <w:noProof/>
            <w:lang w:eastAsia="x-none"/>
          </w:rPr>
          <w:t>Franklin Associates., 2010</w:t>
        </w:r>
      </w:hyperlink>
      <w:r w:rsidR="00F40CE2">
        <w:rPr>
          <w:noProof/>
          <w:lang w:eastAsia="x-none"/>
        </w:rPr>
        <w:t xml:space="preserve">, </w:t>
      </w:r>
      <w:hyperlink w:anchor="_ENREF_45" w:tooltip="Hyder Consulting, 2008 #276" w:history="1">
        <w:r w:rsidR="00F40CE2">
          <w:rPr>
            <w:noProof/>
            <w:lang w:eastAsia="x-none"/>
          </w:rPr>
          <w:t>Hyder Consulting, 2008</w:t>
        </w:r>
      </w:hyperlink>
      <w:r w:rsidR="00F40CE2">
        <w:rPr>
          <w:noProof/>
          <w:lang w:eastAsia="x-none"/>
        </w:rPr>
        <w:t xml:space="preserve">, </w:t>
      </w:r>
      <w:hyperlink w:anchor="_ENREF_72" w:tooltip="Stichling, 2009 #296" w:history="1">
        <w:r w:rsidR="00F40CE2">
          <w:rPr>
            <w:noProof/>
            <w:lang w:eastAsia="x-none"/>
          </w:rPr>
          <w:t>Stichling and Nguyen-Ngoc, 2009</w:t>
        </w:r>
      </w:hyperlink>
      <w:r w:rsidR="00F40CE2">
        <w:rPr>
          <w:noProof/>
          <w:lang w:eastAsia="x-none"/>
        </w:rPr>
        <w:t xml:space="preserve">, </w:t>
      </w:r>
      <w:hyperlink w:anchor="_ENREF_32" w:tooltip="Glass Packaging Institute, 2010 #297" w:history="1">
        <w:r w:rsidR="00F40CE2">
          <w:rPr>
            <w:noProof/>
            <w:lang w:eastAsia="x-none"/>
          </w:rPr>
          <w:t>Glass Packaging Institute, 2010</w:t>
        </w:r>
      </w:hyperlink>
      <w:r w:rsidR="00F40CE2">
        <w:rPr>
          <w:noProof/>
          <w:lang w:eastAsia="x-none"/>
        </w:rPr>
        <w:t>)</w:t>
      </w:r>
      <w:r>
        <w:rPr>
          <w:lang w:eastAsia="x-none"/>
        </w:rPr>
        <w:fldChar w:fldCharType="end"/>
      </w:r>
      <w:r>
        <w:rPr>
          <w:lang w:eastAsia="x-none"/>
        </w:rPr>
        <w:t>. These reports study of the impacts of various packaging systems, and although recycling is not the primary focus, its impacts are important and discussion of recycling represents a significant proportion of reporting. They also provide useful sources of information regarding the reprocessing of materials, however much of this is associated with international systems.</w:t>
      </w:r>
    </w:p>
    <w:p w14:paraId="0D4946BC" w14:textId="5F45B51F" w:rsidR="006B07CF" w:rsidRDefault="006B07CF" w:rsidP="006B07CF">
      <w:pPr>
        <w:rPr>
          <w:lang w:eastAsia="x-none"/>
        </w:rPr>
      </w:pPr>
      <w:r>
        <w:rPr>
          <w:lang w:eastAsia="x-none"/>
        </w:rPr>
        <w:t xml:space="preserve">In addition to synthetic material reprocessing studies, are studies that consider the treatment of organic waste. Organic waste treatment systems have been assessed in a range of studies locally and internationally </w:t>
      </w:r>
      <w:r>
        <w:rPr>
          <w:lang w:eastAsia="x-none"/>
        </w:rPr>
        <w:fldChar w:fldCharType="begin">
          <w:fldData xml:space="preserve">PEVuZE5vdGU+PENpdGU+PEF1dGhvcj5FdW5vbWlhIFJlc2VhcmNoICZhbXA7IENvbnN1bHRpbmc8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</w:fldData>
        </w:fldChar>
      </w:r>
      <w:r w:rsidR="00F40CE2">
        <w:rPr>
          <w:lang w:eastAsia="x-none"/>
        </w:rPr>
        <w:instrText xml:space="preserve"> ADDIN EN.CITE </w:instrText>
      </w:r>
      <w:r w:rsidR="00F40CE2">
        <w:rPr>
          <w:lang w:eastAsia="x-none"/>
        </w:rPr>
        <w:fldChar w:fldCharType="begin">
          <w:fldData xml:space="preserve">PEVuZE5vdGU+PENpdGU+PEF1dGhvcj5FdW5vbWlhIFJlc2VhcmNoICZhbXA7IENvbnN1bHRpbmc8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</w:fldData>
        </w:fldChar>
      </w:r>
      <w:r w:rsidR="00F40CE2">
        <w:rPr>
          <w:lang w:eastAsia="x-none"/>
        </w:rPr>
        <w:instrText xml:space="preserve"> ADDIN EN.CITE.DATA </w:instrText>
      </w:r>
      <w:r w:rsidR="00F40CE2">
        <w:rPr>
          <w:lang w:eastAsia="x-none"/>
        </w:rPr>
      </w:r>
      <w:r w:rsidR="00F40CE2">
        <w:rPr>
          <w:lang w:eastAsia="x-none"/>
        </w:rPr>
        <w:fldChar w:fldCharType="end"/>
      </w:r>
      <w:r>
        <w:rPr>
          <w:lang w:eastAsia="x-none"/>
        </w:rPr>
      </w:r>
      <w:r>
        <w:rPr>
          <w:lang w:eastAsia="x-none"/>
        </w:rPr>
        <w:fldChar w:fldCharType="separate"/>
      </w:r>
      <w:r w:rsidR="00F40CE2">
        <w:rPr>
          <w:noProof/>
          <w:lang w:eastAsia="x-none"/>
        </w:rPr>
        <w:t>(</w:t>
      </w:r>
      <w:hyperlink w:anchor="_ENREF_22" w:tooltip="Eunomia Research &amp; Consulting, 2002 #51" w:history="1">
        <w:r w:rsidR="00F40CE2">
          <w:rPr>
            <w:noProof/>
            <w:lang w:eastAsia="x-none"/>
          </w:rPr>
          <w:t>Eunomia Research &amp; Consulting, 2002</w:t>
        </w:r>
      </w:hyperlink>
      <w:r w:rsidR="00F40CE2">
        <w:rPr>
          <w:noProof/>
          <w:lang w:eastAsia="x-none"/>
        </w:rPr>
        <w:t xml:space="preserve">, </w:t>
      </w:r>
      <w:hyperlink w:anchor="_ENREF_62" w:tooltip="NSW Department of Environment and Conservation, 2007 #300" w:history="1">
        <w:r w:rsidR="00F40CE2">
          <w:rPr>
            <w:noProof/>
            <w:lang w:eastAsia="x-none"/>
          </w:rPr>
          <w:t>NSW Department of Environment and Conservation, 2007</w:t>
        </w:r>
      </w:hyperlink>
      <w:r w:rsidR="00F40CE2">
        <w:rPr>
          <w:noProof/>
          <w:lang w:eastAsia="x-none"/>
        </w:rPr>
        <w:t xml:space="preserve">, </w:t>
      </w:r>
      <w:hyperlink w:anchor="_ENREF_43" w:tooltip="Hermann, 2011 #301" w:history="1">
        <w:r w:rsidR="00F40CE2">
          <w:rPr>
            <w:noProof/>
            <w:lang w:eastAsia="x-none"/>
          </w:rPr>
          <w:t>Hermann et al., 2011</w:t>
        </w:r>
      </w:hyperlink>
      <w:r w:rsidR="00F40CE2">
        <w:rPr>
          <w:noProof/>
          <w:lang w:eastAsia="x-none"/>
        </w:rPr>
        <w:t xml:space="preserve">, </w:t>
      </w:r>
      <w:hyperlink w:anchor="_ENREF_60" w:tooltip="Morris, 2012 #302" w:history="1">
        <w:r w:rsidR="00F40CE2">
          <w:rPr>
            <w:noProof/>
            <w:lang w:eastAsia="x-none"/>
          </w:rPr>
          <w:t>Morris et al., 2012</w:t>
        </w:r>
      </w:hyperlink>
      <w:r w:rsidR="00F40CE2">
        <w:rPr>
          <w:noProof/>
          <w:lang w:eastAsia="x-none"/>
        </w:rPr>
        <w:t xml:space="preserve">, </w:t>
      </w:r>
      <w:hyperlink w:anchor="_ENREF_11" w:tooltip="Bernstad, 2012 #303" w:history="1">
        <w:r w:rsidR="00F40CE2">
          <w:rPr>
            <w:noProof/>
            <w:lang w:eastAsia="x-none"/>
          </w:rPr>
          <w:t>Bernstad and la Cour Jansen, 2012</w:t>
        </w:r>
      </w:hyperlink>
      <w:r w:rsidR="00F40CE2">
        <w:rPr>
          <w:noProof/>
          <w:lang w:eastAsia="x-none"/>
        </w:rPr>
        <w:t>)</w:t>
      </w:r>
      <w:r>
        <w:rPr>
          <w:lang w:eastAsia="x-none"/>
        </w:rPr>
        <w:fldChar w:fldCharType="end"/>
      </w:r>
      <w:r>
        <w:rPr>
          <w:lang w:eastAsia="x-none"/>
        </w:rPr>
        <w:t xml:space="preserve">. </w:t>
      </w:r>
    </w:p>
    <w:p w14:paraId="0D4946BD" w14:textId="3A41A51E" w:rsidR="006B07CF" w:rsidRDefault="006B07CF" w:rsidP="006B07CF">
      <w:pPr>
        <w:rPr>
          <w:lang w:eastAsia="x-none"/>
        </w:rPr>
      </w:pPr>
      <w:r>
        <w:rPr>
          <w:lang w:eastAsia="x-none"/>
        </w:rPr>
        <w:t xml:space="preserve">A review of LCAs undertaken globally has been completed by </w:t>
      </w:r>
      <w:r w:rsidRPr="0091538B">
        <w:rPr>
          <w:lang w:eastAsia="x-none"/>
        </w:rPr>
        <w:t>Michaud et al</w:t>
      </w:r>
      <w:r>
        <w:rPr>
          <w:lang w:eastAsia="x-none"/>
        </w:rPr>
        <w:t xml:space="preserve"> </w:t>
      </w:r>
      <w:r>
        <w:rPr>
          <w:lang w:eastAsia="x-none"/>
        </w:rPr>
        <w:fldChar w:fldCharType="begin"/>
      </w:r>
      <w:r>
        <w:rPr>
          <w:lang w:eastAsia="x-none"/>
        </w:rPr>
        <w:instrText xml:space="preserve"> ADDIN EN.CITE &lt;EndNote&gt;&lt;Cite ExcludeAuth="1"&gt;&lt;Author&gt;Michaud&lt;/Author&gt;&lt;Year&gt;2010&lt;/Year&gt;&lt;RecNum&gt;299&lt;/RecNum&gt;&lt;DisplayText&gt;(2010)&lt;/DisplayText&gt;&lt;record&gt;&lt;rec-number&gt;299&lt;/rec-number&gt;&lt;foreign-keys&gt;&lt;key app="EN" db-id="tfpv5staxsvs2nexzpp5taewzsvpx0er5fap"&gt;299&lt;/key&gt;&lt;/foreign-keys&gt;&lt;ref-type name="Report"&gt;27&lt;/ref-type&gt;&lt;contributors&gt;&lt;authors&gt;&lt;author&gt;Jean-Charles Michaud&lt;/author&gt;&lt;author&gt;Laura Farrant&lt;/author&gt;&lt;author&gt;Olivier Jan&lt;/author&gt;&lt;author&gt;Birgitte Kjær&lt;/author&gt;&lt;author&gt;Ioannis Bakas&lt;/author&gt;&lt;/authors&gt;&lt;/contributors&gt;&lt;titles&gt;&lt;title&gt;Environmental benefits of recycling – 2010 update&lt;/title&gt;&lt;/titles&gt;&lt;dates&gt;&lt;year&gt;2010&lt;/year&gt;&lt;/dates&gt;&lt;urls&gt;&lt;/urls&gt;&lt;/record&gt;&lt;/Cite&gt;&lt;/EndNote&gt;</w:instrText>
      </w:r>
      <w:r>
        <w:rPr>
          <w:lang w:eastAsia="x-none"/>
        </w:rPr>
        <w:fldChar w:fldCharType="separate"/>
      </w:r>
      <w:r>
        <w:rPr>
          <w:noProof/>
          <w:lang w:eastAsia="x-none"/>
        </w:rPr>
        <w:t>(</w:t>
      </w:r>
      <w:hyperlink w:anchor="_ENREF_58" w:tooltip="Michaud, 2010 #299" w:history="1">
        <w:r w:rsidR="00F40CE2">
          <w:rPr>
            <w:noProof/>
            <w:lang w:eastAsia="x-none"/>
          </w:rPr>
          <w:t>2010</w:t>
        </w:r>
      </w:hyperlink>
      <w:r>
        <w:rPr>
          <w:noProof/>
          <w:lang w:eastAsia="x-none"/>
        </w:rPr>
        <w:t>)</w:t>
      </w:r>
      <w:r>
        <w:rPr>
          <w:lang w:eastAsia="x-none"/>
        </w:rPr>
        <w:fldChar w:fldCharType="end"/>
      </w:r>
      <w:r>
        <w:rPr>
          <w:lang w:eastAsia="x-none"/>
        </w:rPr>
        <w:t xml:space="preserve">. This review covers materials and disposal pathways including recycling, </w:t>
      </w:r>
      <w:r>
        <w:rPr>
          <w:lang w:eastAsia="x-none"/>
        </w:rPr>
        <w:fldChar w:fldCharType="begin"/>
      </w:r>
      <w:r>
        <w:rPr>
          <w:lang w:eastAsia="x-none"/>
        </w:rPr>
        <w:instrText xml:space="preserve"> REF _Ref337205086 \h </w:instrText>
      </w:r>
      <w:r>
        <w:rPr>
          <w:lang w:eastAsia="x-none"/>
        </w:rPr>
      </w:r>
      <w:r>
        <w:rPr>
          <w:lang w:eastAsia="x-none"/>
        </w:rPr>
        <w:fldChar w:fldCharType="separate"/>
      </w:r>
      <w:r w:rsidR="00564E5C">
        <w:t xml:space="preserve">Table </w:t>
      </w:r>
      <w:r w:rsidR="00564E5C">
        <w:rPr>
          <w:noProof/>
        </w:rPr>
        <w:t>56</w:t>
      </w:r>
      <w:r>
        <w:rPr>
          <w:lang w:eastAsia="x-none"/>
        </w:rPr>
        <w:fldChar w:fldCharType="end"/>
      </w:r>
      <w:r>
        <w:rPr>
          <w:lang w:eastAsia="x-none"/>
        </w:rPr>
        <w:t>.</w:t>
      </w:r>
    </w:p>
    <w:p w14:paraId="0D4946BE" w14:textId="5978C5F2" w:rsidR="006B07CF" w:rsidRDefault="006B07CF" w:rsidP="006B07CF">
      <w:pPr>
        <w:pStyle w:val="Caption"/>
        <w:keepNext/>
      </w:pPr>
      <w:bookmarkStart w:id="366" w:name="_Ref337205086"/>
      <w:r>
        <w:lastRenderedPageBreak/>
        <w:t xml:space="preserve">Table </w:t>
      </w:r>
      <w:r w:rsidR="00FC7DE2">
        <w:fldChar w:fldCharType="begin"/>
      </w:r>
      <w:r w:rsidR="00FC7DE2">
        <w:instrText xml:space="preserve"> SEQ Table \* ARABIC </w:instrText>
      </w:r>
      <w:r w:rsidR="00FC7DE2">
        <w:fldChar w:fldCharType="separate"/>
      </w:r>
      <w:r w:rsidR="00564E5C">
        <w:rPr>
          <w:noProof/>
        </w:rPr>
        <w:t>56</w:t>
      </w:r>
      <w:r w:rsidR="00FC7DE2">
        <w:rPr>
          <w:noProof/>
        </w:rPr>
        <w:fldChar w:fldCharType="end"/>
      </w:r>
      <w:bookmarkEnd w:id="366"/>
      <w:r>
        <w:rPr>
          <w:lang w:val="en-AU"/>
        </w:rPr>
        <w:t xml:space="preserve"> Material and technology combinations considered by </w:t>
      </w:r>
      <w:r>
        <w:rPr>
          <w:lang w:val="en-AU"/>
        </w:rPr>
        <w:fldChar w:fldCharType="begin"/>
      </w:r>
      <w:r w:rsidR="00F40CE2">
        <w:rPr>
          <w:lang w:val="en-AU"/>
        </w:rPr>
        <w:instrText xml:space="preserve"> ADDIN EN.CITE &lt;EndNote&gt;&lt;Cite&gt;&lt;Author&gt;Michaud&lt;/Author&gt;&lt;Year&gt;2010&lt;/Year&gt;&lt;RecNum&gt;299&lt;/RecNum&gt;&lt;DisplayText&gt;(Michaud et al., 2010)&lt;/DisplayText&gt;&lt;record&gt;&lt;rec-number&gt;299&lt;/rec-number&gt;&lt;foreign-keys&gt;&lt;key app="EN" db-id="tfpv5staxsvs2nexzpp5taewzsvpx0er5fap"&gt;299&lt;/key&gt;&lt;/foreign-keys&gt;&lt;ref-type name="Report"&gt;27&lt;/ref-type&gt;&lt;contributors&gt;&lt;authors&gt;&lt;author&gt;Jean-Charles Michaud&lt;/author&gt;&lt;author&gt;Laura Farrant&lt;/author&gt;&lt;author&gt;Olivier Jan&lt;/author&gt;&lt;author&gt;Birgitte Kjær&lt;/author&gt;&lt;author&gt;Ioannis Bakas&lt;/author&gt;&lt;/authors&gt;&lt;/contributors&gt;&lt;titles&gt;&lt;title&gt;Environmental benefits of recycling – 2010 update&lt;/title&gt;&lt;/titles&gt;&lt;dates&gt;&lt;year&gt;2010&lt;/year&gt;&lt;/dates&gt;&lt;urls&gt;&lt;/urls&gt;&lt;/record&gt;&lt;/Cite&gt;&lt;/EndNote&gt;</w:instrText>
      </w:r>
      <w:r>
        <w:rPr>
          <w:lang w:val="en-AU"/>
        </w:rPr>
        <w:fldChar w:fldCharType="separate"/>
      </w:r>
      <w:r w:rsidR="00F40CE2">
        <w:rPr>
          <w:noProof/>
          <w:lang w:val="en-AU"/>
        </w:rPr>
        <w:t>(</w:t>
      </w:r>
      <w:hyperlink w:anchor="_ENREF_58" w:tooltip="Michaud, 2010 #299" w:history="1">
        <w:r w:rsidR="00F40CE2">
          <w:rPr>
            <w:noProof/>
            <w:lang w:val="en-AU"/>
          </w:rPr>
          <w:t>Michaud et al., 2010</w:t>
        </w:r>
      </w:hyperlink>
      <w:r w:rsidR="00F40CE2">
        <w:rPr>
          <w:noProof/>
          <w:lang w:val="en-AU"/>
        </w:rPr>
        <w:t>)</w:t>
      </w:r>
      <w:r>
        <w:rPr>
          <w:lang w:val="en-AU"/>
        </w:rPr>
        <w:fldChar w:fldCharType="end"/>
      </w:r>
      <w:r>
        <w:rPr>
          <w:lang w:val="en-AU"/>
        </w:rPr>
        <w:t>.</w:t>
      </w:r>
    </w:p>
    <w:p w14:paraId="0D4946BF" w14:textId="77777777" w:rsidR="006B07CF" w:rsidRDefault="006B07CF" w:rsidP="006B07CF">
      <w:pPr>
        <w:rPr>
          <w:lang w:eastAsia="x-none"/>
        </w:rPr>
      </w:pPr>
      <w:r>
        <w:rPr>
          <w:noProof/>
        </w:rPr>
        <w:drawing>
          <wp:inline distT="0" distB="0" distL="0" distR="0" wp14:anchorId="0D494735" wp14:editId="0D494736">
            <wp:extent cx="5724525"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4525" cy="1524000"/>
                    </a:xfrm>
                    <a:prstGeom prst="rect">
                      <a:avLst/>
                    </a:prstGeom>
                    <a:noFill/>
                    <a:ln>
                      <a:noFill/>
                    </a:ln>
                  </pic:spPr>
                </pic:pic>
              </a:graphicData>
            </a:graphic>
          </wp:inline>
        </w:drawing>
      </w:r>
    </w:p>
    <w:p w14:paraId="0D4946C0" w14:textId="3F377DA6" w:rsidR="006B07CF" w:rsidRDefault="006B07CF" w:rsidP="006B07CF">
      <w:pPr>
        <w:rPr>
          <w:lang w:eastAsia="x-none"/>
        </w:rPr>
      </w:pPr>
      <w:r>
        <w:rPr>
          <w:lang w:eastAsia="x-none"/>
        </w:rPr>
        <w:t xml:space="preserve">Rather than undertaking LCA research to determine waste processing impacts, </w:t>
      </w:r>
      <w:r w:rsidRPr="0091538B">
        <w:rPr>
          <w:lang w:eastAsia="x-none"/>
        </w:rPr>
        <w:t>Michaud et al</w:t>
      </w:r>
      <w:r>
        <w:rPr>
          <w:lang w:eastAsia="x-none"/>
        </w:rPr>
        <w:t xml:space="preserve"> </w:t>
      </w:r>
      <w:r>
        <w:rPr>
          <w:lang w:eastAsia="x-none"/>
        </w:rPr>
        <w:fldChar w:fldCharType="begin"/>
      </w:r>
      <w:r>
        <w:rPr>
          <w:lang w:eastAsia="x-none"/>
        </w:rPr>
        <w:instrText xml:space="preserve"> ADDIN EN.CITE &lt;EndNote&gt;&lt;Cite ExcludeAuth="1"&gt;&lt;Author&gt;Michaud&lt;/Author&gt;&lt;Year&gt;2010&lt;/Year&gt;&lt;RecNum&gt;299&lt;/RecNum&gt;&lt;DisplayText&gt;(2010)&lt;/DisplayText&gt;&lt;record&gt;&lt;rec-number&gt;299&lt;/rec-number&gt;&lt;foreign-keys&gt;&lt;key app="EN" db-id="tfpv5staxsvs2nexzpp5taewzsvpx0er5fap"&gt;299&lt;/key&gt;&lt;/foreign-keys&gt;&lt;ref-type name="Report"&gt;27&lt;/ref-type&gt;&lt;contributors&gt;&lt;authors&gt;&lt;author&gt;Jean-Charles Michaud&lt;/author&gt;&lt;author&gt;Laura Farrant&lt;/author&gt;&lt;author&gt;Olivier Jan&lt;/author&gt;&lt;author&gt;Birgitte Kjær&lt;/author&gt;&lt;author&gt;Ioannis Bakas&lt;/author&gt;&lt;/authors&gt;&lt;/contributors&gt;&lt;titles&gt;&lt;title&gt;Environmental benefits of recycling – 2010 update&lt;/title&gt;&lt;/titles&gt;&lt;dates&gt;&lt;year&gt;2010&lt;/year&gt;&lt;/dates&gt;&lt;urls&gt;&lt;/urls&gt;&lt;/record&gt;&lt;/Cite&gt;&lt;/EndNote&gt;</w:instrText>
      </w:r>
      <w:r>
        <w:rPr>
          <w:lang w:eastAsia="x-none"/>
        </w:rPr>
        <w:fldChar w:fldCharType="separate"/>
      </w:r>
      <w:r>
        <w:rPr>
          <w:noProof/>
          <w:lang w:eastAsia="x-none"/>
        </w:rPr>
        <w:t>(</w:t>
      </w:r>
      <w:hyperlink w:anchor="_ENREF_58" w:tooltip="Michaud, 2010 #299" w:history="1">
        <w:r w:rsidR="00F40CE2">
          <w:rPr>
            <w:noProof/>
            <w:lang w:eastAsia="x-none"/>
          </w:rPr>
          <w:t>2010</w:t>
        </w:r>
      </w:hyperlink>
      <w:r>
        <w:rPr>
          <w:noProof/>
          <w:lang w:eastAsia="x-none"/>
        </w:rPr>
        <w:t>)</w:t>
      </w:r>
      <w:r>
        <w:rPr>
          <w:lang w:eastAsia="x-none"/>
        </w:rPr>
        <w:fldChar w:fldCharType="end"/>
      </w:r>
      <w:r>
        <w:rPr>
          <w:lang w:eastAsia="x-none"/>
        </w:rPr>
        <w:t xml:space="preserve"> surveyed and reviewed the outcomes of existing studies. This approach provides an overview of work completed and provides a benchmark against which to compare study results. Importantly, the review only considered environmental impacts in terms of:</w:t>
      </w:r>
    </w:p>
    <w:p w14:paraId="0D4946C1" w14:textId="77777777" w:rsidR="006B07CF" w:rsidRDefault="006B07CF" w:rsidP="006B07CF">
      <w:pPr>
        <w:numPr>
          <w:ilvl w:val="0"/>
          <w:numId w:val="15"/>
        </w:numPr>
        <w:spacing w:after="0"/>
        <w:ind w:left="567" w:hanging="567"/>
        <w:rPr>
          <w:lang w:eastAsia="x-none"/>
        </w:rPr>
      </w:pPr>
      <w:r>
        <w:rPr>
          <w:lang w:eastAsia="x-none"/>
        </w:rPr>
        <w:t>Depletion of natural resources</w:t>
      </w:r>
    </w:p>
    <w:p w14:paraId="0D4946C2" w14:textId="77777777" w:rsidR="006B07CF" w:rsidRDefault="006B07CF" w:rsidP="006B07CF">
      <w:pPr>
        <w:numPr>
          <w:ilvl w:val="0"/>
          <w:numId w:val="15"/>
        </w:numPr>
        <w:spacing w:after="0"/>
        <w:ind w:left="567" w:hanging="567"/>
        <w:rPr>
          <w:lang w:eastAsia="x-none"/>
        </w:rPr>
      </w:pPr>
      <w:r>
        <w:rPr>
          <w:lang w:eastAsia="x-none"/>
        </w:rPr>
        <w:t>Global warming (Climate change) potential</w:t>
      </w:r>
    </w:p>
    <w:p w14:paraId="0D4946C3" w14:textId="77777777" w:rsidR="006B07CF" w:rsidRDefault="006B07CF" w:rsidP="006B07CF">
      <w:pPr>
        <w:numPr>
          <w:ilvl w:val="0"/>
          <w:numId w:val="15"/>
        </w:numPr>
        <w:spacing w:after="0"/>
        <w:ind w:left="567" w:hanging="567"/>
        <w:rPr>
          <w:lang w:eastAsia="x-none"/>
        </w:rPr>
      </w:pPr>
      <w:r>
        <w:rPr>
          <w:lang w:eastAsia="x-none"/>
        </w:rPr>
        <w:t>Cumulative energy demand</w:t>
      </w:r>
    </w:p>
    <w:p w14:paraId="0D4946C4" w14:textId="77777777" w:rsidR="006B07CF" w:rsidRDefault="006B07CF" w:rsidP="006B07CF">
      <w:pPr>
        <w:numPr>
          <w:ilvl w:val="0"/>
          <w:numId w:val="15"/>
        </w:numPr>
        <w:spacing w:after="0"/>
        <w:ind w:left="567" w:hanging="567"/>
        <w:rPr>
          <w:lang w:eastAsia="x-none"/>
        </w:rPr>
      </w:pPr>
      <w:r>
        <w:rPr>
          <w:lang w:eastAsia="x-none"/>
        </w:rPr>
        <w:t>Water consumption</w:t>
      </w:r>
    </w:p>
    <w:p w14:paraId="0D4946C5" w14:textId="77777777" w:rsidR="006B07CF" w:rsidRDefault="006B07CF" w:rsidP="006B07CF">
      <w:pPr>
        <w:spacing w:after="0"/>
        <w:rPr>
          <w:lang w:eastAsia="x-none"/>
        </w:rPr>
      </w:pPr>
    </w:p>
    <w:p w14:paraId="0D4946C6" w14:textId="0474985E" w:rsidR="006B07CF" w:rsidRDefault="006B07CF" w:rsidP="006B07CF">
      <w:pPr>
        <w:spacing w:after="0"/>
        <w:rPr>
          <w:lang w:eastAsia="x-none"/>
        </w:rPr>
      </w:pPr>
      <w:r>
        <w:rPr>
          <w:lang w:eastAsia="x-none"/>
        </w:rPr>
        <w:t xml:space="preserve">As evidenced by </w:t>
      </w:r>
      <w:r w:rsidRPr="0091538B">
        <w:rPr>
          <w:lang w:eastAsia="x-none"/>
        </w:rPr>
        <w:t>Michaud et al</w:t>
      </w:r>
      <w:r>
        <w:rPr>
          <w:lang w:eastAsia="x-none"/>
        </w:rPr>
        <w:t xml:space="preserve"> </w:t>
      </w:r>
      <w:r>
        <w:rPr>
          <w:lang w:eastAsia="x-none"/>
        </w:rPr>
        <w:fldChar w:fldCharType="begin"/>
      </w:r>
      <w:r>
        <w:rPr>
          <w:lang w:eastAsia="x-none"/>
        </w:rPr>
        <w:instrText xml:space="preserve"> ADDIN EN.CITE &lt;EndNote&gt;&lt;Cite ExcludeAuth="1"&gt;&lt;Author&gt;Michaud&lt;/Author&gt;&lt;Year&gt;2010&lt;/Year&gt;&lt;RecNum&gt;299&lt;/RecNum&gt;&lt;DisplayText&gt;(2010)&lt;/DisplayText&gt;&lt;record&gt;&lt;rec-number&gt;299&lt;/rec-number&gt;&lt;foreign-keys&gt;&lt;key app="EN" db-id="tfpv5staxsvs2nexzpp5taewzsvpx0er5fap"&gt;299&lt;/key&gt;&lt;/foreign-keys&gt;&lt;ref-type name="Report"&gt;27&lt;/ref-type&gt;&lt;contributors&gt;&lt;authors&gt;&lt;author&gt;Jean-Charles Michaud&lt;/author&gt;&lt;author&gt;Laura Farrant&lt;/author&gt;&lt;author&gt;Olivier Jan&lt;/author&gt;&lt;author&gt;Birgitte Kjær&lt;/author&gt;&lt;author&gt;Ioannis Bakas&lt;/author&gt;&lt;/authors&gt;&lt;/contributors&gt;&lt;titles&gt;&lt;title&gt;Environmental benefits of recycling – 2010 update&lt;/title&gt;&lt;/titles&gt;&lt;dates&gt;&lt;year&gt;2010&lt;/year&gt;&lt;/dates&gt;&lt;urls&gt;&lt;/urls&gt;&lt;/record&gt;&lt;/Cite&gt;&lt;/EndNote&gt;</w:instrText>
      </w:r>
      <w:r>
        <w:rPr>
          <w:lang w:eastAsia="x-none"/>
        </w:rPr>
        <w:fldChar w:fldCharType="separate"/>
      </w:r>
      <w:r>
        <w:rPr>
          <w:noProof/>
          <w:lang w:eastAsia="x-none"/>
        </w:rPr>
        <w:t>(</w:t>
      </w:r>
      <w:hyperlink w:anchor="_ENREF_58" w:tooltip="Michaud, 2010 #299" w:history="1">
        <w:r w:rsidR="00F40CE2">
          <w:rPr>
            <w:noProof/>
            <w:lang w:eastAsia="x-none"/>
          </w:rPr>
          <w:t>2010</w:t>
        </w:r>
      </w:hyperlink>
      <w:r>
        <w:rPr>
          <w:noProof/>
          <w:lang w:eastAsia="x-none"/>
        </w:rPr>
        <w:t>)</w:t>
      </w:r>
      <w:r>
        <w:rPr>
          <w:lang w:eastAsia="x-none"/>
        </w:rPr>
        <w:fldChar w:fldCharType="end"/>
      </w:r>
      <w:r>
        <w:rPr>
          <w:lang w:eastAsia="x-none"/>
        </w:rPr>
        <w:t>, the indicators above have been of interest in many past LCA studies of waste treatment, and provide comparable benchmarks for future studies, thus they are therefore are worthy of consideration in this study.</w:t>
      </w:r>
    </w:p>
    <w:p w14:paraId="0D4946C7" w14:textId="77777777" w:rsidR="006B07CF" w:rsidRPr="00041296" w:rsidRDefault="006B07CF" w:rsidP="003A2892"/>
    <w:p w14:paraId="0E35942D" w14:textId="5D0D759B" w:rsidR="001C0EA2" w:rsidRDefault="001C0EA2" w:rsidP="001C0EA2">
      <w:pPr>
        <w:pStyle w:val="Heading1"/>
        <w:numPr>
          <w:ilvl w:val="0"/>
          <w:numId w:val="0"/>
        </w:numPr>
        <w:ind w:left="1134" w:hanging="1134"/>
        <w:rPr>
          <w:lang w:val="en-AU"/>
        </w:rPr>
      </w:pPr>
      <w:bookmarkStart w:id="367" w:name="_Ref360560152"/>
      <w:bookmarkStart w:id="368" w:name="_Ref360560538"/>
      <w:bookmarkStart w:id="369" w:name="_Ref360570838"/>
      <w:bookmarkStart w:id="370" w:name="_Ref360575329"/>
      <w:bookmarkStart w:id="371" w:name="_Ref358771663"/>
      <w:bookmarkStart w:id="372" w:name="_Toc433964603"/>
      <w:bookmarkEnd w:id="251"/>
      <w:r>
        <w:rPr>
          <w:lang w:val="en-AU"/>
        </w:rPr>
        <w:lastRenderedPageBreak/>
        <w:t>Appendix B – Inventory Report</w:t>
      </w:r>
      <w:bookmarkEnd w:id="367"/>
      <w:bookmarkEnd w:id="368"/>
      <w:bookmarkEnd w:id="369"/>
      <w:bookmarkEnd w:id="370"/>
      <w:bookmarkEnd w:id="372"/>
    </w:p>
    <w:p w14:paraId="68659FDC" w14:textId="77777777" w:rsidR="001C0EA2" w:rsidRPr="00DD3FA9" w:rsidRDefault="001C0EA2" w:rsidP="001C0EA2">
      <w:pPr>
        <w:rPr>
          <w:lang w:eastAsia="x-none"/>
        </w:rPr>
      </w:pPr>
      <w:r>
        <w:rPr>
          <w:lang w:eastAsia="x-none"/>
        </w:rPr>
        <w:t>Refer separate report.</w:t>
      </w:r>
    </w:p>
    <w:p w14:paraId="419A71D3" w14:textId="77777777" w:rsidR="001C0EA2" w:rsidRPr="001C0EA2" w:rsidRDefault="001C0EA2" w:rsidP="001C0EA2">
      <w:pPr>
        <w:rPr>
          <w:lang w:eastAsia="x-none"/>
        </w:rPr>
      </w:pPr>
    </w:p>
    <w:p w14:paraId="415C1F33" w14:textId="46FDA51F" w:rsidR="001C0EA2" w:rsidRDefault="001C0EA2" w:rsidP="001C0EA2">
      <w:pPr>
        <w:pStyle w:val="Heading1"/>
        <w:numPr>
          <w:ilvl w:val="0"/>
          <w:numId w:val="0"/>
        </w:numPr>
        <w:ind w:left="1134" w:hanging="1134"/>
        <w:rPr>
          <w:lang w:val="en-AU"/>
        </w:rPr>
      </w:pPr>
      <w:bookmarkStart w:id="373" w:name="_Ref360534108"/>
      <w:bookmarkStart w:id="374" w:name="_Toc433964604"/>
      <w:r>
        <w:rPr>
          <w:lang w:val="en-AU"/>
        </w:rPr>
        <w:lastRenderedPageBreak/>
        <w:t>Appendix C – Detailed Results by Material</w:t>
      </w:r>
      <w:bookmarkEnd w:id="373"/>
      <w:bookmarkEnd w:id="374"/>
    </w:p>
    <w:p w14:paraId="73600DC8" w14:textId="72C40FE1" w:rsidR="001C0EA2" w:rsidRDefault="001C0EA2" w:rsidP="001C0EA2">
      <w:pPr>
        <w:rPr>
          <w:lang w:eastAsia="x-none"/>
        </w:rPr>
      </w:pPr>
      <w:r>
        <w:rPr>
          <w:lang w:eastAsia="x-none"/>
        </w:rPr>
        <w:t>The following tables contain the study results shown by material and by process.</w:t>
      </w:r>
    </w:p>
    <w:p w14:paraId="5E63A213" w14:textId="77777777" w:rsidR="00A176D0" w:rsidRDefault="00A176D0" w:rsidP="00A176D0">
      <w:pPr>
        <w:rPr>
          <w:lang w:eastAsia="x-none"/>
        </w:rPr>
      </w:pPr>
      <w:r>
        <w:rPr>
          <w:lang w:eastAsia="x-none"/>
        </w:rPr>
        <w:fldChar w:fldCharType="begin"/>
      </w:r>
      <w:r>
        <w:rPr>
          <w:lang w:eastAsia="x-none"/>
        </w:rPr>
        <w:instrText xml:space="preserve"> REF _Ref358472354 \h </w:instrText>
      </w:r>
      <w:r>
        <w:rPr>
          <w:lang w:eastAsia="x-none"/>
        </w:rPr>
      </w:r>
      <w:r>
        <w:rPr>
          <w:lang w:eastAsia="x-none"/>
        </w:rPr>
        <w:fldChar w:fldCharType="separate"/>
      </w:r>
      <w:r w:rsidR="00564E5C">
        <w:t xml:space="preserve">Table </w:t>
      </w:r>
      <w:r w:rsidR="00564E5C">
        <w:rPr>
          <w:noProof/>
        </w:rPr>
        <w:t>57</w:t>
      </w:r>
      <w:r>
        <w:rPr>
          <w:lang w:eastAsia="x-none"/>
        </w:rPr>
        <w:fldChar w:fldCharType="end"/>
      </w:r>
      <w:r>
        <w:rPr>
          <w:lang w:eastAsia="x-none"/>
        </w:rPr>
        <w:t xml:space="preserve"> describes the study results for each indicator, broken down by both process and material being recycled. This table is intended to provide results in a form that allows the influence of mixture of recovered material on the overall outcome to be considered. Each indicator is shown in terms of the contribution each material stream provides to the outcome.</w:t>
      </w:r>
    </w:p>
    <w:p w14:paraId="2F4D88B2" w14:textId="7EA53981" w:rsidR="00A176D0" w:rsidRDefault="00A176D0" w:rsidP="00A176D0">
      <w:pPr>
        <w:rPr>
          <w:lang w:eastAsia="x-none"/>
        </w:rPr>
      </w:pPr>
      <w:r>
        <w:rPr>
          <w:lang w:eastAsia="x-none"/>
        </w:rPr>
        <w:t xml:space="preserve">Colours in </w:t>
      </w:r>
      <w:r>
        <w:rPr>
          <w:lang w:eastAsia="x-none"/>
        </w:rPr>
        <w:fldChar w:fldCharType="begin"/>
      </w:r>
      <w:r>
        <w:rPr>
          <w:lang w:eastAsia="x-none"/>
        </w:rPr>
        <w:instrText xml:space="preserve"> REF _Ref358472354 \h </w:instrText>
      </w:r>
      <w:r>
        <w:rPr>
          <w:lang w:eastAsia="x-none"/>
        </w:rPr>
      </w:r>
      <w:r>
        <w:rPr>
          <w:lang w:eastAsia="x-none"/>
        </w:rPr>
        <w:fldChar w:fldCharType="separate"/>
      </w:r>
      <w:r w:rsidR="00564E5C">
        <w:t xml:space="preserve">Table </w:t>
      </w:r>
      <w:r w:rsidR="00564E5C">
        <w:rPr>
          <w:noProof/>
        </w:rPr>
        <w:t>57</w:t>
      </w:r>
      <w:r>
        <w:rPr>
          <w:lang w:eastAsia="x-none"/>
        </w:rPr>
        <w:fldChar w:fldCharType="end"/>
      </w:r>
      <w:r>
        <w:rPr>
          <w:lang w:eastAsia="x-none"/>
        </w:rPr>
        <w:t xml:space="preserve"> are used to highlight the processes and materials that drive the </w:t>
      </w:r>
      <w:r w:rsidR="00F47716">
        <w:rPr>
          <w:lang w:eastAsia="x-none"/>
        </w:rPr>
        <w:t xml:space="preserve">indicator </w:t>
      </w:r>
      <w:r>
        <w:rPr>
          <w:lang w:eastAsia="x-none"/>
        </w:rPr>
        <w:t xml:space="preserve">outcome. Red toned cells highlight those process/material combinations that adversely impact the environmental outcome, and green toned cells indicate process/material combinations beneficially impact the outcome. </w:t>
      </w:r>
      <w:r w:rsidR="00F47716">
        <w:rPr>
          <w:lang w:eastAsia="x-none"/>
        </w:rPr>
        <w:t>White</w:t>
      </w:r>
      <w:r>
        <w:rPr>
          <w:lang w:eastAsia="x-none"/>
        </w:rPr>
        <w:t xml:space="preserve"> cells indicate minimal contribution to the Net Outcome. To further assist interpretation the Net Outcome column is enhanced by a bar indicating a beneficial (green) or adverse (red) material outcome, and a rank is provided highlighting the materials that contributed most to the outcome when recycled.</w:t>
      </w:r>
    </w:p>
    <w:p w14:paraId="4C81EDAE" w14:textId="2070C8F2" w:rsidR="00A176D0" w:rsidRDefault="00A176D0" w:rsidP="00A176D0">
      <w:pPr>
        <w:rPr>
          <w:lang w:eastAsia="x-none"/>
        </w:rPr>
      </w:pPr>
      <w:r>
        <w:rPr>
          <w:lang w:eastAsia="x-none"/>
        </w:rPr>
        <w:t xml:space="preserve">Below </w:t>
      </w:r>
      <w:r>
        <w:rPr>
          <w:lang w:eastAsia="x-none"/>
        </w:rPr>
        <w:fldChar w:fldCharType="begin"/>
      </w:r>
      <w:r>
        <w:rPr>
          <w:lang w:eastAsia="x-none"/>
        </w:rPr>
        <w:instrText xml:space="preserve"> REF _Ref358472354 \h </w:instrText>
      </w:r>
      <w:r>
        <w:rPr>
          <w:lang w:eastAsia="x-none"/>
        </w:rPr>
      </w:r>
      <w:r>
        <w:rPr>
          <w:lang w:eastAsia="x-none"/>
        </w:rPr>
        <w:fldChar w:fldCharType="separate"/>
      </w:r>
      <w:r w:rsidR="00564E5C">
        <w:t xml:space="preserve">Table </w:t>
      </w:r>
      <w:r w:rsidR="00564E5C">
        <w:rPr>
          <w:noProof/>
        </w:rPr>
        <w:t>57</w:t>
      </w:r>
      <w:r>
        <w:rPr>
          <w:lang w:eastAsia="x-none"/>
        </w:rPr>
        <w:fldChar w:fldCharType="end"/>
      </w:r>
      <w:r>
        <w:rPr>
          <w:lang w:eastAsia="x-none"/>
        </w:rPr>
        <w:t xml:space="preserve">, </w:t>
      </w:r>
      <w:r>
        <w:rPr>
          <w:lang w:eastAsia="x-none"/>
        </w:rPr>
        <w:fldChar w:fldCharType="begin"/>
      </w:r>
      <w:r>
        <w:rPr>
          <w:lang w:eastAsia="x-none"/>
        </w:rPr>
        <w:instrText xml:space="preserve"> REF _Ref358488456 \h </w:instrText>
      </w:r>
      <w:r>
        <w:rPr>
          <w:lang w:eastAsia="x-none"/>
        </w:rPr>
      </w:r>
      <w:r>
        <w:rPr>
          <w:lang w:eastAsia="x-none"/>
        </w:rPr>
        <w:fldChar w:fldCharType="separate"/>
      </w:r>
      <w:r w:rsidR="00564E5C">
        <w:t xml:space="preserve">Table </w:t>
      </w:r>
      <w:r w:rsidR="00564E5C">
        <w:rPr>
          <w:noProof/>
        </w:rPr>
        <w:t>58</w:t>
      </w:r>
      <w:r>
        <w:rPr>
          <w:lang w:eastAsia="x-none"/>
        </w:rPr>
        <w:fldChar w:fldCharType="end"/>
      </w:r>
      <w:r>
        <w:rPr>
          <w:lang w:eastAsia="x-none"/>
        </w:rPr>
        <w:t xml:space="preserve"> provides the same results, however results are scaled to reflect the outcome if 1 </w:t>
      </w:r>
      <w:r w:rsidR="00E82F90">
        <w:rPr>
          <w:lang w:eastAsia="x-none"/>
        </w:rPr>
        <w:t>t</w:t>
      </w:r>
      <w:r>
        <w:rPr>
          <w:lang w:eastAsia="x-none"/>
        </w:rPr>
        <w:t xml:space="preserve"> of each material were to be recycled, rather than the mix of material quantities prescribed by the functional unit. This table serves to indicate those materials that provide the biggest benefits when recycled.</w:t>
      </w:r>
    </w:p>
    <w:p w14:paraId="2F87FDF6" w14:textId="77777777" w:rsidR="00A176D0" w:rsidRDefault="00A176D0" w:rsidP="00A176D0">
      <w:pPr>
        <w:rPr>
          <w:lang w:eastAsia="x-none"/>
        </w:rPr>
      </w:pPr>
    </w:p>
    <w:p w14:paraId="0F26805D" w14:textId="77777777" w:rsidR="00A176D0" w:rsidRDefault="00A176D0" w:rsidP="00A176D0">
      <w:pPr>
        <w:pStyle w:val="Caption"/>
        <w:keepNext/>
      </w:pPr>
      <w:bookmarkStart w:id="375" w:name="_Ref358472354"/>
      <w:r>
        <w:lastRenderedPageBreak/>
        <w:t xml:space="preserve">Table </w:t>
      </w:r>
      <w:r w:rsidR="00FC7DE2">
        <w:fldChar w:fldCharType="begin"/>
      </w:r>
      <w:r w:rsidR="00FC7DE2">
        <w:instrText xml:space="preserve"> SEQ Table \* ARABIC </w:instrText>
      </w:r>
      <w:r w:rsidR="00FC7DE2">
        <w:fldChar w:fldCharType="separate"/>
      </w:r>
      <w:r w:rsidR="00564E5C">
        <w:rPr>
          <w:noProof/>
        </w:rPr>
        <w:t>57</w:t>
      </w:r>
      <w:r w:rsidR="00FC7DE2">
        <w:rPr>
          <w:noProof/>
        </w:rPr>
        <w:fldChar w:fldCharType="end"/>
      </w:r>
      <w:bookmarkEnd w:id="375"/>
      <w:r>
        <w:rPr>
          <w:lang w:val="en-AU"/>
        </w:rPr>
        <w:t xml:space="preserve"> Characterisation for 1 functional unit, broken down by material.</w:t>
      </w:r>
    </w:p>
    <w:p w14:paraId="531739E3" w14:textId="7C7A3EA3" w:rsidR="00A176D0" w:rsidRDefault="00891BBE" w:rsidP="00A176D0">
      <w:pPr>
        <w:rPr>
          <w:lang w:eastAsia="x-none"/>
        </w:rPr>
      </w:pPr>
      <w:r w:rsidRPr="00891BBE">
        <w:rPr>
          <w:noProof/>
        </w:rPr>
        <w:drawing>
          <wp:inline distT="0" distB="0" distL="0" distR="0" wp14:anchorId="34551D23" wp14:editId="69BC44CC">
            <wp:extent cx="5731510" cy="7314688"/>
            <wp:effectExtent l="0" t="0" r="254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7314688"/>
                    </a:xfrm>
                    <a:prstGeom prst="rect">
                      <a:avLst/>
                    </a:prstGeom>
                    <a:noFill/>
                    <a:ln>
                      <a:noFill/>
                    </a:ln>
                  </pic:spPr>
                </pic:pic>
              </a:graphicData>
            </a:graphic>
          </wp:inline>
        </w:drawing>
      </w:r>
    </w:p>
    <w:p w14:paraId="3D14ABF5" w14:textId="77777777" w:rsidR="00A176D0" w:rsidRDefault="00A176D0" w:rsidP="00A176D0">
      <w:pPr>
        <w:rPr>
          <w:lang w:eastAsia="x-none"/>
        </w:rPr>
      </w:pPr>
    </w:p>
    <w:p w14:paraId="5D159E75" w14:textId="77777777" w:rsidR="00A176D0" w:rsidRDefault="00A176D0" w:rsidP="00A176D0">
      <w:pPr>
        <w:rPr>
          <w:lang w:eastAsia="x-none"/>
        </w:rPr>
      </w:pPr>
    </w:p>
    <w:p w14:paraId="216CE125" w14:textId="77777777" w:rsidR="00A176D0" w:rsidRDefault="00A176D0" w:rsidP="00A176D0">
      <w:pPr>
        <w:rPr>
          <w:lang w:eastAsia="x-none"/>
        </w:rPr>
      </w:pPr>
    </w:p>
    <w:p w14:paraId="69061ED5" w14:textId="399E5922" w:rsidR="00A176D0" w:rsidRDefault="00A176D0" w:rsidP="00A176D0">
      <w:pPr>
        <w:pStyle w:val="Caption"/>
        <w:keepNext/>
      </w:pPr>
      <w:bookmarkStart w:id="376" w:name="_Ref358488456"/>
      <w:r>
        <w:lastRenderedPageBreak/>
        <w:t xml:space="preserve">Table </w:t>
      </w:r>
      <w:r w:rsidR="00FC7DE2">
        <w:fldChar w:fldCharType="begin"/>
      </w:r>
      <w:r w:rsidR="00FC7DE2">
        <w:instrText xml:space="preserve"> SEQ Table \* ARABIC </w:instrText>
      </w:r>
      <w:r w:rsidR="00FC7DE2">
        <w:fldChar w:fldCharType="separate"/>
      </w:r>
      <w:r w:rsidR="00564E5C">
        <w:rPr>
          <w:noProof/>
        </w:rPr>
        <w:t>58</w:t>
      </w:r>
      <w:r w:rsidR="00FC7DE2">
        <w:rPr>
          <w:noProof/>
        </w:rPr>
        <w:fldChar w:fldCharType="end"/>
      </w:r>
      <w:bookmarkEnd w:id="376"/>
      <w:r>
        <w:rPr>
          <w:lang w:val="en-AU"/>
        </w:rPr>
        <w:t xml:space="preserve"> Characterisation for the recycling of 1 </w:t>
      </w:r>
      <w:r w:rsidR="00E82F90">
        <w:rPr>
          <w:lang w:val="en-AU"/>
        </w:rPr>
        <w:t>t</w:t>
      </w:r>
      <w:r>
        <w:rPr>
          <w:lang w:val="en-AU"/>
        </w:rPr>
        <w:t xml:space="preserve"> of each material shown (impact intensity).</w:t>
      </w:r>
    </w:p>
    <w:p w14:paraId="2AD9BBC7" w14:textId="024DEC42" w:rsidR="00A176D0" w:rsidRDefault="00891BBE" w:rsidP="00A176D0">
      <w:pPr>
        <w:rPr>
          <w:lang w:eastAsia="x-none"/>
        </w:rPr>
      </w:pPr>
      <w:r w:rsidRPr="00891BBE">
        <w:rPr>
          <w:noProof/>
        </w:rPr>
        <w:drawing>
          <wp:inline distT="0" distB="0" distL="0" distR="0" wp14:anchorId="415DE762" wp14:editId="2F248997">
            <wp:extent cx="5731510" cy="7386135"/>
            <wp:effectExtent l="0" t="0" r="254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7386135"/>
                    </a:xfrm>
                    <a:prstGeom prst="rect">
                      <a:avLst/>
                    </a:prstGeom>
                    <a:noFill/>
                    <a:ln>
                      <a:noFill/>
                    </a:ln>
                  </pic:spPr>
                </pic:pic>
              </a:graphicData>
            </a:graphic>
          </wp:inline>
        </w:drawing>
      </w:r>
    </w:p>
    <w:p w14:paraId="37B5BDAE" w14:textId="77777777" w:rsidR="00A176D0" w:rsidRDefault="00A176D0" w:rsidP="00A176D0">
      <w:pPr>
        <w:rPr>
          <w:lang w:eastAsia="x-none"/>
        </w:rPr>
      </w:pPr>
    </w:p>
    <w:p w14:paraId="5BA830C3" w14:textId="77777777" w:rsidR="00A176D0" w:rsidRDefault="00A176D0" w:rsidP="001C0EA2">
      <w:pPr>
        <w:rPr>
          <w:lang w:eastAsia="x-none"/>
        </w:rPr>
      </w:pPr>
    </w:p>
    <w:p w14:paraId="0D90456D" w14:textId="77777777" w:rsidR="001C0EA2" w:rsidRPr="001C0EA2" w:rsidRDefault="001C0EA2" w:rsidP="001C0EA2">
      <w:pPr>
        <w:rPr>
          <w:lang w:eastAsia="x-none"/>
        </w:rPr>
      </w:pPr>
    </w:p>
    <w:p w14:paraId="277B658F" w14:textId="6C354A39" w:rsidR="008B48D4" w:rsidRDefault="008B48D4" w:rsidP="008B48D4">
      <w:pPr>
        <w:pStyle w:val="Heading1"/>
        <w:numPr>
          <w:ilvl w:val="0"/>
          <w:numId w:val="0"/>
        </w:numPr>
        <w:ind w:left="1134" w:hanging="1134"/>
        <w:rPr>
          <w:lang w:val="en-AU"/>
        </w:rPr>
      </w:pPr>
      <w:bookmarkStart w:id="377" w:name="_Ref367702929"/>
      <w:bookmarkStart w:id="378" w:name="_Ref360130330"/>
      <w:bookmarkStart w:id="379" w:name="_Toc433964605"/>
      <w:bookmarkEnd w:id="371"/>
      <w:r>
        <w:rPr>
          <w:lang w:val="en-AU"/>
        </w:rPr>
        <w:lastRenderedPageBreak/>
        <w:t>Appendix D – Impact Assessment Method (Factors)</w:t>
      </w:r>
      <w:bookmarkEnd w:id="377"/>
      <w:bookmarkEnd w:id="379"/>
    </w:p>
    <w:p w14:paraId="6BD41A07" w14:textId="77777777" w:rsidR="003322F2" w:rsidRPr="003322F2" w:rsidRDefault="003322F2" w:rsidP="003322F2">
      <w:pPr>
        <w:rPr>
          <w:lang w:eastAsia="x-none"/>
        </w:rPr>
      </w:pPr>
    </w:p>
    <w:p w14:paraId="655E42CB" w14:textId="3BEC812B" w:rsidR="008B48D4" w:rsidRDefault="008B48D4" w:rsidP="008B48D4">
      <w:pPr>
        <w:rPr>
          <w:lang w:eastAsia="x-none"/>
        </w:rPr>
      </w:pPr>
      <w:r w:rsidRPr="008B48D4">
        <w:rPr>
          <w:noProof/>
        </w:rPr>
        <w:drawing>
          <wp:inline distT="0" distB="0" distL="0" distR="0" wp14:anchorId="57BCDC6D" wp14:editId="3AE2528F">
            <wp:extent cx="3232514" cy="7858125"/>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9785" cy="7875800"/>
                    </a:xfrm>
                    <a:prstGeom prst="rect">
                      <a:avLst/>
                    </a:prstGeom>
                    <a:noFill/>
                    <a:ln>
                      <a:noFill/>
                    </a:ln>
                  </pic:spPr>
                </pic:pic>
              </a:graphicData>
            </a:graphic>
          </wp:inline>
        </w:drawing>
      </w:r>
    </w:p>
    <w:p w14:paraId="0A92C717" w14:textId="18C51EE1" w:rsidR="008B48D4" w:rsidRDefault="008B48D4" w:rsidP="008B48D4">
      <w:pPr>
        <w:rPr>
          <w:lang w:eastAsia="x-none"/>
        </w:rPr>
      </w:pPr>
      <w:r w:rsidRPr="008B48D4">
        <w:rPr>
          <w:noProof/>
        </w:rPr>
        <w:lastRenderedPageBreak/>
        <w:drawing>
          <wp:inline distT="0" distB="0" distL="0" distR="0" wp14:anchorId="618BEED8" wp14:editId="46A91B44">
            <wp:extent cx="3490053" cy="3576491"/>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94085" cy="3580623"/>
                    </a:xfrm>
                    <a:prstGeom prst="rect">
                      <a:avLst/>
                    </a:prstGeom>
                    <a:noFill/>
                    <a:ln>
                      <a:noFill/>
                    </a:ln>
                  </pic:spPr>
                </pic:pic>
              </a:graphicData>
            </a:graphic>
          </wp:inline>
        </w:drawing>
      </w:r>
    </w:p>
    <w:p w14:paraId="0338CE29" w14:textId="77777777" w:rsidR="008B48D4" w:rsidRDefault="008B48D4">
      <w:pPr>
        <w:widowControl/>
        <w:spacing w:after="0"/>
        <w:jc w:val="left"/>
        <w:rPr>
          <w:lang w:eastAsia="x-none"/>
        </w:rPr>
      </w:pPr>
      <w:r>
        <w:rPr>
          <w:lang w:eastAsia="x-none"/>
        </w:rPr>
        <w:br w:type="page"/>
      </w:r>
    </w:p>
    <w:p w14:paraId="403DA12F" w14:textId="77777777" w:rsidR="008B48D4" w:rsidRDefault="008B48D4" w:rsidP="008B48D4">
      <w:pPr>
        <w:rPr>
          <w:lang w:eastAsia="x-none"/>
        </w:rPr>
      </w:pPr>
      <w:r w:rsidRPr="008B48D4">
        <w:rPr>
          <w:noProof/>
        </w:rPr>
        <w:lastRenderedPageBreak/>
        <w:drawing>
          <wp:inline distT="0" distB="0" distL="0" distR="0" wp14:anchorId="34EF8388" wp14:editId="5746F471">
            <wp:extent cx="4515916" cy="7513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5483" cy="7512372"/>
                    </a:xfrm>
                    <a:prstGeom prst="rect">
                      <a:avLst/>
                    </a:prstGeom>
                    <a:noFill/>
                    <a:ln>
                      <a:noFill/>
                    </a:ln>
                  </pic:spPr>
                </pic:pic>
              </a:graphicData>
            </a:graphic>
          </wp:inline>
        </w:drawing>
      </w:r>
    </w:p>
    <w:p w14:paraId="7400C57F" w14:textId="77777777" w:rsidR="008B48D4" w:rsidRDefault="008B48D4">
      <w:pPr>
        <w:widowControl/>
        <w:spacing w:after="0"/>
        <w:jc w:val="left"/>
        <w:rPr>
          <w:lang w:eastAsia="x-none"/>
        </w:rPr>
      </w:pPr>
      <w:r>
        <w:rPr>
          <w:lang w:eastAsia="x-none"/>
        </w:rPr>
        <w:br w:type="page"/>
      </w:r>
    </w:p>
    <w:p w14:paraId="3943DA17" w14:textId="77777777" w:rsidR="008B48D4" w:rsidRDefault="008B48D4" w:rsidP="008B48D4">
      <w:pPr>
        <w:rPr>
          <w:lang w:eastAsia="x-none"/>
        </w:rPr>
      </w:pPr>
      <w:r w:rsidRPr="008B48D4">
        <w:rPr>
          <w:noProof/>
        </w:rPr>
        <w:lastRenderedPageBreak/>
        <w:drawing>
          <wp:inline distT="0" distB="0" distL="0" distR="0" wp14:anchorId="1ACAEC8B" wp14:editId="43463EDA">
            <wp:extent cx="4516648" cy="866781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19012" cy="8672355"/>
                    </a:xfrm>
                    <a:prstGeom prst="rect">
                      <a:avLst/>
                    </a:prstGeom>
                    <a:noFill/>
                    <a:ln>
                      <a:noFill/>
                    </a:ln>
                  </pic:spPr>
                </pic:pic>
              </a:graphicData>
            </a:graphic>
          </wp:inline>
        </w:drawing>
      </w:r>
    </w:p>
    <w:p w14:paraId="0B2BA668" w14:textId="7A97D3D3" w:rsidR="008B48D4" w:rsidRDefault="008B48D4" w:rsidP="008A15DB">
      <w:pPr>
        <w:widowControl/>
        <w:spacing w:after="0"/>
        <w:jc w:val="left"/>
        <w:rPr>
          <w:lang w:eastAsia="x-none"/>
        </w:rPr>
      </w:pPr>
      <w:r>
        <w:rPr>
          <w:lang w:eastAsia="x-none"/>
        </w:rPr>
        <w:br w:type="page"/>
      </w:r>
      <w:r w:rsidRPr="008B48D4">
        <w:rPr>
          <w:noProof/>
        </w:rPr>
        <w:lastRenderedPageBreak/>
        <w:drawing>
          <wp:inline distT="0" distB="0" distL="0" distR="0" wp14:anchorId="06A505FB" wp14:editId="4D5B55CE">
            <wp:extent cx="4172215" cy="886109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73123" cy="8863020"/>
                    </a:xfrm>
                    <a:prstGeom prst="rect">
                      <a:avLst/>
                    </a:prstGeom>
                    <a:noFill/>
                    <a:ln>
                      <a:noFill/>
                    </a:ln>
                  </pic:spPr>
                </pic:pic>
              </a:graphicData>
            </a:graphic>
          </wp:inline>
        </w:drawing>
      </w:r>
    </w:p>
    <w:p w14:paraId="62946A2E" w14:textId="6D9E5791" w:rsidR="008B48D4" w:rsidRDefault="008B48D4" w:rsidP="008A15DB">
      <w:pPr>
        <w:widowControl/>
        <w:spacing w:after="0"/>
        <w:jc w:val="left"/>
        <w:rPr>
          <w:lang w:eastAsia="x-none"/>
        </w:rPr>
      </w:pPr>
      <w:r>
        <w:rPr>
          <w:lang w:eastAsia="x-none"/>
        </w:rPr>
        <w:br w:type="page"/>
      </w:r>
      <w:r w:rsidRPr="008B48D4">
        <w:rPr>
          <w:noProof/>
        </w:rPr>
        <w:lastRenderedPageBreak/>
        <w:drawing>
          <wp:inline distT="0" distB="0" distL="0" distR="0" wp14:anchorId="45700452" wp14:editId="1FD6959B">
            <wp:extent cx="3688440" cy="8871045"/>
            <wp:effectExtent l="0" t="0" r="762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90859" cy="8876863"/>
                    </a:xfrm>
                    <a:prstGeom prst="rect">
                      <a:avLst/>
                    </a:prstGeom>
                    <a:noFill/>
                    <a:ln>
                      <a:noFill/>
                    </a:ln>
                  </pic:spPr>
                </pic:pic>
              </a:graphicData>
            </a:graphic>
          </wp:inline>
        </w:drawing>
      </w:r>
    </w:p>
    <w:p w14:paraId="7624E317" w14:textId="6C384DCD" w:rsidR="008B48D4" w:rsidRDefault="008B48D4" w:rsidP="008A15DB">
      <w:pPr>
        <w:widowControl/>
        <w:spacing w:after="0"/>
        <w:jc w:val="left"/>
        <w:rPr>
          <w:lang w:eastAsia="x-none"/>
        </w:rPr>
      </w:pPr>
      <w:r>
        <w:rPr>
          <w:lang w:eastAsia="x-none"/>
        </w:rPr>
        <w:br w:type="page"/>
      </w:r>
      <w:r w:rsidRPr="008B48D4">
        <w:rPr>
          <w:noProof/>
        </w:rPr>
        <w:lastRenderedPageBreak/>
        <w:drawing>
          <wp:inline distT="0" distB="0" distL="0" distR="0" wp14:anchorId="561AAC41" wp14:editId="1BD74851">
            <wp:extent cx="4298529" cy="7151427"/>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00619" cy="7154903"/>
                    </a:xfrm>
                    <a:prstGeom prst="rect">
                      <a:avLst/>
                    </a:prstGeom>
                    <a:noFill/>
                    <a:ln>
                      <a:noFill/>
                    </a:ln>
                  </pic:spPr>
                </pic:pic>
              </a:graphicData>
            </a:graphic>
          </wp:inline>
        </w:drawing>
      </w:r>
    </w:p>
    <w:p w14:paraId="3972E8B4" w14:textId="77777777" w:rsidR="008B48D4" w:rsidRDefault="008B48D4">
      <w:pPr>
        <w:widowControl/>
        <w:spacing w:after="0"/>
        <w:jc w:val="left"/>
        <w:rPr>
          <w:lang w:eastAsia="x-none"/>
        </w:rPr>
      </w:pPr>
      <w:r>
        <w:rPr>
          <w:lang w:eastAsia="x-none"/>
        </w:rPr>
        <w:br w:type="page"/>
      </w:r>
    </w:p>
    <w:p w14:paraId="0237438B" w14:textId="77777777" w:rsidR="008B48D4" w:rsidRDefault="008B48D4" w:rsidP="008B48D4">
      <w:pPr>
        <w:rPr>
          <w:lang w:eastAsia="x-none"/>
        </w:rPr>
      </w:pPr>
      <w:r w:rsidRPr="008B48D4">
        <w:rPr>
          <w:noProof/>
        </w:rPr>
        <w:lastRenderedPageBreak/>
        <w:drawing>
          <wp:inline distT="0" distB="0" distL="0" distR="0" wp14:anchorId="3BD18403" wp14:editId="7C7A9CA5">
            <wp:extent cx="3923731" cy="4519786"/>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23355" cy="4519352"/>
                    </a:xfrm>
                    <a:prstGeom prst="rect">
                      <a:avLst/>
                    </a:prstGeom>
                    <a:noFill/>
                    <a:ln>
                      <a:noFill/>
                    </a:ln>
                  </pic:spPr>
                </pic:pic>
              </a:graphicData>
            </a:graphic>
          </wp:inline>
        </w:drawing>
      </w:r>
    </w:p>
    <w:p w14:paraId="7921F2A9" w14:textId="77777777" w:rsidR="008B48D4" w:rsidRDefault="008B48D4">
      <w:pPr>
        <w:widowControl/>
        <w:spacing w:after="0"/>
        <w:jc w:val="left"/>
        <w:rPr>
          <w:lang w:eastAsia="x-none"/>
        </w:rPr>
      </w:pPr>
      <w:r>
        <w:rPr>
          <w:lang w:eastAsia="x-none"/>
        </w:rPr>
        <w:br w:type="page"/>
      </w:r>
    </w:p>
    <w:p w14:paraId="4964BE20" w14:textId="77777777" w:rsidR="008B48D4" w:rsidRDefault="008B48D4" w:rsidP="008B48D4">
      <w:pPr>
        <w:rPr>
          <w:lang w:eastAsia="x-none"/>
        </w:rPr>
      </w:pPr>
      <w:r w:rsidRPr="008B48D4">
        <w:rPr>
          <w:noProof/>
        </w:rPr>
        <w:lastRenderedPageBreak/>
        <w:drawing>
          <wp:inline distT="0" distB="0" distL="0" distR="0" wp14:anchorId="43179908" wp14:editId="5C29A136">
            <wp:extent cx="4448747" cy="8877869"/>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52221" cy="8884801"/>
                    </a:xfrm>
                    <a:prstGeom prst="rect">
                      <a:avLst/>
                    </a:prstGeom>
                    <a:noFill/>
                    <a:ln>
                      <a:noFill/>
                    </a:ln>
                  </pic:spPr>
                </pic:pic>
              </a:graphicData>
            </a:graphic>
          </wp:inline>
        </w:drawing>
      </w:r>
    </w:p>
    <w:p w14:paraId="450B3C61" w14:textId="30724237" w:rsidR="008B48D4" w:rsidRDefault="008B48D4" w:rsidP="008A15DB">
      <w:pPr>
        <w:widowControl/>
        <w:spacing w:after="0"/>
        <w:jc w:val="left"/>
        <w:rPr>
          <w:lang w:eastAsia="x-none"/>
        </w:rPr>
      </w:pPr>
      <w:r>
        <w:rPr>
          <w:lang w:eastAsia="x-none"/>
        </w:rPr>
        <w:br w:type="page"/>
      </w:r>
      <w:r w:rsidRPr="008B48D4">
        <w:rPr>
          <w:noProof/>
        </w:rPr>
        <w:lastRenderedPageBreak/>
        <w:drawing>
          <wp:inline distT="0" distB="0" distL="0" distR="0" wp14:anchorId="10BE5932" wp14:editId="2C7702A4">
            <wp:extent cx="2996286" cy="8891517"/>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97801" cy="8896013"/>
                    </a:xfrm>
                    <a:prstGeom prst="rect">
                      <a:avLst/>
                    </a:prstGeom>
                    <a:noFill/>
                    <a:ln>
                      <a:noFill/>
                    </a:ln>
                  </pic:spPr>
                </pic:pic>
              </a:graphicData>
            </a:graphic>
          </wp:inline>
        </w:drawing>
      </w:r>
    </w:p>
    <w:p w14:paraId="1FA85B59" w14:textId="5BC071E4" w:rsidR="008B48D4" w:rsidRPr="008B48D4" w:rsidRDefault="008B48D4" w:rsidP="008A15DB">
      <w:pPr>
        <w:widowControl/>
        <w:spacing w:after="0"/>
        <w:jc w:val="left"/>
        <w:rPr>
          <w:lang w:eastAsia="x-none"/>
        </w:rPr>
      </w:pPr>
      <w:r>
        <w:rPr>
          <w:lang w:eastAsia="x-none"/>
        </w:rPr>
        <w:lastRenderedPageBreak/>
        <w:br w:type="page"/>
      </w:r>
      <w:r w:rsidRPr="008B48D4">
        <w:rPr>
          <w:noProof/>
        </w:rPr>
        <w:lastRenderedPageBreak/>
        <w:drawing>
          <wp:inline distT="0" distB="0" distL="0" distR="0" wp14:anchorId="7C61D693" wp14:editId="1C9BB2D7">
            <wp:extent cx="2651052" cy="88846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51061" cy="8884723"/>
                    </a:xfrm>
                    <a:prstGeom prst="rect">
                      <a:avLst/>
                    </a:prstGeom>
                    <a:noFill/>
                    <a:ln>
                      <a:noFill/>
                    </a:ln>
                  </pic:spPr>
                </pic:pic>
              </a:graphicData>
            </a:graphic>
          </wp:inline>
        </w:drawing>
      </w:r>
    </w:p>
    <w:p w14:paraId="0D4946CC" w14:textId="74C2FBB0" w:rsidR="00E076B3" w:rsidRDefault="00E076B3" w:rsidP="00E076B3">
      <w:pPr>
        <w:pStyle w:val="Heading1"/>
        <w:numPr>
          <w:ilvl w:val="0"/>
          <w:numId w:val="0"/>
        </w:numPr>
        <w:ind w:left="1134" w:hanging="1134"/>
        <w:rPr>
          <w:lang w:val="en-AU"/>
        </w:rPr>
      </w:pPr>
      <w:bookmarkStart w:id="380" w:name="_Ref367702657"/>
      <w:bookmarkStart w:id="381" w:name="_Toc433964606"/>
      <w:r>
        <w:rPr>
          <w:lang w:val="en-AU"/>
        </w:rPr>
        <w:lastRenderedPageBreak/>
        <w:t xml:space="preserve">Appendix </w:t>
      </w:r>
      <w:r w:rsidR="008B48D4">
        <w:rPr>
          <w:lang w:val="en-AU"/>
        </w:rPr>
        <w:t>E</w:t>
      </w:r>
      <w:r>
        <w:rPr>
          <w:lang w:val="en-AU"/>
        </w:rPr>
        <w:t xml:space="preserve"> – Reviewer comments</w:t>
      </w:r>
      <w:bookmarkEnd w:id="378"/>
      <w:bookmarkEnd w:id="380"/>
      <w:bookmarkEnd w:id="381"/>
    </w:p>
    <w:p w14:paraId="353761D8" w14:textId="77777777" w:rsidR="00EA0C17" w:rsidRDefault="00A16FF9" w:rsidP="00EA0C17">
      <w:r>
        <w:t xml:space="preserve">The following table of comments is compiled from the minutes of the Stakeholder Review Panel meeting held </w:t>
      </w:r>
      <w:r w:rsidR="00EA0C17">
        <w:t xml:space="preserve">14/6/2013 </w:t>
      </w:r>
      <w:r>
        <w:t xml:space="preserve">and chaired by Kel Dummett. In attendance at this meeting were: </w:t>
      </w:r>
      <w:r w:rsidR="00EA0C17">
        <w:t>Attendees:  Andrew Carre (RMIT), Kel Dummett (SV), Nick Chrisant (SV), Marcus Fogarty (SV), Robert Francis (SITA), Nancy Wei (Visy), Miro Krmpotic (Huhtamaki), Alwyn Babb (Hume City Council), Joe Pickin (Blue Environment)</w:t>
      </w:r>
    </w:p>
    <w:p w14:paraId="28B17D67" w14:textId="77777777" w:rsidR="00EA0C17" w:rsidRDefault="00EA0C17" w:rsidP="00EA0C17">
      <w:r>
        <w:t>Apologies: Michael Wood (Enviromix), Dom Tenace (SKM), Peter Burry (Pacia), Krista Imberger (Pacia), Enda Crossin (RMIT)</w:t>
      </w:r>
    </w:p>
    <w:p w14:paraId="58323441" w14:textId="6CCF2194" w:rsidR="00A16FF9" w:rsidRDefault="00A16FF9" w:rsidP="00A16FF9">
      <w:r>
        <w:t xml:space="preserve">As agreed </w:t>
      </w:r>
      <w:r w:rsidR="00EA0C17">
        <w:t>early in the review process</w:t>
      </w:r>
      <w:r>
        <w:t>, comments are attributed collectively when made by Interested Parties (IP) and specifically when made by other participants. Comments received prior to and following the SRP meeting are also included.</w:t>
      </w:r>
    </w:p>
    <w:p w14:paraId="2743BDA5" w14:textId="218ED714" w:rsidR="00EA0C17" w:rsidRDefault="00EA0C17" w:rsidP="00A16FF9">
      <w:r>
        <w:t xml:space="preserve">The table below also includes comments from </w:t>
      </w:r>
    </w:p>
    <w:p w14:paraId="190B88DE" w14:textId="77777777" w:rsidR="00A16FF9" w:rsidRDefault="00A16FF9" w:rsidP="00A16FF9">
      <w:r>
        <w:t>Key to reviewers:</w:t>
      </w:r>
    </w:p>
    <w:p w14:paraId="6A8E6BA9" w14:textId="77777777" w:rsidR="00A16FF9" w:rsidRDefault="00A16FF9" w:rsidP="00A16FF9">
      <w:pPr>
        <w:spacing w:after="0"/>
        <w:ind w:left="720"/>
      </w:pPr>
      <w:r>
        <w:t>IP = Interested party, industry participants</w:t>
      </w:r>
    </w:p>
    <w:p w14:paraId="74C52961" w14:textId="77777777" w:rsidR="00A16FF9" w:rsidRDefault="00A16FF9" w:rsidP="00A16FF9">
      <w:pPr>
        <w:spacing w:after="0"/>
        <w:ind w:left="720"/>
      </w:pPr>
      <w:r>
        <w:t>LCA = LCA expert, Joe Pickin</w:t>
      </w:r>
    </w:p>
    <w:p w14:paraId="4AD15929" w14:textId="77777777" w:rsidR="00A16FF9" w:rsidRDefault="00A16FF9" w:rsidP="00A16FF9">
      <w:pPr>
        <w:spacing w:after="0"/>
        <w:ind w:left="720"/>
      </w:pPr>
      <w:r>
        <w:t>CP = Commissioning Party, Sustainability Victoria</w:t>
      </w:r>
    </w:p>
    <w:p w14:paraId="5C565B86" w14:textId="77777777" w:rsidR="00A16FF9" w:rsidRDefault="00A16FF9" w:rsidP="00A16FF9">
      <w:pPr>
        <w:spacing w:after="0"/>
        <w:ind w:left="720"/>
      </w:pPr>
      <w:r>
        <w:t>RMIT = RMIT University, study author organisation</w:t>
      </w:r>
    </w:p>
    <w:p w14:paraId="78021784" w14:textId="77777777" w:rsidR="00A16FF9" w:rsidRDefault="00A16FF9" w:rsidP="00A16FF9"/>
    <w:p w14:paraId="034D1C1E" w14:textId="77777777" w:rsidR="00A16FF9" w:rsidRDefault="00A16FF9" w:rsidP="00A16FF9">
      <w:pPr>
        <w:pStyle w:val="Caption"/>
        <w:keepNext/>
      </w:pPr>
      <w:r>
        <w:t xml:space="preserve">Table </w:t>
      </w:r>
      <w:r w:rsidR="00FC7DE2">
        <w:fldChar w:fldCharType="begin"/>
      </w:r>
      <w:r w:rsidR="00FC7DE2">
        <w:instrText xml:space="preserve"> SEQ Table \* ARABIC </w:instrText>
      </w:r>
      <w:r w:rsidR="00FC7DE2">
        <w:fldChar w:fldCharType="separate"/>
      </w:r>
      <w:r w:rsidR="00564E5C">
        <w:rPr>
          <w:noProof/>
        </w:rPr>
        <w:t>59</w:t>
      </w:r>
      <w:r w:rsidR="00FC7DE2">
        <w:rPr>
          <w:noProof/>
        </w:rPr>
        <w:fldChar w:fldCharType="end"/>
      </w:r>
      <w:r>
        <w:t xml:space="preserve"> Comments recorded from the minutes of the SRP meeting held 11/12/2012.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172"/>
        <w:gridCol w:w="3460"/>
        <w:gridCol w:w="3375"/>
        <w:gridCol w:w="1343"/>
      </w:tblGrid>
      <w:tr w:rsidR="00A16FF9" w:rsidRPr="009E73CF" w14:paraId="59FFD9CA" w14:textId="77777777" w:rsidTr="00EA0C17">
        <w:trPr>
          <w:tblHeader/>
        </w:trPr>
        <w:tc>
          <w:tcPr>
            <w:tcW w:w="539" w:type="dxa"/>
          </w:tcPr>
          <w:p w14:paraId="403C536F" w14:textId="77777777" w:rsidR="00A16FF9" w:rsidRPr="009E73CF" w:rsidRDefault="00A16FF9" w:rsidP="00EA0C17">
            <w:pPr>
              <w:spacing w:after="0"/>
              <w:jc w:val="left"/>
              <w:rPr>
                <w:b/>
                <w:sz w:val="16"/>
                <w:szCs w:val="16"/>
              </w:rPr>
            </w:pPr>
            <w:r w:rsidRPr="009E73CF">
              <w:rPr>
                <w:b/>
                <w:sz w:val="16"/>
                <w:szCs w:val="16"/>
              </w:rPr>
              <w:t>No.</w:t>
            </w:r>
          </w:p>
        </w:tc>
        <w:tc>
          <w:tcPr>
            <w:tcW w:w="1172" w:type="dxa"/>
          </w:tcPr>
          <w:p w14:paraId="6559AD6E" w14:textId="77777777" w:rsidR="00A16FF9" w:rsidRPr="009E73CF" w:rsidRDefault="00A16FF9" w:rsidP="00EA0C17">
            <w:pPr>
              <w:spacing w:after="0"/>
              <w:jc w:val="left"/>
              <w:rPr>
                <w:b/>
                <w:sz w:val="16"/>
                <w:szCs w:val="16"/>
              </w:rPr>
            </w:pPr>
            <w:r w:rsidRPr="009E73CF">
              <w:rPr>
                <w:b/>
                <w:sz w:val="16"/>
                <w:szCs w:val="16"/>
              </w:rPr>
              <w:t>Reviewer</w:t>
            </w:r>
          </w:p>
        </w:tc>
        <w:tc>
          <w:tcPr>
            <w:tcW w:w="3460" w:type="dxa"/>
          </w:tcPr>
          <w:p w14:paraId="3C5F3937" w14:textId="77777777" w:rsidR="00A16FF9" w:rsidRPr="009E73CF" w:rsidRDefault="00A16FF9" w:rsidP="00EA0C17">
            <w:pPr>
              <w:spacing w:after="0"/>
              <w:jc w:val="left"/>
              <w:rPr>
                <w:b/>
                <w:sz w:val="16"/>
                <w:szCs w:val="16"/>
              </w:rPr>
            </w:pPr>
            <w:r w:rsidRPr="009E73CF">
              <w:rPr>
                <w:b/>
                <w:sz w:val="16"/>
                <w:szCs w:val="16"/>
              </w:rPr>
              <w:t>Comment</w:t>
            </w:r>
          </w:p>
        </w:tc>
        <w:tc>
          <w:tcPr>
            <w:tcW w:w="3375" w:type="dxa"/>
          </w:tcPr>
          <w:p w14:paraId="2C22CE2B" w14:textId="77777777" w:rsidR="00A16FF9" w:rsidRPr="009E73CF" w:rsidRDefault="00A16FF9" w:rsidP="00EA0C17">
            <w:pPr>
              <w:spacing w:after="0"/>
              <w:jc w:val="left"/>
              <w:rPr>
                <w:b/>
                <w:sz w:val="16"/>
                <w:szCs w:val="16"/>
              </w:rPr>
            </w:pPr>
            <w:r w:rsidRPr="009E73CF">
              <w:rPr>
                <w:b/>
                <w:sz w:val="16"/>
                <w:szCs w:val="16"/>
              </w:rPr>
              <w:t>Author reply/action</w:t>
            </w:r>
          </w:p>
        </w:tc>
        <w:tc>
          <w:tcPr>
            <w:tcW w:w="1343" w:type="dxa"/>
          </w:tcPr>
          <w:p w14:paraId="4E4C23A2" w14:textId="77777777" w:rsidR="00A16FF9" w:rsidRPr="009E73CF" w:rsidRDefault="00A16FF9" w:rsidP="00EA0C17">
            <w:pPr>
              <w:spacing w:after="0"/>
              <w:jc w:val="left"/>
              <w:rPr>
                <w:b/>
                <w:sz w:val="16"/>
                <w:szCs w:val="16"/>
              </w:rPr>
            </w:pPr>
            <w:r w:rsidRPr="009E73CF">
              <w:rPr>
                <w:b/>
                <w:sz w:val="16"/>
                <w:szCs w:val="16"/>
              </w:rPr>
              <w:t>Report section impacted</w:t>
            </w:r>
          </w:p>
        </w:tc>
      </w:tr>
      <w:tr w:rsidR="00EA0C17" w:rsidRPr="009E73CF" w14:paraId="6648ECDA" w14:textId="77777777" w:rsidTr="00EA0C17">
        <w:tc>
          <w:tcPr>
            <w:tcW w:w="539" w:type="dxa"/>
          </w:tcPr>
          <w:p w14:paraId="4752EF5A" w14:textId="77777777" w:rsidR="00EA0C17" w:rsidRPr="009E73CF" w:rsidRDefault="00EA0C17" w:rsidP="00EA0C17">
            <w:pPr>
              <w:spacing w:after="0"/>
              <w:jc w:val="left"/>
              <w:rPr>
                <w:sz w:val="16"/>
                <w:szCs w:val="16"/>
              </w:rPr>
            </w:pPr>
            <w:r w:rsidRPr="009E73CF">
              <w:rPr>
                <w:sz w:val="16"/>
                <w:szCs w:val="16"/>
              </w:rPr>
              <w:t>1</w:t>
            </w:r>
          </w:p>
        </w:tc>
        <w:tc>
          <w:tcPr>
            <w:tcW w:w="1172" w:type="dxa"/>
          </w:tcPr>
          <w:p w14:paraId="53B528C9" w14:textId="2DB1A033" w:rsidR="00EA0C17" w:rsidRPr="009E73CF" w:rsidRDefault="00EA0C17" w:rsidP="00EA0C17">
            <w:pPr>
              <w:spacing w:after="0"/>
              <w:jc w:val="left"/>
              <w:rPr>
                <w:sz w:val="16"/>
                <w:szCs w:val="16"/>
              </w:rPr>
            </w:pPr>
            <w:r w:rsidRPr="009E73CF">
              <w:rPr>
                <w:sz w:val="16"/>
                <w:szCs w:val="16"/>
              </w:rPr>
              <w:t>Author</w:t>
            </w:r>
          </w:p>
        </w:tc>
        <w:tc>
          <w:tcPr>
            <w:tcW w:w="3460" w:type="dxa"/>
          </w:tcPr>
          <w:p w14:paraId="67EA7FBC" w14:textId="2A765C64" w:rsidR="00EA0C17" w:rsidRPr="009E73CF" w:rsidRDefault="00EA0C17" w:rsidP="00EA0C17">
            <w:pPr>
              <w:spacing w:after="0"/>
              <w:jc w:val="left"/>
              <w:rPr>
                <w:sz w:val="16"/>
                <w:szCs w:val="16"/>
              </w:rPr>
            </w:pPr>
            <w:r w:rsidRPr="009E73CF">
              <w:rPr>
                <w:sz w:val="16"/>
                <w:szCs w:val="16"/>
              </w:rPr>
              <w:t>Am unhappy with steel inventory representativeness. Need to adopt local inventory (in place of Europe).</w:t>
            </w:r>
          </w:p>
        </w:tc>
        <w:tc>
          <w:tcPr>
            <w:tcW w:w="3375" w:type="dxa"/>
          </w:tcPr>
          <w:p w14:paraId="2A332B89" w14:textId="5BE93B15" w:rsidR="00EA0C17" w:rsidRPr="009E73CF" w:rsidRDefault="00EA0C17" w:rsidP="00EA0C17">
            <w:pPr>
              <w:spacing w:after="0"/>
              <w:jc w:val="left"/>
              <w:rPr>
                <w:sz w:val="16"/>
                <w:szCs w:val="16"/>
              </w:rPr>
            </w:pPr>
            <w:r w:rsidRPr="009E73CF">
              <w:rPr>
                <w:sz w:val="16"/>
                <w:szCs w:val="16"/>
              </w:rPr>
              <w:t>Steel inventory changed to adopt Energetics (Australian) inventory in place of Ecoinvent.</w:t>
            </w:r>
          </w:p>
        </w:tc>
        <w:tc>
          <w:tcPr>
            <w:tcW w:w="1343" w:type="dxa"/>
          </w:tcPr>
          <w:p w14:paraId="0819F141" w14:textId="23CAA4F7"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_Ref360533919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w:t>
            </w:r>
            <w:r w:rsidRPr="009E73CF">
              <w:rPr>
                <w:sz w:val="16"/>
                <w:szCs w:val="16"/>
              </w:rPr>
              <w:fldChar w:fldCharType="end"/>
            </w:r>
          </w:p>
        </w:tc>
      </w:tr>
      <w:tr w:rsidR="00EA0C17" w:rsidRPr="009E73CF" w14:paraId="38B4E4F8" w14:textId="77777777" w:rsidTr="00EA0C17">
        <w:tc>
          <w:tcPr>
            <w:tcW w:w="539" w:type="dxa"/>
          </w:tcPr>
          <w:p w14:paraId="16B367C6" w14:textId="77777777" w:rsidR="00EA0C17" w:rsidRPr="009E73CF" w:rsidRDefault="00EA0C17" w:rsidP="00EA0C17">
            <w:pPr>
              <w:spacing w:after="0"/>
              <w:jc w:val="left"/>
              <w:rPr>
                <w:sz w:val="16"/>
                <w:szCs w:val="16"/>
              </w:rPr>
            </w:pPr>
            <w:r w:rsidRPr="009E73CF">
              <w:rPr>
                <w:sz w:val="16"/>
                <w:szCs w:val="16"/>
              </w:rPr>
              <w:t>2</w:t>
            </w:r>
          </w:p>
        </w:tc>
        <w:tc>
          <w:tcPr>
            <w:tcW w:w="1172" w:type="dxa"/>
          </w:tcPr>
          <w:p w14:paraId="7BA0E514" w14:textId="71474EE1" w:rsidR="00EA0C17" w:rsidRPr="009E73CF" w:rsidRDefault="00EA0C17" w:rsidP="00EA0C17">
            <w:pPr>
              <w:spacing w:after="0"/>
              <w:jc w:val="left"/>
              <w:rPr>
                <w:sz w:val="16"/>
                <w:szCs w:val="16"/>
              </w:rPr>
            </w:pPr>
            <w:r w:rsidRPr="009E73CF">
              <w:rPr>
                <w:sz w:val="16"/>
                <w:szCs w:val="16"/>
              </w:rPr>
              <w:t>IP</w:t>
            </w:r>
          </w:p>
        </w:tc>
        <w:tc>
          <w:tcPr>
            <w:tcW w:w="3460" w:type="dxa"/>
          </w:tcPr>
          <w:p w14:paraId="66811B69" w14:textId="2F9582F1" w:rsidR="00EA0C17" w:rsidRPr="009E73CF" w:rsidRDefault="00EA0C17" w:rsidP="00EA0C17">
            <w:pPr>
              <w:spacing w:after="0"/>
              <w:jc w:val="left"/>
              <w:rPr>
                <w:sz w:val="16"/>
                <w:szCs w:val="16"/>
              </w:rPr>
            </w:pPr>
            <w:r w:rsidRPr="009E73CF">
              <w:rPr>
                <w:sz w:val="16"/>
                <w:szCs w:val="16"/>
              </w:rPr>
              <w:t>Alternative waste treatments to recycling and landfill need to be addressed, even if out of scope (eg. waste to energy)</w:t>
            </w:r>
          </w:p>
        </w:tc>
        <w:tc>
          <w:tcPr>
            <w:tcW w:w="3375" w:type="dxa"/>
          </w:tcPr>
          <w:p w14:paraId="0205819C" w14:textId="2C3A5C05" w:rsidR="00EA0C17" w:rsidRPr="009E73CF" w:rsidRDefault="00EA0C17" w:rsidP="00EA0C17">
            <w:pPr>
              <w:spacing w:after="0"/>
              <w:jc w:val="left"/>
              <w:rPr>
                <w:sz w:val="16"/>
                <w:szCs w:val="16"/>
              </w:rPr>
            </w:pPr>
            <w:r w:rsidRPr="009E73CF">
              <w:rPr>
                <w:sz w:val="16"/>
                <w:szCs w:val="16"/>
              </w:rPr>
              <w:t>Added section.</w:t>
            </w:r>
          </w:p>
        </w:tc>
        <w:tc>
          <w:tcPr>
            <w:tcW w:w="1343" w:type="dxa"/>
          </w:tcPr>
          <w:p w14:paraId="2849F7D1" w14:textId="30276595"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_Ref362987828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3.5</w:t>
            </w:r>
            <w:r w:rsidRPr="009E73CF">
              <w:rPr>
                <w:sz w:val="16"/>
                <w:szCs w:val="16"/>
              </w:rPr>
              <w:fldChar w:fldCharType="end"/>
            </w:r>
          </w:p>
        </w:tc>
      </w:tr>
      <w:tr w:rsidR="00EA0C17" w:rsidRPr="009E73CF" w14:paraId="0D8109F6" w14:textId="77777777" w:rsidTr="00EA0C17">
        <w:tc>
          <w:tcPr>
            <w:tcW w:w="539" w:type="dxa"/>
          </w:tcPr>
          <w:p w14:paraId="0EC0D8FC" w14:textId="77777777" w:rsidR="00EA0C17" w:rsidRPr="009E73CF" w:rsidRDefault="00EA0C17" w:rsidP="00EA0C17">
            <w:pPr>
              <w:spacing w:after="0"/>
              <w:jc w:val="left"/>
              <w:rPr>
                <w:sz w:val="16"/>
                <w:szCs w:val="16"/>
              </w:rPr>
            </w:pPr>
            <w:r w:rsidRPr="009E73CF">
              <w:rPr>
                <w:sz w:val="16"/>
                <w:szCs w:val="16"/>
              </w:rPr>
              <w:t>3</w:t>
            </w:r>
          </w:p>
        </w:tc>
        <w:tc>
          <w:tcPr>
            <w:tcW w:w="1172" w:type="dxa"/>
          </w:tcPr>
          <w:p w14:paraId="1750FBB0" w14:textId="77E4A96D" w:rsidR="00EA0C17" w:rsidRPr="009E73CF" w:rsidRDefault="00EA0C17" w:rsidP="00EA0C17">
            <w:pPr>
              <w:spacing w:after="0"/>
              <w:jc w:val="left"/>
              <w:rPr>
                <w:sz w:val="16"/>
                <w:szCs w:val="16"/>
              </w:rPr>
            </w:pPr>
            <w:r w:rsidRPr="009E73CF">
              <w:rPr>
                <w:sz w:val="16"/>
                <w:szCs w:val="16"/>
              </w:rPr>
              <w:t>IP</w:t>
            </w:r>
          </w:p>
        </w:tc>
        <w:tc>
          <w:tcPr>
            <w:tcW w:w="3460" w:type="dxa"/>
          </w:tcPr>
          <w:p w14:paraId="18D45500" w14:textId="572CD9C2" w:rsidR="00EA0C17" w:rsidRPr="009E73CF" w:rsidRDefault="00EA0C17" w:rsidP="00EA0C17">
            <w:pPr>
              <w:spacing w:after="0"/>
              <w:jc w:val="left"/>
              <w:rPr>
                <w:sz w:val="16"/>
                <w:szCs w:val="16"/>
              </w:rPr>
            </w:pPr>
            <w:r w:rsidRPr="009E73CF">
              <w:rPr>
                <w:sz w:val="16"/>
                <w:szCs w:val="16"/>
              </w:rPr>
              <w:t>Results are hard to find in report. Aspects of literature review and methodology could move to an appendix.</w:t>
            </w:r>
          </w:p>
        </w:tc>
        <w:tc>
          <w:tcPr>
            <w:tcW w:w="3375" w:type="dxa"/>
          </w:tcPr>
          <w:p w14:paraId="24CD8E1C" w14:textId="7270D466" w:rsidR="00EA0C17" w:rsidRPr="009E73CF" w:rsidRDefault="00EA0C17" w:rsidP="00EA0C17">
            <w:pPr>
              <w:spacing w:after="0"/>
              <w:jc w:val="left"/>
              <w:rPr>
                <w:sz w:val="16"/>
                <w:szCs w:val="16"/>
              </w:rPr>
            </w:pPr>
            <w:r w:rsidRPr="009E73CF">
              <w:rPr>
                <w:sz w:val="16"/>
                <w:szCs w:val="16"/>
              </w:rPr>
              <w:t xml:space="preserve">Literature review reduced and methodological aspects moved to </w:t>
            </w:r>
            <w:r w:rsidRPr="009E73CF">
              <w:rPr>
                <w:sz w:val="16"/>
                <w:szCs w:val="16"/>
              </w:rPr>
              <w:fldChar w:fldCharType="begin"/>
            </w:r>
            <w:r w:rsidRPr="009E73CF">
              <w:rPr>
                <w:sz w:val="16"/>
                <w:szCs w:val="16"/>
              </w:rPr>
              <w:instrText xml:space="preserve"> REF _Ref360135617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Appendix A – Life Cycle Assessment and Recycling</w:t>
            </w:r>
            <w:r w:rsidRPr="009E73CF">
              <w:rPr>
                <w:sz w:val="16"/>
                <w:szCs w:val="16"/>
              </w:rPr>
              <w:fldChar w:fldCharType="end"/>
            </w:r>
          </w:p>
        </w:tc>
        <w:tc>
          <w:tcPr>
            <w:tcW w:w="1343" w:type="dxa"/>
          </w:tcPr>
          <w:p w14:paraId="7CD188FB" w14:textId="6D915400"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_Ref360135617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Appendix A – Life Cycle Assessment and Recycling</w:t>
            </w:r>
            <w:r w:rsidRPr="009E73CF">
              <w:rPr>
                <w:sz w:val="16"/>
                <w:szCs w:val="16"/>
              </w:rPr>
              <w:fldChar w:fldCharType="end"/>
            </w:r>
          </w:p>
        </w:tc>
      </w:tr>
      <w:tr w:rsidR="00EA0C17" w:rsidRPr="009E73CF" w14:paraId="4474323A" w14:textId="77777777" w:rsidTr="00EA0C17">
        <w:tc>
          <w:tcPr>
            <w:tcW w:w="539" w:type="dxa"/>
          </w:tcPr>
          <w:p w14:paraId="2A67D0C0" w14:textId="77777777" w:rsidR="00EA0C17" w:rsidRPr="009E73CF" w:rsidRDefault="00EA0C17" w:rsidP="00EA0C17">
            <w:pPr>
              <w:spacing w:after="0"/>
              <w:jc w:val="left"/>
              <w:rPr>
                <w:sz w:val="16"/>
                <w:szCs w:val="16"/>
              </w:rPr>
            </w:pPr>
            <w:r w:rsidRPr="009E73CF">
              <w:rPr>
                <w:sz w:val="16"/>
                <w:szCs w:val="16"/>
              </w:rPr>
              <w:t>4</w:t>
            </w:r>
          </w:p>
        </w:tc>
        <w:tc>
          <w:tcPr>
            <w:tcW w:w="1172" w:type="dxa"/>
          </w:tcPr>
          <w:p w14:paraId="6BC019EF" w14:textId="2B284B2C" w:rsidR="00EA0C17" w:rsidRPr="009E73CF" w:rsidRDefault="00EA0C17" w:rsidP="00EA0C17">
            <w:pPr>
              <w:spacing w:after="0"/>
              <w:jc w:val="left"/>
              <w:rPr>
                <w:sz w:val="16"/>
                <w:szCs w:val="16"/>
              </w:rPr>
            </w:pPr>
            <w:r w:rsidRPr="009E73CF">
              <w:rPr>
                <w:sz w:val="16"/>
                <w:szCs w:val="16"/>
              </w:rPr>
              <w:t>CP</w:t>
            </w:r>
          </w:p>
        </w:tc>
        <w:tc>
          <w:tcPr>
            <w:tcW w:w="3460" w:type="dxa"/>
          </w:tcPr>
          <w:p w14:paraId="690A7715" w14:textId="77777777" w:rsidR="00EA0C17" w:rsidRPr="009E73CF" w:rsidRDefault="00EA0C17" w:rsidP="00EA0C17">
            <w:pPr>
              <w:spacing w:after="0"/>
              <w:rPr>
                <w:sz w:val="16"/>
                <w:szCs w:val="16"/>
                <w:lang w:eastAsia="en-US"/>
              </w:rPr>
            </w:pPr>
            <w:r w:rsidRPr="009E73CF">
              <w:rPr>
                <w:sz w:val="16"/>
                <w:szCs w:val="16"/>
              </w:rPr>
              <w:t>Basic report result is hard to find. It must be easy to see:</w:t>
            </w:r>
          </w:p>
          <w:p w14:paraId="51875CC9" w14:textId="77777777" w:rsidR="00EA0C17" w:rsidRPr="009E73CF" w:rsidRDefault="00EA0C17" w:rsidP="009E73CF">
            <w:pPr>
              <w:widowControl/>
              <w:numPr>
                <w:ilvl w:val="0"/>
                <w:numId w:val="38"/>
              </w:numPr>
              <w:spacing w:after="0" w:line="276" w:lineRule="auto"/>
              <w:rPr>
                <w:sz w:val="16"/>
                <w:szCs w:val="16"/>
              </w:rPr>
            </w:pPr>
            <w:r w:rsidRPr="009E73CF">
              <w:rPr>
                <w:sz w:val="16"/>
                <w:szCs w:val="16"/>
              </w:rPr>
              <w:t>Is recycling an benefit and by how much</w:t>
            </w:r>
          </w:p>
          <w:p w14:paraId="43AFCAE7" w14:textId="50FF6409" w:rsidR="00EA0C17" w:rsidRPr="009E73CF" w:rsidRDefault="00EA0C17" w:rsidP="00EA0C17">
            <w:pPr>
              <w:spacing w:after="0"/>
              <w:jc w:val="left"/>
              <w:rPr>
                <w:sz w:val="16"/>
                <w:szCs w:val="16"/>
              </w:rPr>
            </w:pPr>
            <w:r w:rsidRPr="009E73CF">
              <w:rPr>
                <w:sz w:val="16"/>
                <w:szCs w:val="16"/>
              </w:rPr>
              <w:t>What has changed from the previous study</w:t>
            </w:r>
          </w:p>
        </w:tc>
        <w:tc>
          <w:tcPr>
            <w:tcW w:w="3375" w:type="dxa"/>
          </w:tcPr>
          <w:p w14:paraId="4A07DB1B" w14:textId="7B506315" w:rsidR="00EA0C17" w:rsidRPr="009E73CF" w:rsidRDefault="00EA0C17" w:rsidP="00EA0C17">
            <w:pPr>
              <w:spacing w:after="0"/>
              <w:jc w:val="left"/>
              <w:rPr>
                <w:sz w:val="16"/>
                <w:szCs w:val="16"/>
              </w:rPr>
            </w:pPr>
            <w:r w:rsidRPr="009E73CF">
              <w:rPr>
                <w:sz w:val="16"/>
                <w:szCs w:val="16"/>
              </w:rPr>
              <w:t xml:space="preserve">Material by material detailed results tables moved to </w:t>
            </w:r>
            <w:r w:rsidRPr="009E73CF">
              <w:rPr>
                <w:sz w:val="16"/>
                <w:szCs w:val="16"/>
              </w:rPr>
              <w:fldChar w:fldCharType="begin"/>
            </w:r>
            <w:r w:rsidRPr="009E73CF">
              <w:rPr>
                <w:sz w:val="16"/>
                <w:szCs w:val="16"/>
              </w:rPr>
              <w:instrText xml:space="preserve"> REF _Ref360534108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Appendix C – Detailed Results by Material</w:t>
            </w:r>
            <w:r w:rsidRPr="009E73CF">
              <w:rPr>
                <w:sz w:val="16"/>
                <w:szCs w:val="16"/>
              </w:rPr>
              <w:fldChar w:fldCharType="end"/>
            </w:r>
          </w:p>
        </w:tc>
        <w:tc>
          <w:tcPr>
            <w:tcW w:w="1343" w:type="dxa"/>
          </w:tcPr>
          <w:p w14:paraId="2A6D76D2" w14:textId="12D61FEC"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_Ref360534108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Appendix C – Detailed Results by Material</w:t>
            </w:r>
            <w:r w:rsidRPr="009E73CF">
              <w:rPr>
                <w:sz w:val="16"/>
                <w:szCs w:val="16"/>
              </w:rPr>
              <w:fldChar w:fldCharType="end"/>
            </w:r>
          </w:p>
        </w:tc>
      </w:tr>
      <w:tr w:rsidR="00EA0C17" w:rsidRPr="009E73CF" w14:paraId="05B08FCC" w14:textId="77777777" w:rsidTr="00EA0C17">
        <w:tc>
          <w:tcPr>
            <w:tcW w:w="539" w:type="dxa"/>
          </w:tcPr>
          <w:p w14:paraId="38B7B00A" w14:textId="77777777" w:rsidR="00EA0C17" w:rsidRPr="009E73CF" w:rsidRDefault="00EA0C17" w:rsidP="00EA0C17">
            <w:pPr>
              <w:spacing w:after="0"/>
              <w:jc w:val="left"/>
              <w:rPr>
                <w:sz w:val="16"/>
                <w:szCs w:val="16"/>
              </w:rPr>
            </w:pPr>
            <w:r w:rsidRPr="009E73CF">
              <w:rPr>
                <w:sz w:val="16"/>
                <w:szCs w:val="16"/>
              </w:rPr>
              <w:t>5</w:t>
            </w:r>
          </w:p>
        </w:tc>
        <w:tc>
          <w:tcPr>
            <w:tcW w:w="1172" w:type="dxa"/>
          </w:tcPr>
          <w:p w14:paraId="79E948B8" w14:textId="4AEE9CD0" w:rsidR="00EA0C17" w:rsidRPr="009E73CF" w:rsidRDefault="00EA0C17" w:rsidP="00EA0C17">
            <w:pPr>
              <w:spacing w:after="0"/>
              <w:jc w:val="left"/>
              <w:rPr>
                <w:sz w:val="16"/>
                <w:szCs w:val="16"/>
              </w:rPr>
            </w:pPr>
            <w:r w:rsidRPr="009E73CF">
              <w:rPr>
                <w:sz w:val="16"/>
                <w:szCs w:val="16"/>
              </w:rPr>
              <w:t>CP</w:t>
            </w:r>
          </w:p>
        </w:tc>
        <w:tc>
          <w:tcPr>
            <w:tcW w:w="3460" w:type="dxa"/>
          </w:tcPr>
          <w:p w14:paraId="0597B9ED" w14:textId="6300E93F" w:rsidR="00EA0C17" w:rsidRPr="009E73CF" w:rsidRDefault="00EA0C17" w:rsidP="00EA0C17">
            <w:pPr>
              <w:spacing w:after="0"/>
              <w:jc w:val="left"/>
              <w:rPr>
                <w:sz w:val="16"/>
                <w:szCs w:val="16"/>
              </w:rPr>
            </w:pPr>
            <w:r w:rsidRPr="009E73CF">
              <w:rPr>
                <w:sz w:val="16"/>
                <w:szCs w:val="16"/>
              </w:rPr>
              <w:t>Results need to be directly compared to prior study and differences explained.</w:t>
            </w:r>
          </w:p>
        </w:tc>
        <w:tc>
          <w:tcPr>
            <w:tcW w:w="3375" w:type="dxa"/>
          </w:tcPr>
          <w:p w14:paraId="28C46EF9" w14:textId="3B935ABB" w:rsidR="00EA0C17" w:rsidRPr="009E73CF" w:rsidRDefault="00EA0C17" w:rsidP="00EA0C17">
            <w:pPr>
              <w:spacing w:after="0"/>
              <w:jc w:val="left"/>
              <w:rPr>
                <w:sz w:val="16"/>
                <w:szCs w:val="16"/>
              </w:rPr>
            </w:pPr>
            <w:r w:rsidRPr="009E73CF">
              <w:rPr>
                <w:sz w:val="16"/>
                <w:szCs w:val="16"/>
              </w:rPr>
              <w:t xml:space="preserve">Added comparison section </w:t>
            </w:r>
            <w:r w:rsidRPr="009E73CF">
              <w:rPr>
                <w:sz w:val="16"/>
                <w:szCs w:val="16"/>
              </w:rPr>
              <w:fldChar w:fldCharType="begin"/>
            </w:r>
            <w:r w:rsidRPr="009E73CF">
              <w:rPr>
                <w:sz w:val="16"/>
                <w:szCs w:val="16"/>
              </w:rPr>
              <w:instrText xml:space="preserve"> REF _Ref362987973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11.1</w:t>
            </w:r>
            <w:r w:rsidRPr="009E73CF">
              <w:rPr>
                <w:sz w:val="16"/>
                <w:szCs w:val="16"/>
              </w:rPr>
              <w:fldChar w:fldCharType="end"/>
            </w:r>
          </w:p>
        </w:tc>
        <w:tc>
          <w:tcPr>
            <w:tcW w:w="1343" w:type="dxa"/>
          </w:tcPr>
          <w:p w14:paraId="12E210F0" w14:textId="1F0C820A"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_Ref362987978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11.1</w:t>
            </w:r>
            <w:r w:rsidRPr="009E73CF">
              <w:rPr>
                <w:sz w:val="16"/>
                <w:szCs w:val="16"/>
              </w:rPr>
              <w:fldChar w:fldCharType="end"/>
            </w:r>
          </w:p>
        </w:tc>
      </w:tr>
      <w:tr w:rsidR="00EA0C17" w:rsidRPr="009E73CF" w14:paraId="64E6CE67" w14:textId="77777777" w:rsidTr="00EA0C17">
        <w:tc>
          <w:tcPr>
            <w:tcW w:w="539" w:type="dxa"/>
          </w:tcPr>
          <w:p w14:paraId="618938F5" w14:textId="77777777" w:rsidR="00EA0C17" w:rsidRPr="009E73CF" w:rsidRDefault="00EA0C17" w:rsidP="00EA0C17">
            <w:pPr>
              <w:spacing w:after="0"/>
              <w:jc w:val="left"/>
              <w:rPr>
                <w:sz w:val="16"/>
                <w:szCs w:val="16"/>
              </w:rPr>
            </w:pPr>
            <w:r w:rsidRPr="009E73CF">
              <w:rPr>
                <w:sz w:val="16"/>
                <w:szCs w:val="16"/>
              </w:rPr>
              <w:t>6</w:t>
            </w:r>
          </w:p>
        </w:tc>
        <w:tc>
          <w:tcPr>
            <w:tcW w:w="1172" w:type="dxa"/>
          </w:tcPr>
          <w:p w14:paraId="685B0384" w14:textId="031E6009" w:rsidR="00EA0C17" w:rsidRPr="009E73CF" w:rsidRDefault="00EA0C17" w:rsidP="00EA0C17">
            <w:pPr>
              <w:spacing w:after="0"/>
              <w:jc w:val="left"/>
              <w:rPr>
                <w:sz w:val="16"/>
                <w:szCs w:val="16"/>
              </w:rPr>
            </w:pPr>
            <w:r w:rsidRPr="009E73CF">
              <w:rPr>
                <w:sz w:val="16"/>
                <w:szCs w:val="16"/>
              </w:rPr>
              <w:t>LCA</w:t>
            </w:r>
          </w:p>
        </w:tc>
        <w:tc>
          <w:tcPr>
            <w:tcW w:w="3460" w:type="dxa"/>
          </w:tcPr>
          <w:p w14:paraId="06A2CA1B" w14:textId="0440F304" w:rsidR="00EA0C17" w:rsidRPr="009E73CF" w:rsidRDefault="00EA0C17" w:rsidP="00EA0C17">
            <w:pPr>
              <w:spacing w:after="0"/>
              <w:jc w:val="left"/>
              <w:rPr>
                <w:sz w:val="16"/>
                <w:szCs w:val="16"/>
                <w:highlight w:val="yellow"/>
              </w:rPr>
            </w:pPr>
            <w:r w:rsidRPr="00564256">
              <w:rPr>
                <w:sz w:val="16"/>
                <w:szCs w:val="16"/>
              </w:rPr>
              <w:t>Executive summary does not seem to capture the complete report findings. Inventory outcomes in particular are not summarised, nor are they in the main report.  Key assumptions are not presented in the executive summary, and their implications are not communicated.</w:t>
            </w:r>
          </w:p>
        </w:tc>
        <w:tc>
          <w:tcPr>
            <w:tcW w:w="3375" w:type="dxa"/>
          </w:tcPr>
          <w:p w14:paraId="2E30178C" w14:textId="54B9723B" w:rsidR="00EA0C17" w:rsidRPr="009E73CF" w:rsidRDefault="00EA0C17" w:rsidP="00EA0C17">
            <w:pPr>
              <w:spacing w:after="0"/>
              <w:jc w:val="left"/>
              <w:rPr>
                <w:sz w:val="16"/>
                <w:szCs w:val="16"/>
              </w:rPr>
            </w:pPr>
            <w:r w:rsidRPr="009E73CF">
              <w:rPr>
                <w:sz w:val="16"/>
                <w:szCs w:val="16"/>
              </w:rPr>
              <w:t>Added a summary of the inventory to the main report. Also added material by material inventory comparison.</w:t>
            </w:r>
          </w:p>
        </w:tc>
        <w:tc>
          <w:tcPr>
            <w:tcW w:w="1343" w:type="dxa"/>
          </w:tcPr>
          <w:p w14:paraId="06041002" w14:textId="3DE585C3"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_Ref362988115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8.1</w:t>
            </w:r>
            <w:r w:rsidRPr="009E73CF">
              <w:rPr>
                <w:sz w:val="16"/>
                <w:szCs w:val="16"/>
              </w:rPr>
              <w:fldChar w:fldCharType="end"/>
            </w:r>
          </w:p>
        </w:tc>
      </w:tr>
      <w:tr w:rsidR="00EA0C17" w:rsidRPr="009E73CF" w14:paraId="2099999E" w14:textId="77777777" w:rsidTr="00EA0C17">
        <w:tc>
          <w:tcPr>
            <w:tcW w:w="539" w:type="dxa"/>
          </w:tcPr>
          <w:p w14:paraId="05892FAC" w14:textId="77777777" w:rsidR="00EA0C17" w:rsidRPr="009E73CF" w:rsidRDefault="00EA0C17" w:rsidP="00EA0C17">
            <w:pPr>
              <w:spacing w:after="0"/>
              <w:jc w:val="left"/>
              <w:rPr>
                <w:sz w:val="16"/>
                <w:szCs w:val="16"/>
              </w:rPr>
            </w:pPr>
            <w:r w:rsidRPr="009E73CF">
              <w:rPr>
                <w:sz w:val="16"/>
                <w:szCs w:val="16"/>
              </w:rPr>
              <w:t>7</w:t>
            </w:r>
          </w:p>
        </w:tc>
        <w:tc>
          <w:tcPr>
            <w:tcW w:w="1172" w:type="dxa"/>
          </w:tcPr>
          <w:p w14:paraId="7AF67C53" w14:textId="7CFE224C" w:rsidR="00EA0C17" w:rsidRPr="009E73CF" w:rsidRDefault="00EA0C17" w:rsidP="00EA0C17">
            <w:pPr>
              <w:spacing w:after="0"/>
              <w:jc w:val="left"/>
              <w:rPr>
                <w:sz w:val="16"/>
                <w:szCs w:val="16"/>
              </w:rPr>
            </w:pPr>
            <w:r w:rsidRPr="009E73CF">
              <w:rPr>
                <w:sz w:val="16"/>
                <w:szCs w:val="16"/>
              </w:rPr>
              <w:t>LCA</w:t>
            </w:r>
          </w:p>
        </w:tc>
        <w:tc>
          <w:tcPr>
            <w:tcW w:w="3460" w:type="dxa"/>
          </w:tcPr>
          <w:p w14:paraId="5D0C67BF" w14:textId="31A78E62" w:rsidR="00EA0C17" w:rsidRPr="009E73CF" w:rsidRDefault="00EA0C17" w:rsidP="00EA0C17">
            <w:pPr>
              <w:spacing w:after="0"/>
              <w:jc w:val="left"/>
              <w:rPr>
                <w:sz w:val="16"/>
                <w:szCs w:val="16"/>
              </w:rPr>
            </w:pPr>
            <w:r w:rsidRPr="009E73CF">
              <w:rPr>
                <w:sz w:val="16"/>
                <w:szCs w:val="16"/>
              </w:rPr>
              <w:t>Avoided products selected in the inventory need to be clearly summarised.</w:t>
            </w:r>
          </w:p>
        </w:tc>
        <w:tc>
          <w:tcPr>
            <w:tcW w:w="3375" w:type="dxa"/>
          </w:tcPr>
          <w:p w14:paraId="3FF5044C" w14:textId="12B10E96" w:rsidR="00EA0C17" w:rsidRPr="009E73CF" w:rsidRDefault="00EA0C17" w:rsidP="00EA0C17">
            <w:pPr>
              <w:spacing w:after="0"/>
              <w:jc w:val="left"/>
              <w:rPr>
                <w:sz w:val="16"/>
                <w:szCs w:val="16"/>
              </w:rPr>
            </w:pPr>
            <w:r w:rsidRPr="009E73CF">
              <w:rPr>
                <w:sz w:val="16"/>
                <w:szCs w:val="16"/>
              </w:rPr>
              <w:t>Added tables summarising key assumptions for each material under each system.</w:t>
            </w:r>
          </w:p>
        </w:tc>
        <w:tc>
          <w:tcPr>
            <w:tcW w:w="1343" w:type="dxa"/>
          </w:tcPr>
          <w:p w14:paraId="35B29F64" w14:textId="440D4FDB" w:rsidR="00EA0C17" w:rsidRPr="009E73CF" w:rsidRDefault="00EA0C17" w:rsidP="00EA0C17">
            <w:pPr>
              <w:spacing w:after="0"/>
              <w:jc w:val="left"/>
              <w:rPr>
                <w:sz w:val="16"/>
                <w:szCs w:val="16"/>
              </w:rPr>
            </w:pPr>
            <w:r w:rsidRPr="009E73CF">
              <w:rPr>
                <w:sz w:val="16"/>
                <w:szCs w:val="16"/>
              </w:rPr>
              <w:fldChar w:fldCharType="begin"/>
            </w:r>
            <w:r w:rsidRPr="009E73CF">
              <w:rPr>
                <w:sz w:val="16"/>
                <w:szCs w:val="16"/>
              </w:rPr>
              <w:instrText xml:space="preserve"> REF _Ref360195871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 xml:space="preserve">Table </w:t>
            </w:r>
            <w:r w:rsidR="00564E5C" w:rsidRPr="00564E5C">
              <w:rPr>
                <w:noProof/>
                <w:sz w:val="16"/>
                <w:szCs w:val="16"/>
              </w:rPr>
              <w:t>32</w:t>
            </w:r>
            <w:r w:rsidRPr="009E73CF">
              <w:rPr>
                <w:sz w:val="16"/>
                <w:szCs w:val="16"/>
              </w:rPr>
              <w:fldChar w:fldCharType="end"/>
            </w:r>
            <w:r w:rsidRPr="009E73CF">
              <w:rPr>
                <w:sz w:val="16"/>
                <w:szCs w:val="16"/>
              </w:rPr>
              <w:t xml:space="preserve">, </w:t>
            </w:r>
            <w:r w:rsidRPr="009E73CF">
              <w:rPr>
                <w:sz w:val="16"/>
                <w:szCs w:val="16"/>
              </w:rPr>
              <w:fldChar w:fldCharType="begin"/>
            </w:r>
            <w:r w:rsidRPr="009E73CF">
              <w:rPr>
                <w:sz w:val="16"/>
                <w:szCs w:val="16"/>
              </w:rPr>
              <w:instrText xml:space="preserve"> REF _Ref360195875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 xml:space="preserve">Table </w:t>
            </w:r>
            <w:r w:rsidR="00564E5C" w:rsidRPr="00564E5C">
              <w:rPr>
                <w:noProof/>
                <w:sz w:val="16"/>
                <w:szCs w:val="16"/>
              </w:rPr>
              <w:t>33</w:t>
            </w:r>
            <w:r w:rsidRPr="009E73CF">
              <w:rPr>
                <w:sz w:val="16"/>
                <w:szCs w:val="16"/>
              </w:rPr>
              <w:fldChar w:fldCharType="end"/>
            </w:r>
            <w:r w:rsidRPr="009E73CF">
              <w:rPr>
                <w:sz w:val="16"/>
                <w:szCs w:val="16"/>
              </w:rPr>
              <w:t xml:space="preserve">, </w:t>
            </w:r>
            <w:r w:rsidRPr="009E73CF">
              <w:rPr>
                <w:sz w:val="16"/>
                <w:szCs w:val="16"/>
              </w:rPr>
              <w:fldChar w:fldCharType="begin"/>
            </w:r>
            <w:r w:rsidRPr="009E73CF">
              <w:rPr>
                <w:sz w:val="16"/>
                <w:szCs w:val="16"/>
              </w:rPr>
              <w:instrText xml:space="preserve"> REF _Ref360195879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 xml:space="preserve">Table </w:t>
            </w:r>
            <w:r w:rsidR="00564E5C" w:rsidRPr="00564E5C">
              <w:rPr>
                <w:noProof/>
                <w:sz w:val="16"/>
                <w:szCs w:val="16"/>
              </w:rPr>
              <w:t>34</w:t>
            </w:r>
            <w:r w:rsidRPr="009E73CF">
              <w:rPr>
                <w:sz w:val="16"/>
                <w:szCs w:val="16"/>
              </w:rPr>
              <w:fldChar w:fldCharType="end"/>
            </w:r>
          </w:p>
        </w:tc>
      </w:tr>
      <w:tr w:rsidR="00EA0C17" w:rsidRPr="009E73CF" w14:paraId="61196E5F" w14:textId="77777777" w:rsidTr="00EA0C17">
        <w:tc>
          <w:tcPr>
            <w:tcW w:w="539" w:type="dxa"/>
          </w:tcPr>
          <w:p w14:paraId="3FA71784" w14:textId="77777777" w:rsidR="00EA0C17" w:rsidRPr="009E73CF" w:rsidRDefault="00EA0C17" w:rsidP="00EA0C17">
            <w:pPr>
              <w:spacing w:after="0"/>
              <w:jc w:val="left"/>
              <w:rPr>
                <w:sz w:val="16"/>
                <w:szCs w:val="16"/>
              </w:rPr>
            </w:pPr>
            <w:r w:rsidRPr="009E73CF">
              <w:rPr>
                <w:sz w:val="16"/>
                <w:szCs w:val="16"/>
              </w:rPr>
              <w:t>8</w:t>
            </w:r>
          </w:p>
        </w:tc>
        <w:tc>
          <w:tcPr>
            <w:tcW w:w="1172" w:type="dxa"/>
          </w:tcPr>
          <w:p w14:paraId="083E09FC" w14:textId="2B71B3E4" w:rsidR="00EA0C17" w:rsidRPr="009E73CF" w:rsidRDefault="00EA0C17" w:rsidP="00EA0C17">
            <w:pPr>
              <w:spacing w:after="0"/>
              <w:jc w:val="left"/>
              <w:rPr>
                <w:sz w:val="16"/>
                <w:szCs w:val="16"/>
              </w:rPr>
            </w:pPr>
            <w:r w:rsidRPr="009E73CF">
              <w:rPr>
                <w:sz w:val="16"/>
                <w:szCs w:val="16"/>
              </w:rPr>
              <w:t>LCA</w:t>
            </w:r>
          </w:p>
        </w:tc>
        <w:tc>
          <w:tcPr>
            <w:tcW w:w="3460" w:type="dxa"/>
          </w:tcPr>
          <w:p w14:paraId="4F11B2A8" w14:textId="0CE3F777" w:rsidR="00EA0C17" w:rsidRPr="009E73CF" w:rsidRDefault="00EA0C17" w:rsidP="00EA0C17">
            <w:pPr>
              <w:spacing w:after="0"/>
              <w:jc w:val="left"/>
              <w:rPr>
                <w:sz w:val="16"/>
                <w:szCs w:val="16"/>
              </w:rPr>
            </w:pPr>
            <w:r w:rsidRPr="009E73CF">
              <w:rPr>
                <w:sz w:val="16"/>
                <w:szCs w:val="16"/>
              </w:rPr>
              <w:t>Garden and green waste reprocessing model does not reflect reality of composted product use. The model suggests that all compost is used in applications where benefits will be derived in terms of water use and fertilisers. This is unlikely in situations such as council use and remediation. It’s arguable that in many applications there are no benefits (at least this position is conservative).</w:t>
            </w:r>
          </w:p>
        </w:tc>
        <w:tc>
          <w:tcPr>
            <w:tcW w:w="3375" w:type="dxa"/>
          </w:tcPr>
          <w:p w14:paraId="74FFB404" w14:textId="7E343D5E" w:rsidR="00EA0C17" w:rsidRPr="009E73CF" w:rsidRDefault="00635F8C" w:rsidP="00EA0C17">
            <w:pPr>
              <w:spacing w:after="0"/>
              <w:jc w:val="left"/>
              <w:rPr>
                <w:sz w:val="16"/>
                <w:szCs w:val="16"/>
              </w:rPr>
            </w:pPr>
            <w:r w:rsidRPr="009E73CF">
              <w:rPr>
                <w:sz w:val="16"/>
                <w:szCs w:val="16"/>
              </w:rPr>
              <w:t>Agree. A range of scenarios has been developed for green and garden waste. A ‘Balanced Estimate’ scenario has been selected as a basis for estimating the benefits of green and organic processing.</w:t>
            </w:r>
          </w:p>
        </w:tc>
        <w:tc>
          <w:tcPr>
            <w:tcW w:w="1343" w:type="dxa"/>
          </w:tcPr>
          <w:p w14:paraId="10A9E741" w14:textId="4DBD6F08" w:rsidR="00EA0C17" w:rsidRPr="009E73CF" w:rsidRDefault="00635F8C" w:rsidP="00EA0C17">
            <w:pPr>
              <w:spacing w:after="0"/>
              <w:jc w:val="left"/>
              <w:rPr>
                <w:sz w:val="16"/>
                <w:szCs w:val="16"/>
              </w:rPr>
            </w:pPr>
            <w:r w:rsidRPr="009E73CF">
              <w:rPr>
                <w:sz w:val="16"/>
                <w:szCs w:val="16"/>
              </w:rPr>
              <w:fldChar w:fldCharType="begin"/>
            </w:r>
            <w:r w:rsidRPr="009E73CF">
              <w:rPr>
                <w:sz w:val="16"/>
                <w:szCs w:val="16"/>
              </w:rPr>
              <w:instrText xml:space="preserve"> REF _Ref362988403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8.1.4</w:t>
            </w:r>
            <w:r w:rsidRPr="009E73CF">
              <w:rPr>
                <w:sz w:val="16"/>
                <w:szCs w:val="16"/>
              </w:rPr>
              <w:fldChar w:fldCharType="end"/>
            </w:r>
          </w:p>
        </w:tc>
      </w:tr>
      <w:tr w:rsidR="00EA0C17" w:rsidRPr="009E73CF" w14:paraId="3DD9DC2E" w14:textId="77777777" w:rsidTr="00EA0C17">
        <w:tc>
          <w:tcPr>
            <w:tcW w:w="539" w:type="dxa"/>
          </w:tcPr>
          <w:p w14:paraId="27AC1079" w14:textId="77777777" w:rsidR="00EA0C17" w:rsidRPr="009E73CF" w:rsidRDefault="00EA0C17" w:rsidP="00EA0C17">
            <w:pPr>
              <w:spacing w:after="0"/>
              <w:jc w:val="left"/>
              <w:rPr>
                <w:sz w:val="16"/>
                <w:szCs w:val="16"/>
              </w:rPr>
            </w:pPr>
            <w:r w:rsidRPr="009E73CF">
              <w:rPr>
                <w:sz w:val="16"/>
                <w:szCs w:val="16"/>
              </w:rPr>
              <w:t>9</w:t>
            </w:r>
          </w:p>
        </w:tc>
        <w:tc>
          <w:tcPr>
            <w:tcW w:w="1172" w:type="dxa"/>
          </w:tcPr>
          <w:p w14:paraId="0F00C342" w14:textId="33656150" w:rsidR="00EA0C17" w:rsidRPr="009E73CF" w:rsidRDefault="00EA0C17" w:rsidP="00EA0C17">
            <w:pPr>
              <w:spacing w:after="0"/>
              <w:jc w:val="left"/>
              <w:rPr>
                <w:sz w:val="16"/>
                <w:szCs w:val="16"/>
              </w:rPr>
            </w:pPr>
            <w:r w:rsidRPr="009E73CF">
              <w:rPr>
                <w:sz w:val="16"/>
                <w:szCs w:val="16"/>
              </w:rPr>
              <w:t>LCA</w:t>
            </w:r>
          </w:p>
        </w:tc>
        <w:tc>
          <w:tcPr>
            <w:tcW w:w="3460" w:type="dxa"/>
          </w:tcPr>
          <w:p w14:paraId="2B4F7187" w14:textId="35A5314A" w:rsidR="00EA0C17" w:rsidRPr="009E73CF" w:rsidRDefault="00EA0C17" w:rsidP="00EA0C17">
            <w:pPr>
              <w:spacing w:after="0"/>
              <w:jc w:val="left"/>
              <w:rPr>
                <w:sz w:val="16"/>
                <w:szCs w:val="16"/>
              </w:rPr>
            </w:pPr>
            <w:r w:rsidRPr="009E73CF">
              <w:rPr>
                <w:sz w:val="16"/>
                <w:szCs w:val="16"/>
              </w:rPr>
              <w:t>Sensitivity analysis needs to address methane capture rates for landfill.</w:t>
            </w:r>
          </w:p>
        </w:tc>
        <w:tc>
          <w:tcPr>
            <w:tcW w:w="3375" w:type="dxa"/>
          </w:tcPr>
          <w:p w14:paraId="21C30483" w14:textId="60A328DD" w:rsidR="00EA0C17" w:rsidRPr="009E73CF" w:rsidRDefault="00635F8C" w:rsidP="00EA0C17">
            <w:pPr>
              <w:spacing w:after="0"/>
              <w:jc w:val="left"/>
              <w:rPr>
                <w:sz w:val="16"/>
                <w:szCs w:val="16"/>
              </w:rPr>
            </w:pPr>
            <w:r w:rsidRPr="009E73CF">
              <w:rPr>
                <w:sz w:val="16"/>
                <w:szCs w:val="16"/>
              </w:rPr>
              <w:t>Added sensitivity study addressing this issue</w:t>
            </w:r>
          </w:p>
        </w:tc>
        <w:tc>
          <w:tcPr>
            <w:tcW w:w="1343" w:type="dxa"/>
          </w:tcPr>
          <w:p w14:paraId="5190DF78" w14:textId="77596403" w:rsidR="00EA0C17" w:rsidRPr="009E73CF" w:rsidRDefault="00635F8C" w:rsidP="00EA0C17">
            <w:pPr>
              <w:spacing w:after="0"/>
              <w:jc w:val="left"/>
              <w:rPr>
                <w:sz w:val="16"/>
                <w:szCs w:val="16"/>
              </w:rPr>
            </w:pPr>
            <w:r w:rsidRPr="009E73CF">
              <w:rPr>
                <w:sz w:val="16"/>
                <w:szCs w:val="16"/>
              </w:rPr>
              <w:fldChar w:fldCharType="begin"/>
            </w:r>
            <w:r w:rsidRPr="009E73CF">
              <w:rPr>
                <w:sz w:val="16"/>
                <w:szCs w:val="16"/>
              </w:rPr>
              <w:instrText xml:space="preserve"> REF _Ref362988445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11.2.5</w:t>
            </w:r>
            <w:r w:rsidRPr="009E73CF">
              <w:rPr>
                <w:sz w:val="16"/>
                <w:szCs w:val="16"/>
              </w:rPr>
              <w:fldChar w:fldCharType="end"/>
            </w:r>
          </w:p>
        </w:tc>
      </w:tr>
      <w:tr w:rsidR="00EA0C17" w:rsidRPr="009E73CF" w14:paraId="25AEC2AE" w14:textId="77777777" w:rsidTr="00EA0C17">
        <w:tc>
          <w:tcPr>
            <w:tcW w:w="539" w:type="dxa"/>
          </w:tcPr>
          <w:p w14:paraId="69E0A587" w14:textId="77777777" w:rsidR="00EA0C17" w:rsidRPr="009E73CF" w:rsidRDefault="00EA0C17" w:rsidP="00EA0C17">
            <w:pPr>
              <w:spacing w:after="0"/>
              <w:jc w:val="left"/>
              <w:rPr>
                <w:sz w:val="16"/>
                <w:szCs w:val="16"/>
              </w:rPr>
            </w:pPr>
            <w:r w:rsidRPr="009E73CF">
              <w:rPr>
                <w:sz w:val="16"/>
                <w:szCs w:val="16"/>
              </w:rPr>
              <w:t>10</w:t>
            </w:r>
          </w:p>
        </w:tc>
        <w:tc>
          <w:tcPr>
            <w:tcW w:w="1172" w:type="dxa"/>
          </w:tcPr>
          <w:p w14:paraId="6A3B1D8F" w14:textId="20F6EF6D" w:rsidR="00EA0C17" w:rsidRPr="009E73CF" w:rsidRDefault="00EA0C17" w:rsidP="00EA0C17">
            <w:pPr>
              <w:spacing w:after="0"/>
              <w:jc w:val="left"/>
              <w:rPr>
                <w:sz w:val="16"/>
                <w:szCs w:val="16"/>
              </w:rPr>
            </w:pPr>
            <w:r w:rsidRPr="009E73CF">
              <w:rPr>
                <w:sz w:val="16"/>
                <w:szCs w:val="16"/>
              </w:rPr>
              <w:t>CP</w:t>
            </w:r>
          </w:p>
        </w:tc>
        <w:tc>
          <w:tcPr>
            <w:tcW w:w="3460" w:type="dxa"/>
          </w:tcPr>
          <w:p w14:paraId="78E9D7E7" w14:textId="4A45BD06" w:rsidR="00EA0C17" w:rsidRPr="009E73CF" w:rsidRDefault="00EA0C17" w:rsidP="00EA0C17">
            <w:pPr>
              <w:spacing w:after="0"/>
              <w:jc w:val="left"/>
              <w:rPr>
                <w:sz w:val="16"/>
                <w:szCs w:val="16"/>
              </w:rPr>
            </w:pPr>
            <w:r w:rsidRPr="00564256">
              <w:rPr>
                <w:sz w:val="16"/>
                <w:szCs w:val="16"/>
              </w:rPr>
              <w:t xml:space="preserve">Report should address common perceptions </w:t>
            </w:r>
            <w:r w:rsidRPr="00564256">
              <w:rPr>
                <w:sz w:val="16"/>
                <w:szCs w:val="16"/>
              </w:rPr>
              <w:lastRenderedPageBreak/>
              <w:t>about recycling, such as the impact of international reprocessing.</w:t>
            </w:r>
          </w:p>
        </w:tc>
        <w:tc>
          <w:tcPr>
            <w:tcW w:w="3375" w:type="dxa"/>
          </w:tcPr>
          <w:p w14:paraId="3E0CBAC5" w14:textId="7D180D66" w:rsidR="00EA0C17" w:rsidRPr="009E73CF" w:rsidRDefault="00635F8C" w:rsidP="00EA0C17">
            <w:pPr>
              <w:spacing w:after="0"/>
              <w:jc w:val="left"/>
              <w:rPr>
                <w:sz w:val="16"/>
                <w:szCs w:val="16"/>
              </w:rPr>
            </w:pPr>
            <w:r w:rsidRPr="009E73CF">
              <w:rPr>
                <w:sz w:val="16"/>
                <w:szCs w:val="16"/>
              </w:rPr>
              <w:lastRenderedPageBreak/>
              <w:t xml:space="preserve">Added sensitivity study that addresses </w:t>
            </w:r>
            <w:r w:rsidRPr="009E73CF">
              <w:rPr>
                <w:sz w:val="16"/>
                <w:szCs w:val="16"/>
              </w:rPr>
              <w:lastRenderedPageBreak/>
              <w:t>international reprocessing and transport.</w:t>
            </w:r>
          </w:p>
        </w:tc>
        <w:tc>
          <w:tcPr>
            <w:tcW w:w="1343" w:type="dxa"/>
          </w:tcPr>
          <w:p w14:paraId="0965E92B" w14:textId="3B5ECCB0" w:rsidR="00EA0C17" w:rsidRPr="009E73CF" w:rsidRDefault="00635F8C" w:rsidP="00EA0C17">
            <w:pPr>
              <w:spacing w:after="0"/>
              <w:jc w:val="left"/>
              <w:rPr>
                <w:sz w:val="16"/>
                <w:szCs w:val="16"/>
              </w:rPr>
            </w:pPr>
            <w:r w:rsidRPr="009E73CF">
              <w:rPr>
                <w:sz w:val="16"/>
                <w:szCs w:val="16"/>
              </w:rPr>
              <w:lastRenderedPageBreak/>
              <w:fldChar w:fldCharType="begin"/>
            </w:r>
            <w:r w:rsidRPr="009E73CF">
              <w:rPr>
                <w:sz w:val="16"/>
                <w:szCs w:val="16"/>
              </w:rPr>
              <w:instrText xml:space="preserve"> REF _Ref362988484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11.2.2</w:t>
            </w:r>
            <w:r w:rsidRPr="009E73CF">
              <w:rPr>
                <w:sz w:val="16"/>
                <w:szCs w:val="16"/>
              </w:rPr>
              <w:fldChar w:fldCharType="end"/>
            </w:r>
          </w:p>
        </w:tc>
      </w:tr>
      <w:tr w:rsidR="00EA0C17" w:rsidRPr="009E73CF" w14:paraId="300FC566" w14:textId="77777777" w:rsidTr="00EA0C17">
        <w:tc>
          <w:tcPr>
            <w:tcW w:w="539" w:type="dxa"/>
          </w:tcPr>
          <w:p w14:paraId="3C6F5F8F" w14:textId="77777777" w:rsidR="00EA0C17" w:rsidRPr="009E73CF" w:rsidRDefault="00EA0C17" w:rsidP="00EA0C17">
            <w:pPr>
              <w:spacing w:after="0"/>
              <w:jc w:val="left"/>
              <w:rPr>
                <w:sz w:val="16"/>
                <w:szCs w:val="16"/>
              </w:rPr>
            </w:pPr>
            <w:r w:rsidRPr="009E73CF">
              <w:rPr>
                <w:sz w:val="16"/>
                <w:szCs w:val="16"/>
              </w:rPr>
              <w:lastRenderedPageBreak/>
              <w:t>11</w:t>
            </w:r>
          </w:p>
        </w:tc>
        <w:tc>
          <w:tcPr>
            <w:tcW w:w="1172" w:type="dxa"/>
          </w:tcPr>
          <w:p w14:paraId="17B1BC54" w14:textId="4AE7CA34" w:rsidR="00EA0C17" w:rsidRPr="009E73CF" w:rsidRDefault="00EA0C17" w:rsidP="00EA0C17">
            <w:pPr>
              <w:spacing w:after="0"/>
              <w:jc w:val="left"/>
              <w:rPr>
                <w:sz w:val="16"/>
                <w:szCs w:val="16"/>
              </w:rPr>
            </w:pPr>
            <w:r w:rsidRPr="009E73CF">
              <w:rPr>
                <w:sz w:val="16"/>
                <w:szCs w:val="16"/>
              </w:rPr>
              <w:t>LCA</w:t>
            </w:r>
          </w:p>
        </w:tc>
        <w:tc>
          <w:tcPr>
            <w:tcW w:w="3460" w:type="dxa"/>
          </w:tcPr>
          <w:p w14:paraId="1892B204" w14:textId="26E3D3D5" w:rsidR="00EA0C17" w:rsidRPr="009E73CF" w:rsidRDefault="00EA0C17" w:rsidP="00EA0C17">
            <w:pPr>
              <w:spacing w:after="0"/>
              <w:jc w:val="left"/>
              <w:rPr>
                <w:sz w:val="16"/>
                <w:szCs w:val="16"/>
              </w:rPr>
            </w:pPr>
            <w:r w:rsidRPr="009E73CF">
              <w:rPr>
                <w:sz w:val="16"/>
                <w:szCs w:val="16"/>
              </w:rPr>
              <w:t>Results for paper recycling suggest that little benefit is gained from recycling paper. This is a change from the last report and may be due to the choice of avoided product. In this study recovered paper is solely used in packaging manufacture, which is assumed to avoid kraft paper manufacture from forest sources.  In the prior study, newsprint manufacture from thermo mechanical pulp (TMP) was avoided, which has a higher impact to produce. Please justify this decision.</w:t>
            </w:r>
          </w:p>
        </w:tc>
        <w:tc>
          <w:tcPr>
            <w:tcW w:w="3375" w:type="dxa"/>
          </w:tcPr>
          <w:p w14:paraId="51CC003A" w14:textId="12E1B255" w:rsidR="00EA0C17" w:rsidRPr="009E73CF" w:rsidRDefault="00635F8C" w:rsidP="00635F8C">
            <w:pPr>
              <w:spacing w:after="0"/>
              <w:jc w:val="left"/>
              <w:rPr>
                <w:sz w:val="16"/>
                <w:szCs w:val="16"/>
              </w:rPr>
            </w:pPr>
            <w:r w:rsidRPr="009E73CF">
              <w:rPr>
                <w:sz w:val="16"/>
                <w:szCs w:val="16"/>
              </w:rPr>
              <w:t>Waste newsprint processor contacted. Confirmed that waste paper from the kerbside is no longer used for newsprint production. Most likely pathway is therefore packaging paper production, therefore avoiding kraft paper manufacture.</w:t>
            </w:r>
          </w:p>
          <w:p w14:paraId="4EC41294" w14:textId="75351A97" w:rsidR="00635F8C" w:rsidRPr="009E73CF" w:rsidRDefault="00635F8C" w:rsidP="00635F8C">
            <w:pPr>
              <w:spacing w:after="0"/>
              <w:jc w:val="left"/>
              <w:rPr>
                <w:sz w:val="16"/>
                <w:szCs w:val="16"/>
              </w:rPr>
            </w:pPr>
            <w:r w:rsidRPr="009E73CF">
              <w:rPr>
                <w:sz w:val="16"/>
                <w:szCs w:val="16"/>
              </w:rPr>
              <w:t>A review of the inventory showed that energy in biomass was not being fully counted. This has been fixed, resulting  in a favourable energy outcome when recycling paper.</w:t>
            </w:r>
          </w:p>
        </w:tc>
        <w:tc>
          <w:tcPr>
            <w:tcW w:w="1343" w:type="dxa"/>
          </w:tcPr>
          <w:p w14:paraId="53098A69" w14:textId="3EDF50AF" w:rsidR="00EA0C17" w:rsidRPr="009E73CF" w:rsidRDefault="00635F8C" w:rsidP="00EA0C17">
            <w:pPr>
              <w:spacing w:after="0"/>
              <w:jc w:val="left"/>
              <w:rPr>
                <w:sz w:val="16"/>
                <w:szCs w:val="16"/>
              </w:rPr>
            </w:pPr>
            <w:r w:rsidRPr="009E73CF">
              <w:rPr>
                <w:sz w:val="16"/>
                <w:szCs w:val="16"/>
              </w:rPr>
              <w:fldChar w:fldCharType="begin"/>
            </w:r>
            <w:r w:rsidRPr="009E73CF">
              <w:rPr>
                <w:sz w:val="16"/>
                <w:szCs w:val="16"/>
              </w:rPr>
              <w:instrText xml:space="preserve"> REF _Ref362988746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8.1.5</w:t>
            </w:r>
            <w:r w:rsidRPr="009E73CF">
              <w:rPr>
                <w:sz w:val="16"/>
                <w:szCs w:val="16"/>
              </w:rPr>
              <w:fldChar w:fldCharType="end"/>
            </w:r>
          </w:p>
        </w:tc>
      </w:tr>
      <w:tr w:rsidR="00EA0C17" w:rsidRPr="009E73CF" w14:paraId="068D8566" w14:textId="77777777" w:rsidTr="00EA0C17">
        <w:tc>
          <w:tcPr>
            <w:tcW w:w="539" w:type="dxa"/>
          </w:tcPr>
          <w:p w14:paraId="68149911" w14:textId="1A317F39" w:rsidR="00EA0C17" w:rsidRPr="009E73CF" w:rsidRDefault="00EA0C17" w:rsidP="00EA0C17">
            <w:pPr>
              <w:spacing w:after="0"/>
              <w:jc w:val="left"/>
              <w:rPr>
                <w:sz w:val="16"/>
                <w:szCs w:val="16"/>
              </w:rPr>
            </w:pPr>
            <w:r w:rsidRPr="009E73CF">
              <w:rPr>
                <w:sz w:val="16"/>
                <w:szCs w:val="16"/>
              </w:rPr>
              <w:t>12</w:t>
            </w:r>
          </w:p>
        </w:tc>
        <w:tc>
          <w:tcPr>
            <w:tcW w:w="1172" w:type="dxa"/>
          </w:tcPr>
          <w:p w14:paraId="79411829" w14:textId="471EFEF3" w:rsidR="00EA0C17" w:rsidRPr="009E73CF" w:rsidRDefault="00EA0C17" w:rsidP="00EA0C17">
            <w:pPr>
              <w:spacing w:after="0"/>
              <w:jc w:val="left"/>
              <w:rPr>
                <w:sz w:val="16"/>
                <w:szCs w:val="16"/>
              </w:rPr>
            </w:pPr>
            <w:r w:rsidRPr="009E73CF">
              <w:rPr>
                <w:sz w:val="16"/>
                <w:szCs w:val="16"/>
              </w:rPr>
              <w:t>CP</w:t>
            </w:r>
          </w:p>
        </w:tc>
        <w:tc>
          <w:tcPr>
            <w:tcW w:w="3460" w:type="dxa"/>
          </w:tcPr>
          <w:p w14:paraId="5148C7D1" w14:textId="055DC46C" w:rsidR="00EA0C17" w:rsidRPr="009E73CF" w:rsidRDefault="00EA0C17" w:rsidP="00EA0C17">
            <w:pPr>
              <w:spacing w:after="0"/>
              <w:jc w:val="left"/>
              <w:rPr>
                <w:sz w:val="16"/>
                <w:szCs w:val="16"/>
              </w:rPr>
            </w:pPr>
            <w:r w:rsidRPr="000D6736">
              <w:rPr>
                <w:sz w:val="16"/>
                <w:szCs w:val="16"/>
              </w:rPr>
              <w:t>Other issues such as the implications of Container Deposit Legislation or alternative waste disposal options (such as waste to energy) should be presented. Understand these may be out of scope.</w:t>
            </w:r>
          </w:p>
        </w:tc>
        <w:tc>
          <w:tcPr>
            <w:tcW w:w="3375" w:type="dxa"/>
          </w:tcPr>
          <w:p w14:paraId="4CF3B0A7" w14:textId="1B20D811" w:rsidR="00564256" w:rsidRDefault="00564256" w:rsidP="00564256">
            <w:pPr>
              <w:spacing w:after="0"/>
              <w:jc w:val="left"/>
              <w:rPr>
                <w:sz w:val="16"/>
                <w:szCs w:val="16"/>
              </w:rPr>
            </w:pPr>
            <w:r>
              <w:rPr>
                <w:sz w:val="16"/>
                <w:szCs w:val="16"/>
              </w:rPr>
              <w:t>Although out of scope, it is agreed that it would be good to address the possible impact CDL might have on the recycling system. Subsequent consideration of this topic has led to the conclusion of the authors that the effect CDL will have is not straightforward, hence a simple inclusion and discussion is not possible, nor recommended.</w:t>
            </w:r>
          </w:p>
          <w:p w14:paraId="477FA15B" w14:textId="4BDC24C3" w:rsidR="00564256" w:rsidRDefault="00564256" w:rsidP="00564256">
            <w:pPr>
              <w:spacing w:after="0"/>
              <w:jc w:val="left"/>
              <w:rPr>
                <w:sz w:val="16"/>
                <w:szCs w:val="16"/>
              </w:rPr>
            </w:pPr>
            <w:r>
              <w:rPr>
                <w:sz w:val="16"/>
                <w:szCs w:val="16"/>
              </w:rPr>
              <w:t>Of concern is anecdotal feedback from some reprocessors regarding the business model of the sorting facility (MRF) will be adversely impacted by CDL as it may divert revenue earning materials (such as metals or glass) from the facility. Rather than increasing the recovery rates of materials this could have the effect of reducing the recovery of materials, as sorting becomes less viable. The authors do not advocate this position, but admit that the CDL intervention would need to be studied specifically to make meaningful comment</w:t>
            </w:r>
            <w:r w:rsidR="000D6736">
              <w:rPr>
                <w:sz w:val="16"/>
                <w:szCs w:val="16"/>
              </w:rPr>
              <w:t xml:space="preserve"> as feedback effects are at least plausible</w:t>
            </w:r>
            <w:r>
              <w:rPr>
                <w:sz w:val="16"/>
                <w:szCs w:val="16"/>
              </w:rPr>
              <w:t>.</w:t>
            </w:r>
          </w:p>
          <w:p w14:paraId="70267E8E" w14:textId="28658B75" w:rsidR="00EA0C17" w:rsidRPr="009E73CF" w:rsidRDefault="00564256" w:rsidP="00564256">
            <w:pPr>
              <w:spacing w:after="0"/>
              <w:jc w:val="left"/>
              <w:rPr>
                <w:sz w:val="16"/>
                <w:szCs w:val="16"/>
              </w:rPr>
            </w:pPr>
            <w:r>
              <w:rPr>
                <w:sz w:val="16"/>
                <w:szCs w:val="16"/>
              </w:rPr>
              <w:t>It is therefore suggested that CDL b</w:t>
            </w:r>
            <w:r w:rsidR="000D6736">
              <w:rPr>
                <w:sz w:val="16"/>
                <w:szCs w:val="16"/>
              </w:rPr>
              <w:t>e addressed in a separate study</w:t>
            </w:r>
            <w:r>
              <w:rPr>
                <w:sz w:val="16"/>
                <w:szCs w:val="16"/>
              </w:rPr>
              <w:t xml:space="preserve"> that looks specifically at the policy. </w:t>
            </w:r>
          </w:p>
        </w:tc>
        <w:tc>
          <w:tcPr>
            <w:tcW w:w="1343" w:type="dxa"/>
          </w:tcPr>
          <w:p w14:paraId="0FD2016E" w14:textId="096B975B" w:rsidR="00EA0C17" w:rsidRPr="009E73CF" w:rsidRDefault="000D6736" w:rsidP="00EA0C17">
            <w:pPr>
              <w:spacing w:after="0"/>
              <w:jc w:val="left"/>
              <w:rPr>
                <w:sz w:val="16"/>
                <w:szCs w:val="16"/>
              </w:rPr>
            </w:pPr>
            <w:r>
              <w:rPr>
                <w:sz w:val="16"/>
                <w:szCs w:val="16"/>
              </w:rPr>
              <w:t>No change</w:t>
            </w:r>
          </w:p>
        </w:tc>
      </w:tr>
      <w:tr w:rsidR="00EA0C17" w:rsidRPr="009E73CF" w14:paraId="47E4EAC2" w14:textId="77777777" w:rsidTr="00EA0C17">
        <w:tc>
          <w:tcPr>
            <w:tcW w:w="539" w:type="dxa"/>
          </w:tcPr>
          <w:p w14:paraId="7E434283" w14:textId="065DF987" w:rsidR="00EA0C17" w:rsidRPr="009E73CF" w:rsidRDefault="00EA0C17" w:rsidP="00EA0C17">
            <w:pPr>
              <w:spacing w:after="0"/>
              <w:jc w:val="left"/>
              <w:rPr>
                <w:sz w:val="16"/>
                <w:szCs w:val="16"/>
              </w:rPr>
            </w:pPr>
            <w:r w:rsidRPr="009E73CF">
              <w:rPr>
                <w:sz w:val="16"/>
                <w:szCs w:val="16"/>
              </w:rPr>
              <w:t>13</w:t>
            </w:r>
          </w:p>
        </w:tc>
        <w:tc>
          <w:tcPr>
            <w:tcW w:w="1172" w:type="dxa"/>
          </w:tcPr>
          <w:p w14:paraId="755B9F16" w14:textId="69712234" w:rsidR="00EA0C17" w:rsidRPr="009E73CF" w:rsidRDefault="00EA0C17" w:rsidP="00EA0C17">
            <w:pPr>
              <w:spacing w:after="0"/>
              <w:jc w:val="left"/>
              <w:rPr>
                <w:sz w:val="16"/>
                <w:szCs w:val="16"/>
              </w:rPr>
            </w:pPr>
            <w:r w:rsidRPr="009E73CF">
              <w:rPr>
                <w:sz w:val="16"/>
                <w:szCs w:val="16"/>
              </w:rPr>
              <w:t>CP</w:t>
            </w:r>
          </w:p>
        </w:tc>
        <w:tc>
          <w:tcPr>
            <w:tcW w:w="3460" w:type="dxa"/>
          </w:tcPr>
          <w:p w14:paraId="56F306CD" w14:textId="31A8C9B1" w:rsidR="00EA0C17" w:rsidRPr="009E73CF" w:rsidRDefault="00EA0C17" w:rsidP="00EA0C17">
            <w:pPr>
              <w:spacing w:after="0"/>
              <w:jc w:val="left"/>
              <w:rPr>
                <w:sz w:val="16"/>
                <w:szCs w:val="16"/>
              </w:rPr>
            </w:pPr>
            <w:r w:rsidRPr="009E73CF">
              <w:rPr>
                <w:sz w:val="16"/>
                <w:szCs w:val="16"/>
              </w:rPr>
              <w:t>Results discussion should place more emphasis on materials and their contributions. Councils need to know what is worth collecting.</w:t>
            </w:r>
          </w:p>
        </w:tc>
        <w:tc>
          <w:tcPr>
            <w:tcW w:w="3375" w:type="dxa"/>
          </w:tcPr>
          <w:p w14:paraId="4458D165" w14:textId="48D67D5D" w:rsidR="00EA0C17" w:rsidRPr="009E73CF" w:rsidRDefault="00635F8C" w:rsidP="00EA0C17">
            <w:pPr>
              <w:spacing w:after="0"/>
              <w:jc w:val="left"/>
              <w:rPr>
                <w:sz w:val="16"/>
                <w:szCs w:val="16"/>
              </w:rPr>
            </w:pPr>
            <w:r w:rsidRPr="009E73CF">
              <w:rPr>
                <w:sz w:val="16"/>
                <w:szCs w:val="16"/>
              </w:rPr>
              <w:t>Results discussion has been enhanced to add graphs for each indicator that describe material contributions.</w:t>
            </w:r>
          </w:p>
        </w:tc>
        <w:tc>
          <w:tcPr>
            <w:tcW w:w="1343" w:type="dxa"/>
          </w:tcPr>
          <w:p w14:paraId="1E65F140" w14:textId="18270DC3" w:rsidR="00EA0C17" w:rsidRPr="009E73CF" w:rsidRDefault="00635F8C" w:rsidP="00EA0C17">
            <w:pPr>
              <w:spacing w:after="0"/>
              <w:jc w:val="left"/>
              <w:rPr>
                <w:sz w:val="16"/>
                <w:szCs w:val="16"/>
              </w:rPr>
            </w:pPr>
            <w:r w:rsidRPr="009E73CF">
              <w:rPr>
                <w:sz w:val="16"/>
                <w:szCs w:val="16"/>
              </w:rPr>
              <w:fldChar w:fldCharType="begin"/>
            </w:r>
            <w:r w:rsidRPr="009E73CF">
              <w:rPr>
                <w:sz w:val="16"/>
                <w:szCs w:val="16"/>
              </w:rPr>
              <w:instrText xml:space="preserve"> REF _Ref362988940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10</w:t>
            </w:r>
            <w:r w:rsidRPr="009E73CF">
              <w:rPr>
                <w:sz w:val="16"/>
                <w:szCs w:val="16"/>
              </w:rPr>
              <w:fldChar w:fldCharType="end"/>
            </w:r>
          </w:p>
        </w:tc>
      </w:tr>
      <w:tr w:rsidR="00EA0C17" w:rsidRPr="009E73CF" w14:paraId="0AABE0A5" w14:textId="77777777" w:rsidTr="00EA0C17">
        <w:tc>
          <w:tcPr>
            <w:tcW w:w="539" w:type="dxa"/>
          </w:tcPr>
          <w:p w14:paraId="340EEB65" w14:textId="77777777" w:rsidR="00EA0C17" w:rsidRPr="009E73CF" w:rsidRDefault="00EA0C17" w:rsidP="00EA0C17">
            <w:pPr>
              <w:spacing w:after="0"/>
              <w:jc w:val="left"/>
              <w:rPr>
                <w:sz w:val="16"/>
                <w:szCs w:val="16"/>
              </w:rPr>
            </w:pPr>
            <w:r w:rsidRPr="009E73CF">
              <w:rPr>
                <w:sz w:val="16"/>
                <w:szCs w:val="16"/>
              </w:rPr>
              <w:t>14</w:t>
            </w:r>
          </w:p>
        </w:tc>
        <w:tc>
          <w:tcPr>
            <w:tcW w:w="1172" w:type="dxa"/>
          </w:tcPr>
          <w:p w14:paraId="3B695024" w14:textId="5E5A8C7A" w:rsidR="00EA0C17" w:rsidRPr="009E73CF" w:rsidRDefault="00EA0C17" w:rsidP="00EA0C17">
            <w:pPr>
              <w:spacing w:after="0"/>
              <w:jc w:val="left"/>
              <w:rPr>
                <w:sz w:val="16"/>
                <w:szCs w:val="16"/>
              </w:rPr>
            </w:pPr>
            <w:r w:rsidRPr="009E73CF">
              <w:rPr>
                <w:sz w:val="16"/>
                <w:szCs w:val="16"/>
              </w:rPr>
              <w:t>LCA</w:t>
            </w:r>
          </w:p>
        </w:tc>
        <w:tc>
          <w:tcPr>
            <w:tcW w:w="3460" w:type="dxa"/>
          </w:tcPr>
          <w:p w14:paraId="523455BC" w14:textId="79BC5BB7" w:rsidR="00EA0C17" w:rsidRPr="009E73CF" w:rsidRDefault="00EA0C17" w:rsidP="00EA0C17">
            <w:pPr>
              <w:spacing w:after="0"/>
              <w:jc w:val="left"/>
              <w:rPr>
                <w:sz w:val="16"/>
                <w:szCs w:val="16"/>
              </w:rPr>
            </w:pPr>
            <w:r w:rsidRPr="009E73CF">
              <w:rPr>
                <w:sz w:val="16"/>
                <w:szCs w:val="16"/>
              </w:rPr>
              <w:t>Time is required to consider model outcomes and thoroughly test robustness of conclusions.</w:t>
            </w:r>
          </w:p>
        </w:tc>
        <w:tc>
          <w:tcPr>
            <w:tcW w:w="3375" w:type="dxa"/>
          </w:tcPr>
          <w:p w14:paraId="3CC9F346" w14:textId="4E4467D7" w:rsidR="00EA0C17" w:rsidRPr="009E73CF" w:rsidRDefault="00635F8C" w:rsidP="00EA0C17">
            <w:pPr>
              <w:spacing w:after="0"/>
              <w:jc w:val="left"/>
              <w:rPr>
                <w:sz w:val="16"/>
                <w:szCs w:val="16"/>
              </w:rPr>
            </w:pPr>
            <w:r w:rsidRPr="009E73CF">
              <w:rPr>
                <w:sz w:val="16"/>
                <w:szCs w:val="16"/>
              </w:rPr>
              <w:t>Additional sensitivity analysis has been completed along with additional internal review of the report.</w:t>
            </w:r>
          </w:p>
        </w:tc>
        <w:tc>
          <w:tcPr>
            <w:tcW w:w="1343" w:type="dxa"/>
          </w:tcPr>
          <w:p w14:paraId="2A86A670" w14:textId="2ECB8FFB" w:rsidR="00EA0C17" w:rsidRPr="009E73CF" w:rsidRDefault="00EA0C17" w:rsidP="00EA0C17">
            <w:pPr>
              <w:spacing w:after="0"/>
              <w:jc w:val="left"/>
              <w:rPr>
                <w:sz w:val="16"/>
                <w:szCs w:val="16"/>
              </w:rPr>
            </w:pPr>
          </w:p>
        </w:tc>
      </w:tr>
      <w:tr w:rsidR="00EA0C17" w:rsidRPr="009E73CF" w14:paraId="7891CEC6" w14:textId="77777777" w:rsidTr="00EA0C17">
        <w:tc>
          <w:tcPr>
            <w:tcW w:w="539" w:type="dxa"/>
          </w:tcPr>
          <w:p w14:paraId="7ED5D821" w14:textId="77777777" w:rsidR="00EA0C17" w:rsidRPr="009E73CF" w:rsidRDefault="00EA0C17" w:rsidP="00EA0C17">
            <w:pPr>
              <w:spacing w:after="0"/>
              <w:jc w:val="left"/>
              <w:rPr>
                <w:sz w:val="16"/>
                <w:szCs w:val="16"/>
              </w:rPr>
            </w:pPr>
            <w:r w:rsidRPr="009E73CF">
              <w:rPr>
                <w:sz w:val="16"/>
                <w:szCs w:val="16"/>
              </w:rPr>
              <w:t>15</w:t>
            </w:r>
          </w:p>
        </w:tc>
        <w:tc>
          <w:tcPr>
            <w:tcW w:w="1172" w:type="dxa"/>
          </w:tcPr>
          <w:p w14:paraId="6CD1610C" w14:textId="003BCDFC" w:rsidR="00EA0C17" w:rsidRPr="009E73CF" w:rsidRDefault="00EA0C17" w:rsidP="00EA0C17">
            <w:pPr>
              <w:spacing w:after="0"/>
              <w:jc w:val="left"/>
              <w:rPr>
                <w:sz w:val="16"/>
                <w:szCs w:val="16"/>
              </w:rPr>
            </w:pPr>
            <w:r w:rsidRPr="009E73CF">
              <w:rPr>
                <w:sz w:val="16"/>
                <w:szCs w:val="16"/>
              </w:rPr>
              <w:t>RMIT</w:t>
            </w:r>
          </w:p>
        </w:tc>
        <w:tc>
          <w:tcPr>
            <w:tcW w:w="3460" w:type="dxa"/>
          </w:tcPr>
          <w:p w14:paraId="3784FB53" w14:textId="3F772917" w:rsidR="00EA0C17" w:rsidRPr="009E73CF" w:rsidRDefault="00EA0C17" w:rsidP="00EA0C17">
            <w:pPr>
              <w:spacing w:after="0"/>
              <w:jc w:val="left"/>
              <w:rPr>
                <w:sz w:val="16"/>
                <w:szCs w:val="16"/>
              </w:rPr>
            </w:pPr>
            <w:r w:rsidRPr="009E73CF">
              <w:rPr>
                <w:sz w:val="16"/>
                <w:szCs w:val="16"/>
              </w:rPr>
              <w:t xml:space="preserve">Discussed acknowledgement. </w:t>
            </w:r>
          </w:p>
        </w:tc>
        <w:tc>
          <w:tcPr>
            <w:tcW w:w="3375" w:type="dxa"/>
          </w:tcPr>
          <w:p w14:paraId="03AA83A3" w14:textId="1580ACF8" w:rsidR="00EA0C17" w:rsidRPr="009E73CF" w:rsidRDefault="00635F8C" w:rsidP="00EA0C17">
            <w:pPr>
              <w:spacing w:after="0"/>
              <w:jc w:val="left"/>
              <w:rPr>
                <w:sz w:val="16"/>
                <w:szCs w:val="16"/>
              </w:rPr>
            </w:pPr>
            <w:r w:rsidRPr="009E73CF">
              <w:rPr>
                <w:sz w:val="16"/>
                <w:szCs w:val="16"/>
              </w:rPr>
              <w:t>Added section.</w:t>
            </w:r>
          </w:p>
        </w:tc>
        <w:tc>
          <w:tcPr>
            <w:tcW w:w="1343" w:type="dxa"/>
          </w:tcPr>
          <w:p w14:paraId="3F88A795" w14:textId="2D47B08E" w:rsidR="00EA0C17" w:rsidRPr="009E73CF" w:rsidRDefault="00635F8C" w:rsidP="00EA0C17">
            <w:pPr>
              <w:spacing w:after="0"/>
              <w:jc w:val="left"/>
              <w:rPr>
                <w:sz w:val="16"/>
                <w:szCs w:val="16"/>
              </w:rPr>
            </w:pPr>
            <w:r w:rsidRPr="009E73CF">
              <w:rPr>
                <w:sz w:val="16"/>
                <w:szCs w:val="16"/>
              </w:rPr>
              <w:fldChar w:fldCharType="begin"/>
            </w:r>
            <w:r w:rsidRPr="009E73CF">
              <w:rPr>
                <w:sz w:val="16"/>
                <w:szCs w:val="16"/>
              </w:rPr>
              <w:instrText xml:space="preserve"> REF _Ref362989031 \r \h </w:instrText>
            </w:r>
            <w:r w:rsidR="009E73CF" w:rsidRP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2.1</w:t>
            </w:r>
            <w:r w:rsidRPr="009E73CF">
              <w:rPr>
                <w:sz w:val="16"/>
                <w:szCs w:val="16"/>
              </w:rPr>
              <w:fldChar w:fldCharType="end"/>
            </w:r>
          </w:p>
        </w:tc>
      </w:tr>
    </w:tbl>
    <w:p w14:paraId="25EF0C78" w14:textId="77777777" w:rsidR="00A16FF9" w:rsidRDefault="00A16FF9" w:rsidP="00A16FF9">
      <w:pPr>
        <w:widowControl/>
        <w:autoSpaceDE w:val="0"/>
        <w:autoSpaceDN w:val="0"/>
        <w:adjustRightInd w:val="0"/>
        <w:spacing w:after="0"/>
        <w:jc w:val="left"/>
      </w:pPr>
    </w:p>
    <w:p w14:paraId="5EBE207F" w14:textId="77777777" w:rsidR="00A16FF9" w:rsidRDefault="00A16FF9" w:rsidP="00A16FF9">
      <w:pPr>
        <w:widowControl/>
        <w:autoSpaceDE w:val="0"/>
        <w:autoSpaceDN w:val="0"/>
        <w:adjustRightInd w:val="0"/>
        <w:spacing w:after="0"/>
        <w:jc w:val="left"/>
      </w:pPr>
    </w:p>
    <w:p w14:paraId="3EF19E39" w14:textId="77777777" w:rsidR="00A16FF9" w:rsidRDefault="00A16FF9" w:rsidP="00A16FF9">
      <w:pPr>
        <w:pStyle w:val="Caption"/>
        <w:keepNext/>
        <w:jc w:val="left"/>
      </w:pPr>
      <w:r>
        <w:t xml:space="preserve">Table </w:t>
      </w:r>
      <w:r w:rsidR="00FC7DE2">
        <w:fldChar w:fldCharType="begin"/>
      </w:r>
      <w:r w:rsidR="00FC7DE2">
        <w:instrText xml:space="preserve"> SEQ Table \* ARABIC </w:instrText>
      </w:r>
      <w:r w:rsidR="00FC7DE2">
        <w:fldChar w:fldCharType="separate"/>
      </w:r>
      <w:r w:rsidR="00564E5C">
        <w:rPr>
          <w:noProof/>
        </w:rPr>
        <w:t>60</w:t>
      </w:r>
      <w:r w:rsidR="00FC7DE2">
        <w:rPr>
          <w:noProof/>
        </w:rPr>
        <w:fldChar w:fldCharType="end"/>
      </w:r>
      <w:r>
        <w:t xml:space="preserve"> Comments received in addition to those presented at the SRP meeting.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172"/>
        <w:gridCol w:w="3460"/>
        <w:gridCol w:w="3375"/>
        <w:gridCol w:w="1343"/>
      </w:tblGrid>
      <w:tr w:rsidR="00A16FF9" w:rsidRPr="009E73CF" w14:paraId="0B74D3E5" w14:textId="77777777" w:rsidTr="00EA0C17">
        <w:trPr>
          <w:tblHeader/>
        </w:trPr>
        <w:tc>
          <w:tcPr>
            <w:tcW w:w="539" w:type="dxa"/>
          </w:tcPr>
          <w:p w14:paraId="564FD4BC" w14:textId="77777777" w:rsidR="00A16FF9" w:rsidRPr="009E73CF" w:rsidRDefault="00A16FF9" w:rsidP="00EA0C17">
            <w:pPr>
              <w:spacing w:after="0"/>
              <w:jc w:val="left"/>
              <w:rPr>
                <w:b/>
                <w:sz w:val="16"/>
                <w:szCs w:val="16"/>
              </w:rPr>
            </w:pPr>
            <w:r w:rsidRPr="009E73CF">
              <w:rPr>
                <w:b/>
                <w:sz w:val="16"/>
                <w:szCs w:val="16"/>
              </w:rPr>
              <w:t>No.</w:t>
            </w:r>
          </w:p>
        </w:tc>
        <w:tc>
          <w:tcPr>
            <w:tcW w:w="1172" w:type="dxa"/>
          </w:tcPr>
          <w:p w14:paraId="4FA11CF1" w14:textId="77777777" w:rsidR="00A16FF9" w:rsidRPr="009E73CF" w:rsidRDefault="00A16FF9" w:rsidP="00EA0C17">
            <w:pPr>
              <w:spacing w:after="0"/>
              <w:jc w:val="left"/>
              <w:rPr>
                <w:b/>
                <w:sz w:val="16"/>
                <w:szCs w:val="16"/>
              </w:rPr>
            </w:pPr>
            <w:r w:rsidRPr="009E73CF">
              <w:rPr>
                <w:b/>
                <w:sz w:val="16"/>
                <w:szCs w:val="16"/>
              </w:rPr>
              <w:t>Reviewer</w:t>
            </w:r>
          </w:p>
        </w:tc>
        <w:tc>
          <w:tcPr>
            <w:tcW w:w="3460" w:type="dxa"/>
          </w:tcPr>
          <w:p w14:paraId="72E031EC" w14:textId="77777777" w:rsidR="00A16FF9" w:rsidRPr="009E73CF" w:rsidRDefault="00A16FF9" w:rsidP="00EA0C17">
            <w:pPr>
              <w:spacing w:after="0"/>
              <w:jc w:val="left"/>
              <w:rPr>
                <w:b/>
                <w:sz w:val="16"/>
                <w:szCs w:val="16"/>
              </w:rPr>
            </w:pPr>
            <w:r w:rsidRPr="009E73CF">
              <w:rPr>
                <w:b/>
                <w:sz w:val="16"/>
                <w:szCs w:val="16"/>
              </w:rPr>
              <w:t>Comment</w:t>
            </w:r>
          </w:p>
        </w:tc>
        <w:tc>
          <w:tcPr>
            <w:tcW w:w="3375" w:type="dxa"/>
          </w:tcPr>
          <w:p w14:paraId="1DE82BEA" w14:textId="77777777" w:rsidR="00A16FF9" w:rsidRPr="009E73CF" w:rsidRDefault="00A16FF9" w:rsidP="00EA0C17">
            <w:pPr>
              <w:spacing w:after="0"/>
              <w:jc w:val="left"/>
              <w:rPr>
                <w:b/>
                <w:sz w:val="16"/>
                <w:szCs w:val="16"/>
              </w:rPr>
            </w:pPr>
            <w:r w:rsidRPr="009E73CF">
              <w:rPr>
                <w:b/>
                <w:sz w:val="16"/>
                <w:szCs w:val="16"/>
              </w:rPr>
              <w:t>Author reply/action</w:t>
            </w:r>
          </w:p>
        </w:tc>
        <w:tc>
          <w:tcPr>
            <w:tcW w:w="1343" w:type="dxa"/>
          </w:tcPr>
          <w:p w14:paraId="6EE9692D" w14:textId="77777777" w:rsidR="00A16FF9" w:rsidRPr="009E73CF" w:rsidRDefault="00A16FF9" w:rsidP="00EA0C17">
            <w:pPr>
              <w:spacing w:after="0"/>
              <w:jc w:val="left"/>
              <w:rPr>
                <w:b/>
                <w:sz w:val="16"/>
                <w:szCs w:val="16"/>
              </w:rPr>
            </w:pPr>
            <w:r w:rsidRPr="009E73CF">
              <w:rPr>
                <w:b/>
                <w:sz w:val="16"/>
                <w:szCs w:val="16"/>
              </w:rPr>
              <w:t>Report section impacted</w:t>
            </w:r>
          </w:p>
        </w:tc>
      </w:tr>
      <w:tr w:rsidR="006C592F" w:rsidRPr="009E73CF" w14:paraId="70732E0A" w14:textId="77777777" w:rsidTr="00EA0C17">
        <w:tc>
          <w:tcPr>
            <w:tcW w:w="539" w:type="dxa"/>
          </w:tcPr>
          <w:p w14:paraId="1BF1A4ED" w14:textId="5EF1AB99" w:rsidR="006C592F" w:rsidRPr="009E73CF" w:rsidRDefault="006C592F" w:rsidP="006C592F">
            <w:pPr>
              <w:spacing w:after="0"/>
              <w:jc w:val="left"/>
              <w:rPr>
                <w:sz w:val="16"/>
                <w:szCs w:val="16"/>
              </w:rPr>
            </w:pPr>
            <w:r w:rsidRPr="009E73CF">
              <w:rPr>
                <w:sz w:val="16"/>
                <w:szCs w:val="16"/>
              </w:rPr>
              <w:t>1</w:t>
            </w:r>
          </w:p>
        </w:tc>
        <w:tc>
          <w:tcPr>
            <w:tcW w:w="1172" w:type="dxa"/>
          </w:tcPr>
          <w:p w14:paraId="2050DC6F" w14:textId="7005D2CD" w:rsidR="006C592F" w:rsidRPr="009E73CF" w:rsidRDefault="006C592F" w:rsidP="00EA0C17">
            <w:pPr>
              <w:spacing w:after="0"/>
              <w:jc w:val="left"/>
              <w:rPr>
                <w:sz w:val="16"/>
                <w:szCs w:val="16"/>
              </w:rPr>
            </w:pPr>
            <w:r w:rsidRPr="009E73CF">
              <w:rPr>
                <w:sz w:val="16"/>
                <w:szCs w:val="16"/>
              </w:rPr>
              <w:t>CP</w:t>
            </w:r>
          </w:p>
        </w:tc>
        <w:tc>
          <w:tcPr>
            <w:tcW w:w="3460" w:type="dxa"/>
          </w:tcPr>
          <w:p w14:paraId="091FFBB2" w14:textId="2A74EEF9" w:rsidR="006C592F" w:rsidRPr="009E73CF" w:rsidRDefault="006C592F" w:rsidP="00EA0C17">
            <w:pPr>
              <w:spacing w:after="0"/>
              <w:jc w:val="left"/>
              <w:rPr>
                <w:sz w:val="16"/>
                <w:szCs w:val="16"/>
              </w:rPr>
            </w:pPr>
            <w:r w:rsidRPr="009E73CF">
              <w:rPr>
                <w:sz w:val="16"/>
                <w:szCs w:val="16"/>
              </w:rPr>
              <w:t>Need to address: Transport, highlighting low env. impact of transport, especially in per unit terms</w:t>
            </w:r>
          </w:p>
        </w:tc>
        <w:tc>
          <w:tcPr>
            <w:tcW w:w="3375" w:type="dxa"/>
          </w:tcPr>
          <w:p w14:paraId="6300882B" w14:textId="77777777" w:rsidR="006C592F" w:rsidRPr="009E73CF" w:rsidRDefault="006C592F" w:rsidP="00FA0207">
            <w:pPr>
              <w:spacing w:after="0"/>
              <w:jc w:val="left"/>
              <w:rPr>
                <w:sz w:val="16"/>
                <w:szCs w:val="16"/>
              </w:rPr>
            </w:pPr>
            <w:r w:rsidRPr="009E73CF">
              <w:rPr>
                <w:sz w:val="16"/>
                <w:szCs w:val="16"/>
              </w:rPr>
              <w:t xml:space="preserve">For collection added section </w:t>
            </w:r>
          </w:p>
          <w:p w14:paraId="2B078B18" w14:textId="6498947D" w:rsidR="006C592F" w:rsidRPr="009E73CF" w:rsidRDefault="006C592F" w:rsidP="00EA0C17">
            <w:pPr>
              <w:spacing w:after="0"/>
              <w:jc w:val="left"/>
              <w:rPr>
                <w:sz w:val="16"/>
                <w:szCs w:val="16"/>
              </w:rPr>
            </w:pPr>
          </w:p>
        </w:tc>
        <w:tc>
          <w:tcPr>
            <w:tcW w:w="1343" w:type="dxa"/>
          </w:tcPr>
          <w:p w14:paraId="5B6FF0BB" w14:textId="756D113B" w:rsidR="006C592F" w:rsidRPr="009E73CF" w:rsidRDefault="006C592F" w:rsidP="00EA0C17">
            <w:pPr>
              <w:spacing w:after="0"/>
              <w:jc w:val="left"/>
              <w:rPr>
                <w:sz w:val="16"/>
                <w:szCs w:val="16"/>
              </w:rPr>
            </w:pPr>
            <w:r w:rsidRPr="009E73CF">
              <w:rPr>
                <w:sz w:val="16"/>
                <w:szCs w:val="16"/>
              </w:rPr>
              <w:fldChar w:fldCharType="begin"/>
            </w:r>
            <w:r w:rsidRPr="009E73CF">
              <w:rPr>
                <w:sz w:val="16"/>
                <w:szCs w:val="16"/>
              </w:rPr>
              <w:instrText xml:space="preserve"> REF _Ref362989285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11.2.1</w:t>
            </w:r>
            <w:r w:rsidRPr="009E73CF">
              <w:rPr>
                <w:sz w:val="16"/>
                <w:szCs w:val="16"/>
              </w:rPr>
              <w:fldChar w:fldCharType="end"/>
            </w:r>
          </w:p>
        </w:tc>
      </w:tr>
      <w:tr w:rsidR="006C592F" w:rsidRPr="009E73CF" w14:paraId="5A7DB0FB" w14:textId="77777777" w:rsidTr="00EA0C17">
        <w:tc>
          <w:tcPr>
            <w:tcW w:w="539" w:type="dxa"/>
          </w:tcPr>
          <w:p w14:paraId="0DBA3C5B" w14:textId="57675812" w:rsidR="006C592F" w:rsidRPr="009E73CF" w:rsidRDefault="006C592F" w:rsidP="006C592F">
            <w:pPr>
              <w:spacing w:after="0"/>
              <w:jc w:val="left"/>
              <w:rPr>
                <w:sz w:val="16"/>
                <w:szCs w:val="16"/>
              </w:rPr>
            </w:pPr>
            <w:r w:rsidRPr="009E73CF">
              <w:rPr>
                <w:sz w:val="16"/>
                <w:szCs w:val="16"/>
              </w:rPr>
              <w:t>2</w:t>
            </w:r>
          </w:p>
        </w:tc>
        <w:tc>
          <w:tcPr>
            <w:tcW w:w="1172" w:type="dxa"/>
          </w:tcPr>
          <w:p w14:paraId="3CAA392A" w14:textId="29B0037E" w:rsidR="006C592F" w:rsidRPr="009E73CF" w:rsidRDefault="006C592F" w:rsidP="00EA0C17">
            <w:pPr>
              <w:spacing w:after="0"/>
              <w:jc w:val="left"/>
              <w:rPr>
                <w:sz w:val="16"/>
                <w:szCs w:val="16"/>
              </w:rPr>
            </w:pPr>
            <w:r w:rsidRPr="009E73CF">
              <w:rPr>
                <w:sz w:val="16"/>
                <w:szCs w:val="16"/>
              </w:rPr>
              <w:t>CP</w:t>
            </w:r>
          </w:p>
        </w:tc>
        <w:tc>
          <w:tcPr>
            <w:tcW w:w="3460" w:type="dxa"/>
          </w:tcPr>
          <w:p w14:paraId="695FCC62" w14:textId="6082BDEE" w:rsidR="006C592F" w:rsidRPr="009E73CF" w:rsidRDefault="006C592F" w:rsidP="00EA0C17">
            <w:pPr>
              <w:spacing w:after="0"/>
              <w:jc w:val="left"/>
              <w:rPr>
                <w:sz w:val="16"/>
                <w:szCs w:val="16"/>
              </w:rPr>
            </w:pPr>
            <w:r w:rsidRPr="009E73CF">
              <w:rPr>
                <w:sz w:val="16"/>
                <w:szCs w:val="16"/>
              </w:rPr>
              <w:t>Need to address: Overseas processing – not always bad: cleaner grids in S. Korea, Malaysia etc.</w:t>
            </w:r>
          </w:p>
        </w:tc>
        <w:tc>
          <w:tcPr>
            <w:tcW w:w="3375" w:type="dxa"/>
          </w:tcPr>
          <w:p w14:paraId="1B30BA6C" w14:textId="12BD4667" w:rsidR="006C592F" w:rsidRPr="009E73CF" w:rsidRDefault="006C592F" w:rsidP="00EA0C17">
            <w:pPr>
              <w:spacing w:after="0"/>
              <w:jc w:val="left"/>
              <w:rPr>
                <w:sz w:val="16"/>
                <w:szCs w:val="16"/>
              </w:rPr>
            </w:pPr>
            <w:r w:rsidRPr="009E73CF">
              <w:rPr>
                <w:sz w:val="16"/>
                <w:szCs w:val="16"/>
              </w:rPr>
              <w:t>Added section</w:t>
            </w:r>
          </w:p>
        </w:tc>
        <w:tc>
          <w:tcPr>
            <w:tcW w:w="1343" w:type="dxa"/>
          </w:tcPr>
          <w:p w14:paraId="376C8D83" w14:textId="743B030F" w:rsidR="006C592F" w:rsidRPr="009E73CF" w:rsidRDefault="006C592F" w:rsidP="00EA0C17">
            <w:pPr>
              <w:spacing w:after="0"/>
              <w:jc w:val="left"/>
              <w:rPr>
                <w:sz w:val="16"/>
                <w:szCs w:val="16"/>
              </w:rPr>
            </w:pPr>
            <w:r w:rsidRPr="009E73CF">
              <w:rPr>
                <w:sz w:val="16"/>
                <w:szCs w:val="16"/>
              </w:rPr>
              <w:fldChar w:fldCharType="begin"/>
            </w:r>
            <w:r w:rsidRPr="009E73CF">
              <w:rPr>
                <w:sz w:val="16"/>
                <w:szCs w:val="16"/>
              </w:rPr>
              <w:instrText xml:space="preserve"> REF _Ref362989239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11.2.2</w:t>
            </w:r>
            <w:r w:rsidRPr="009E73CF">
              <w:rPr>
                <w:sz w:val="16"/>
                <w:szCs w:val="16"/>
              </w:rPr>
              <w:fldChar w:fldCharType="end"/>
            </w:r>
          </w:p>
        </w:tc>
      </w:tr>
      <w:tr w:rsidR="006C592F" w:rsidRPr="009E73CF" w14:paraId="6C1E7FE1" w14:textId="77777777" w:rsidTr="00EA0C17">
        <w:tc>
          <w:tcPr>
            <w:tcW w:w="539" w:type="dxa"/>
          </w:tcPr>
          <w:p w14:paraId="22FB7795" w14:textId="552EF1AE" w:rsidR="006C592F" w:rsidRPr="009E73CF" w:rsidRDefault="006C592F" w:rsidP="006C592F">
            <w:pPr>
              <w:spacing w:after="0"/>
              <w:jc w:val="left"/>
              <w:rPr>
                <w:sz w:val="16"/>
                <w:szCs w:val="16"/>
              </w:rPr>
            </w:pPr>
            <w:r w:rsidRPr="009E73CF">
              <w:rPr>
                <w:sz w:val="16"/>
                <w:szCs w:val="16"/>
              </w:rPr>
              <w:t>3</w:t>
            </w:r>
          </w:p>
        </w:tc>
        <w:tc>
          <w:tcPr>
            <w:tcW w:w="1172" w:type="dxa"/>
          </w:tcPr>
          <w:p w14:paraId="24276646" w14:textId="3C5D773F" w:rsidR="006C592F" w:rsidRPr="009E73CF" w:rsidRDefault="006C592F" w:rsidP="00EA0C17">
            <w:pPr>
              <w:spacing w:after="0"/>
              <w:jc w:val="left"/>
              <w:rPr>
                <w:sz w:val="16"/>
                <w:szCs w:val="16"/>
              </w:rPr>
            </w:pPr>
            <w:r w:rsidRPr="009E73CF">
              <w:rPr>
                <w:sz w:val="16"/>
                <w:szCs w:val="16"/>
              </w:rPr>
              <w:t>CP</w:t>
            </w:r>
          </w:p>
        </w:tc>
        <w:tc>
          <w:tcPr>
            <w:tcW w:w="3460" w:type="dxa"/>
          </w:tcPr>
          <w:p w14:paraId="168B486D" w14:textId="68B474F1" w:rsidR="006C592F" w:rsidRPr="009E73CF" w:rsidRDefault="006C592F" w:rsidP="00EA0C17">
            <w:pPr>
              <w:spacing w:after="0"/>
              <w:jc w:val="left"/>
              <w:rPr>
                <w:sz w:val="16"/>
                <w:szCs w:val="16"/>
              </w:rPr>
            </w:pPr>
            <w:r w:rsidRPr="009E73CF">
              <w:rPr>
                <w:sz w:val="16"/>
                <w:szCs w:val="16"/>
              </w:rPr>
              <w:t>Need to address:  back loading of ships – either exclude on basis that you discussed re primary purpose of ship journey or if you include impact then add comment that it could be excluded.</w:t>
            </w:r>
          </w:p>
        </w:tc>
        <w:tc>
          <w:tcPr>
            <w:tcW w:w="3375" w:type="dxa"/>
          </w:tcPr>
          <w:p w14:paraId="78662B87" w14:textId="6DF71F35" w:rsidR="006C592F" w:rsidRPr="009E73CF" w:rsidRDefault="006C592F" w:rsidP="00EA0C17">
            <w:pPr>
              <w:spacing w:after="0"/>
              <w:jc w:val="left"/>
              <w:rPr>
                <w:sz w:val="16"/>
                <w:szCs w:val="16"/>
              </w:rPr>
            </w:pPr>
            <w:r w:rsidRPr="009E73CF">
              <w:rPr>
                <w:sz w:val="16"/>
                <w:szCs w:val="16"/>
              </w:rPr>
              <w:t>Added sentence under section</w:t>
            </w:r>
          </w:p>
        </w:tc>
        <w:tc>
          <w:tcPr>
            <w:tcW w:w="1343" w:type="dxa"/>
          </w:tcPr>
          <w:p w14:paraId="02A0C126" w14:textId="16F1559B" w:rsidR="006C592F" w:rsidRPr="009E73CF" w:rsidRDefault="006C592F" w:rsidP="00EA0C17">
            <w:pPr>
              <w:spacing w:after="0"/>
              <w:jc w:val="left"/>
              <w:rPr>
                <w:sz w:val="16"/>
                <w:szCs w:val="16"/>
              </w:rPr>
            </w:pPr>
            <w:r w:rsidRPr="009E73CF">
              <w:rPr>
                <w:sz w:val="16"/>
                <w:szCs w:val="16"/>
              </w:rPr>
              <w:fldChar w:fldCharType="begin"/>
            </w:r>
            <w:r w:rsidRPr="009E73CF">
              <w:rPr>
                <w:sz w:val="16"/>
                <w:szCs w:val="16"/>
              </w:rPr>
              <w:instrText xml:space="preserve"> REF _Ref362989239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11.2.2</w:t>
            </w:r>
            <w:r w:rsidRPr="009E73CF">
              <w:rPr>
                <w:sz w:val="16"/>
                <w:szCs w:val="16"/>
              </w:rPr>
              <w:fldChar w:fldCharType="end"/>
            </w:r>
          </w:p>
        </w:tc>
      </w:tr>
      <w:tr w:rsidR="006C592F" w:rsidRPr="009E73CF" w14:paraId="76EB7124" w14:textId="77777777" w:rsidTr="00EA0C17">
        <w:tc>
          <w:tcPr>
            <w:tcW w:w="539" w:type="dxa"/>
          </w:tcPr>
          <w:p w14:paraId="691CD9F7" w14:textId="1C3F6753" w:rsidR="006C592F" w:rsidRPr="009E73CF" w:rsidRDefault="006C592F" w:rsidP="006C592F">
            <w:pPr>
              <w:spacing w:after="0"/>
              <w:jc w:val="left"/>
              <w:rPr>
                <w:sz w:val="16"/>
                <w:szCs w:val="16"/>
              </w:rPr>
            </w:pPr>
            <w:r w:rsidRPr="009E73CF">
              <w:rPr>
                <w:sz w:val="16"/>
                <w:szCs w:val="16"/>
              </w:rPr>
              <w:t>4</w:t>
            </w:r>
          </w:p>
        </w:tc>
        <w:tc>
          <w:tcPr>
            <w:tcW w:w="1172" w:type="dxa"/>
          </w:tcPr>
          <w:p w14:paraId="12E2D9D6" w14:textId="14E16518" w:rsidR="006C592F" w:rsidRPr="009E73CF" w:rsidRDefault="006C592F" w:rsidP="00EA0C17">
            <w:pPr>
              <w:spacing w:after="0"/>
              <w:jc w:val="left"/>
              <w:rPr>
                <w:sz w:val="16"/>
                <w:szCs w:val="16"/>
              </w:rPr>
            </w:pPr>
            <w:r w:rsidRPr="009E73CF">
              <w:rPr>
                <w:sz w:val="16"/>
                <w:szCs w:val="16"/>
              </w:rPr>
              <w:t>CP</w:t>
            </w:r>
          </w:p>
        </w:tc>
        <w:tc>
          <w:tcPr>
            <w:tcW w:w="3460" w:type="dxa"/>
          </w:tcPr>
          <w:p w14:paraId="54B74A37" w14:textId="25EFF421" w:rsidR="006C592F" w:rsidRPr="009E73CF" w:rsidRDefault="006C592F" w:rsidP="00EA0C17">
            <w:pPr>
              <w:spacing w:after="0"/>
              <w:jc w:val="left"/>
              <w:rPr>
                <w:sz w:val="16"/>
                <w:szCs w:val="16"/>
              </w:rPr>
            </w:pPr>
            <w:r w:rsidRPr="009E73CF">
              <w:rPr>
                <w:sz w:val="16"/>
                <w:szCs w:val="16"/>
              </w:rPr>
              <w:t>Need to address:  New processes for recycling plastics</w:t>
            </w:r>
          </w:p>
        </w:tc>
        <w:tc>
          <w:tcPr>
            <w:tcW w:w="3375" w:type="dxa"/>
          </w:tcPr>
          <w:p w14:paraId="16A6F2B4" w14:textId="0175687D" w:rsidR="006C592F" w:rsidRPr="009E73CF" w:rsidRDefault="006C592F" w:rsidP="00EA0C17">
            <w:pPr>
              <w:spacing w:after="0"/>
              <w:jc w:val="left"/>
              <w:rPr>
                <w:sz w:val="16"/>
                <w:szCs w:val="16"/>
              </w:rPr>
            </w:pPr>
            <w:r w:rsidRPr="009E73CF">
              <w:rPr>
                <w:sz w:val="16"/>
                <w:szCs w:val="16"/>
              </w:rPr>
              <w:t>New processes for processing plastics are relevant to the consequential analysis and are addressed .</w:t>
            </w:r>
          </w:p>
        </w:tc>
        <w:tc>
          <w:tcPr>
            <w:tcW w:w="1343" w:type="dxa"/>
          </w:tcPr>
          <w:p w14:paraId="1DB9AB40" w14:textId="436DD83A" w:rsidR="006C592F" w:rsidRPr="009E73CF" w:rsidRDefault="006C592F" w:rsidP="00EA0C17">
            <w:pPr>
              <w:spacing w:after="0"/>
              <w:jc w:val="left"/>
              <w:rPr>
                <w:sz w:val="16"/>
                <w:szCs w:val="16"/>
              </w:rPr>
            </w:pPr>
            <w:r w:rsidRPr="009E73CF">
              <w:rPr>
                <w:sz w:val="16"/>
                <w:szCs w:val="16"/>
              </w:rPr>
              <w:fldChar w:fldCharType="begin"/>
            </w:r>
            <w:r w:rsidRPr="009E73CF">
              <w:rPr>
                <w:sz w:val="16"/>
                <w:szCs w:val="16"/>
              </w:rPr>
              <w:instrText xml:space="preserve"> REF _Ref362989440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11.3.3.5</w:t>
            </w:r>
            <w:r w:rsidRPr="009E73CF">
              <w:rPr>
                <w:sz w:val="16"/>
                <w:szCs w:val="16"/>
              </w:rPr>
              <w:fldChar w:fldCharType="end"/>
            </w:r>
          </w:p>
        </w:tc>
      </w:tr>
      <w:tr w:rsidR="006C592F" w:rsidRPr="009E73CF" w14:paraId="37566208" w14:textId="77777777" w:rsidTr="00EA0C17">
        <w:tc>
          <w:tcPr>
            <w:tcW w:w="539" w:type="dxa"/>
          </w:tcPr>
          <w:p w14:paraId="41606970" w14:textId="03A4CFAA" w:rsidR="006C592F" w:rsidRPr="009E73CF" w:rsidRDefault="006C592F" w:rsidP="006C592F">
            <w:pPr>
              <w:spacing w:after="0"/>
              <w:jc w:val="left"/>
              <w:rPr>
                <w:sz w:val="16"/>
                <w:szCs w:val="16"/>
              </w:rPr>
            </w:pPr>
            <w:r w:rsidRPr="009E73CF">
              <w:rPr>
                <w:sz w:val="16"/>
                <w:szCs w:val="16"/>
              </w:rPr>
              <w:t>5</w:t>
            </w:r>
          </w:p>
        </w:tc>
        <w:tc>
          <w:tcPr>
            <w:tcW w:w="1172" w:type="dxa"/>
          </w:tcPr>
          <w:p w14:paraId="2AB9D52A" w14:textId="335F0D9F" w:rsidR="006C592F" w:rsidRPr="009E73CF" w:rsidRDefault="006C592F" w:rsidP="00EA0C17">
            <w:pPr>
              <w:spacing w:after="0"/>
              <w:jc w:val="left"/>
              <w:rPr>
                <w:sz w:val="16"/>
                <w:szCs w:val="16"/>
              </w:rPr>
            </w:pPr>
            <w:r w:rsidRPr="009E73CF">
              <w:rPr>
                <w:sz w:val="16"/>
                <w:szCs w:val="16"/>
              </w:rPr>
              <w:t>CP</w:t>
            </w:r>
          </w:p>
        </w:tc>
        <w:tc>
          <w:tcPr>
            <w:tcW w:w="3460" w:type="dxa"/>
          </w:tcPr>
          <w:p w14:paraId="70C928F8" w14:textId="609A4C00" w:rsidR="006C592F" w:rsidRPr="009E73CF" w:rsidRDefault="006C592F" w:rsidP="00EA0C17">
            <w:pPr>
              <w:spacing w:after="0"/>
              <w:jc w:val="left"/>
              <w:rPr>
                <w:sz w:val="16"/>
                <w:szCs w:val="16"/>
              </w:rPr>
            </w:pPr>
            <w:r w:rsidRPr="009E73CF">
              <w:rPr>
                <w:sz w:val="16"/>
                <w:szCs w:val="16"/>
              </w:rPr>
              <w:t>Need to address:  GW benefits of landfill</w:t>
            </w:r>
          </w:p>
        </w:tc>
        <w:tc>
          <w:tcPr>
            <w:tcW w:w="3375" w:type="dxa"/>
          </w:tcPr>
          <w:p w14:paraId="1A628188" w14:textId="54556BEA" w:rsidR="006C592F" w:rsidRPr="009E73CF" w:rsidRDefault="006C592F" w:rsidP="00FA0207">
            <w:pPr>
              <w:spacing w:after="0"/>
              <w:jc w:val="left"/>
              <w:rPr>
                <w:sz w:val="16"/>
                <w:szCs w:val="16"/>
              </w:rPr>
            </w:pPr>
            <w:r w:rsidRPr="009E73CF">
              <w:rPr>
                <w:sz w:val="16"/>
                <w:szCs w:val="16"/>
              </w:rPr>
              <w:t xml:space="preserve">Carbon storage in landfill has been added to the results presentation by key process (eg. </w:t>
            </w:r>
            <w:r w:rsidRPr="009E73CF">
              <w:rPr>
                <w:sz w:val="16"/>
                <w:szCs w:val="16"/>
              </w:rPr>
              <w:fldChar w:fldCharType="begin"/>
            </w:r>
            <w:r w:rsidRPr="009E73CF">
              <w:rPr>
                <w:sz w:val="16"/>
                <w:szCs w:val="16"/>
              </w:rPr>
              <w:instrText xml:space="preserve"> REF _Ref360534018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 xml:space="preserve">Table </w:t>
            </w:r>
            <w:r w:rsidR="00564E5C" w:rsidRPr="00564E5C">
              <w:rPr>
                <w:noProof/>
                <w:sz w:val="16"/>
                <w:szCs w:val="16"/>
              </w:rPr>
              <w:t>38</w:t>
            </w:r>
            <w:r w:rsidRPr="009E73CF">
              <w:rPr>
                <w:sz w:val="16"/>
                <w:szCs w:val="16"/>
              </w:rPr>
              <w:fldChar w:fldCharType="end"/>
            </w:r>
            <w:r w:rsidRPr="009E73CF">
              <w:rPr>
                <w:sz w:val="16"/>
                <w:szCs w:val="16"/>
              </w:rPr>
              <w:t xml:space="preserve">). Landfill energy generation and storage have also been added to the main report under </w:t>
            </w:r>
            <w:r w:rsidRPr="009E73CF">
              <w:rPr>
                <w:sz w:val="16"/>
                <w:szCs w:val="16"/>
              </w:rPr>
              <w:fldChar w:fldCharType="begin"/>
            </w:r>
            <w:r w:rsidRPr="009E73CF">
              <w:rPr>
                <w:sz w:val="16"/>
                <w:szCs w:val="16"/>
              </w:rPr>
              <w:instrText xml:space="preserve"> REF _Ref362989603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8.1.2.3</w:t>
            </w:r>
            <w:r w:rsidRPr="009E73CF">
              <w:rPr>
                <w:sz w:val="16"/>
                <w:szCs w:val="16"/>
              </w:rPr>
              <w:fldChar w:fldCharType="end"/>
            </w:r>
          </w:p>
          <w:p w14:paraId="70359E23" w14:textId="40BEF860" w:rsidR="006C592F" w:rsidRPr="009E73CF" w:rsidRDefault="006C592F" w:rsidP="00EA0C17">
            <w:pPr>
              <w:spacing w:after="0"/>
              <w:jc w:val="left"/>
              <w:rPr>
                <w:sz w:val="16"/>
                <w:szCs w:val="16"/>
              </w:rPr>
            </w:pPr>
          </w:p>
        </w:tc>
        <w:tc>
          <w:tcPr>
            <w:tcW w:w="1343" w:type="dxa"/>
          </w:tcPr>
          <w:p w14:paraId="5400A212" w14:textId="33F7004A" w:rsidR="006C592F" w:rsidRPr="009E73CF" w:rsidRDefault="006C592F" w:rsidP="00EA0C17">
            <w:pPr>
              <w:spacing w:after="0"/>
              <w:jc w:val="left"/>
              <w:rPr>
                <w:sz w:val="16"/>
                <w:szCs w:val="16"/>
              </w:rPr>
            </w:pPr>
            <w:r w:rsidRPr="009E73CF">
              <w:rPr>
                <w:sz w:val="16"/>
                <w:szCs w:val="16"/>
              </w:rPr>
              <w:lastRenderedPageBreak/>
              <w:fldChar w:fldCharType="begin"/>
            </w:r>
            <w:r w:rsidRPr="009E73CF">
              <w:rPr>
                <w:sz w:val="16"/>
                <w:szCs w:val="16"/>
              </w:rPr>
              <w:instrText xml:space="preserve"> REF _Ref360534018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sidRPr="00564E5C">
              <w:rPr>
                <w:sz w:val="16"/>
                <w:szCs w:val="16"/>
              </w:rPr>
              <w:t xml:space="preserve">Table </w:t>
            </w:r>
            <w:r w:rsidR="00564E5C" w:rsidRPr="00564E5C">
              <w:rPr>
                <w:noProof/>
                <w:sz w:val="16"/>
                <w:szCs w:val="16"/>
              </w:rPr>
              <w:t>38</w:t>
            </w:r>
            <w:r w:rsidRPr="009E73CF">
              <w:rPr>
                <w:sz w:val="16"/>
                <w:szCs w:val="16"/>
              </w:rPr>
              <w:fldChar w:fldCharType="end"/>
            </w:r>
            <w:r w:rsidRPr="009E73CF">
              <w:rPr>
                <w:sz w:val="16"/>
                <w:szCs w:val="16"/>
              </w:rPr>
              <w:t xml:space="preserve"> and </w:t>
            </w:r>
            <w:r w:rsidRPr="009E73CF">
              <w:rPr>
                <w:sz w:val="16"/>
                <w:szCs w:val="16"/>
              </w:rPr>
              <w:fldChar w:fldCharType="begin"/>
            </w:r>
            <w:r w:rsidRPr="009E73CF">
              <w:rPr>
                <w:sz w:val="16"/>
                <w:szCs w:val="16"/>
              </w:rPr>
              <w:instrText xml:space="preserve"> REF _Ref362989603 \r \h </w:instrText>
            </w:r>
            <w:r w:rsidR="009E73CF">
              <w:rPr>
                <w:sz w:val="16"/>
                <w:szCs w:val="16"/>
              </w:rPr>
              <w:instrText xml:space="preserve"> \* MERGEFORMAT </w:instrText>
            </w:r>
            <w:r w:rsidRPr="009E73CF">
              <w:rPr>
                <w:sz w:val="16"/>
                <w:szCs w:val="16"/>
              </w:rPr>
            </w:r>
            <w:r w:rsidRPr="009E73CF">
              <w:rPr>
                <w:sz w:val="16"/>
                <w:szCs w:val="16"/>
              </w:rPr>
              <w:fldChar w:fldCharType="separate"/>
            </w:r>
            <w:r w:rsidR="00564E5C">
              <w:rPr>
                <w:sz w:val="16"/>
                <w:szCs w:val="16"/>
              </w:rPr>
              <w:t>8.1.2.3</w:t>
            </w:r>
            <w:r w:rsidRPr="009E73CF">
              <w:rPr>
                <w:sz w:val="16"/>
                <w:szCs w:val="16"/>
              </w:rPr>
              <w:fldChar w:fldCharType="end"/>
            </w:r>
          </w:p>
        </w:tc>
      </w:tr>
      <w:tr w:rsidR="006C592F" w:rsidRPr="009E73CF" w14:paraId="459154D3" w14:textId="77777777" w:rsidTr="00EA0C17">
        <w:tc>
          <w:tcPr>
            <w:tcW w:w="539" w:type="dxa"/>
          </w:tcPr>
          <w:p w14:paraId="07FBB06A" w14:textId="1E1DA0FD" w:rsidR="006C592F" w:rsidRPr="009E73CF" w:rsidRDefault="006C592F" w:rsidP="006C592F">
            <w:pPr>
              <w:spacing w:after="0"/>
              <w:jc w:val="left"/>
              <w:rPr>
                <w:sz w:val="16"/>
                <w:szCs w:val="16"/>
              </w:rPr>
            </w:pPr>
            <w:r w:rsidRPr="009E73CF">
              <w:rPr>
                <w:sz w:val="16"/>
                <w:szCs w:val="16"/>
              </w:rPr>
              <w:lastRenderedPageBreak/>
              <w:t>6</w:t>
            </w:r>
          </w:p>
        </w:tc>
        <w:tc>
          <w:tcPr>
            <w:tcW w:w="1172" w:type="dxa"/>
          </w:tcPr>
          <w:p w14:paraId="5DAB8E60" w14:textId="667FB686" w:rsidR="006C592F" w:rsidRPr="009E73CF" w:rsidRDefault="006C592F" w:rsidP="00EA0C17">
            <w:pPr>
              <w:spacing w:after="0"/>
              <w:jc w:val="left"/>
              <w:rPr>
                <w:sz w:val="16"/>
                <w:szCs w:val="16"/>
              </w:rPr>
            </w:pPr>
            <w:r w:rsidRPr="009E73CF">
              <w:rPr>
                <w:sz w:val="16"/>
                <w:szCs w:val="16"/>
              </w:rPr>
              <w:t>CP</w:t>
            </w:r>
          </w:p>
        </w:tc>
        <w:tc>
          <w:tcPr>
            <w:tcW w:w="3460" w:type="dxa"/>
          </w:tcPr>
          <w:p w14:paraId="4C8A3235" w14:textId="77777777" w:rsidR="006C592F" w:rsidRPr="009E73CF" w:rsidRDefault="006C592F" w:rsidP="00FA0207">
            <w:pPr>
              <w:spacing w:after="0"/>
              <w:rPr>
                <w:sz w:val="16"/>
                <w:szCs w:val="16"/>
                <w:lang w:eastAsia="en-US"/>
              </w:rPr>
            </w:pPr>
            <w:r w:rsidRPr="009E73CF">
              <w:rPr>
                <w:sz w:val="16"/>
                <w:szCs w:val="16"/>
              </w:rPr>
              <w:t>Need to address:  Waste to energy</w:t>
            </w:r>
          </w:p>
          <w:p w14:paraId="6CB4FAEF" w14:textId="77777777" w:rsidR="006C592F" w:rsidRPr="009E73CF" w:rsidRDefault="006C592F" w:rsidP="00FA0207">
            <w:pPr>
              <w:spacing w:after="0"/>
              <w:rPr>
                <w:sz w:val="16"/>
                <w:szCs w:val="16"/>
              </w:rPr>
            </w:pPr>
            <w:r w:rsidRPr="009E73CF">
              <w:rPr>
                <w:sz w:val="16"/>
                <w:szCs w:val="16"/>
              </w:rPr>
              <w:t>Implications on study of CDL e.g. potentially cleaner materials because it will encourage source separation – especially of bottles (and less breakages, hence less fines).</w:t>
            </w:r>
          </w:p>
          <w:p w14:paraId="253E1F7D" w14:textId="760BA14D" w:rsidR="006C592F" w:rsidRPr="009E73CF" w:rsidRDefault="006C592F" w:rsidP="00EA0C17">
            <w:pPr>
              <w:spacing w:after="0"/>
              <w:jc w:val="left"/>
              <w:rPr>
                <w:sz w:val="16"/>
                <w:szCs w:val="16"/>
              </w:rPr>
            </w:pPr>
            <w:r w:rsidRPr="009E73CF">
              <w:rPr>
                <w:sz w:val="16"/>
                <w:szCs w:val="16"/>
              </w:rPr>
              <w:t>Acknowledge this may be out of scope</w:t>
            </w:r>
          </w:p>
        </w:tc>
        <w:tc>
          <w:tcPr>
            <w:tcW w:w="3375" w:type="dxa"/>
          </w:tcPr>
          <w:p w14:paraId="5B4AD03B" w14:textId="0724E3DF" w:rsidR="006C592F" w:rsidRPr="009E73CF" w:rsidRDefault="000D6736" w:rsidP="00EA0C17">
            <w:pPr>
              <w:spacing w:after="0"/>
              <w:jc w:val="left"/>
              <w:rPr>
                <w:sz w:val="16"/>
                <w:szCs w:val="16"/>
              </w:rPr>
            </w:pPr>
            <w:r>
              <w:rPr>
                <w:sz w:val="16"/>
                <w:szCs w:val="16"/>
              </w:rPr>
              <w:t>As per item 12, initial investigations into CDL suggest that outcomes are not clear cut. We recommend a separate review of the policy, utilising outcomes from this study and other sources.</w:t>
            </w:r>
          </w:p>
        </w:tc>
        <w:tc>
          <w:tcPr>
            <w:tcW w:w="1343" w:type="dxa"/>
          </w:tcPr>
          <w:p w14:paraId="60234EC2" w14:textId="510FC54F" w:rsidR="006C592F" w:rsidRPr="009E73CF" w:rsidRDefault="000D6736" w:rsidP="00EA0C17">
            <w:pPr>
              <w:spacing w:after="0"/>
              <w:jc w:val="left"/>
              <w:rPr>
                <w:sz w:val="16"/>
                <w:szCs w:val="16"/>
              </w:rPr>
            </w:pPr>
            <w:r>
              <w:rPr>
                <w:sz w:val="16"/>
                <w:szCs w:val="16"/>
              </w:rPr>
              <w:t>No change</w:t>
            </w:r>
          </w:p>
        </w:tc>
      </w:tr>
      <w:tr w:rsidR="00574363" w:rsidRPr="009E73CF" w14:paraId="0BAB9B64" w14:textId="77777777" w:rsidTr="00EA0C17">
        <w:tc>
          <w:tcPr>
            <w:tcW w:w="539" w:type="dxa"/>
          </w:tcPr>
          <w:p w14:paraId="51384556" w14:textId="7768D98F" w:rsidR="00574363" w:rsidRPr="009E73CF" w:rsidRDefault="007C164A" w:rsidP="006C592F">
            <w:pPr>
              <w:spacing w:after="0"/>
              <w:jc w:val="left"/>
              <w:rPr>
                <w:sz w:val="16"/>
                <w:szCs w:val="16"/>
              </w:rPr>
            </w:pPr>
            <w:r>
              <w:rPr>
                <w:sz w:val="16"/>
                <w:szCs w:val="16"/>
              </w:rPr>
              <w:t>7</w:t>
            </w:r>
          </w:p>
        </w:tc>
        <w:tc>
          <w:tcPr>
            <w:tcW w:w="1172" w:type="dxa"/>
          </w:tcPr>
          <w:p w14:paraId="76C8D0A0" w14:textId="561E086F" w:rsidR="00574363" w:rsidRPr="009E73CF" w:rsidRDefault="007C164A" w:rsidP="00EA0C17">
            <w:pPr>
              <w:spacing w:after="0"/>
              <w:jc w:val="left"/>
              <w:rPr>
                <w:sz w:val="16"/>
                <w:szCs w:val="16"/>
              </w:rPr>
            </w:pPr>
            <w:r>
              <w:rPr>
                <w:sz w:val="16"/>
                <w:szCs w:val="16"/>
              </w:rPr>
              <w:t>IP</w:t>
            </w:r>
          </w:p>
        </w:tc>
        <w:tc>
          <w:tcPr>
            <w:tcW w:w="3460" w:type="dxa"/>
          </w:tcPr>
          <w:p w14:paraId="10F888E8" w14:textId="59981FA1" w:rsidR="00574363" w:rsidRPr="009E73CF" w:rsidRDefault="007C164A" w:rsidP="00FA0207">
            <w:pPr>
              <w:spacing w:after="0"/>
              <w:rPr>
                <w:sz w:val="16"/>
                <w:szCs w:val="16"/>
              </w:rPr>
            </w:pPr>
            <w:r>
              <w:rPr>
                <w:sz w:val="16"/>
                <w:szCs w:val="16"/>
              </w:rPr>
              <w:t>85% too high for glass recovery. 50% too low. Actual result somewhere in between.</w:t>
            </w:r>
          </w:p>
        </w:tc>
        <w:tc>
          <w:tcPr>
            <w:tcW w:w="3375" w:type="dxa"/>
          </w:tcPr>
          <w:p w14:paraId="29A8ECA5" w14:textId="3C023C34" w:rsidR="00574363" w:rsidRDefault="007C164A" w:rsidP="00EA0C17">
            <w:pPr>
              <w:spacing w:after="0"/>
              <w:jc w:val="left"/>
              <w:rPr>
                <w:sz w:val="16"/>
                <w:szCs w:val="16"/>
              </w:rPr>
            </w:pPr>
            <w:r>
              <w:rPr>
                <w:sz w:val="16"/>
                <w:szCs w:val="16"/>
              </w:rPr>
              <w:t>Uncertainty with this element has been addressed in a sensitivity study. Additional results added to show impact upon glass only.</w:t>
            </w:r>
          </w:p>
        </w:tc>
        <w:tc>
          <w:tcPr>
            <w:tcW w:w="1343" w:type="dxa"/>
          </w:tcPr>
          <w:p w14:paraId="508B50E7" w14:textId="636C568C" w:rsidR="00574363" w:rsidRDefault="005349F2" w:rsidP="00EA0C17">
            <w:pPr>
              <w:spacing w:after="0"/>
              <w:jc w:val="left"/>
              <w:rPr>
                <w:sz w:val="16"/>
                <w:szCs w:val="16"/>
              </w:rPr>
            </w:pPr>
            <w:r>
              <w:rPr>
                <w:sz w:val="16"/>
                <w:szCs w:val="16"/>
              </w:rPr>
              <w:t>Section 11.2.4</w:t>
            </w:r>
          </w:p>
        </w:tc>
      </w:tr>
    </w:tbl>
    <w:p w14:paraId="49C25358" w14:textId="50C7AA3A" w:rsidR="00FA0207" w:rsidRDefault="00FA0207" w:rsidP="00A16FF9">
      <w:pPr>
        <w:widowControl/>
        <w:autoSpaceDE w:val="0"/>
        <w:autoSpaceDN w:val="0"/>
        <w:adjustRightInd w:val="0"/>
        <w:spacing w:after="0"/>
        <w:jc w:val="left"/>
      </w:pPr>
    </w:p>
    <w:p w14:paraId="63378867" w14:textId="56BFB8AB" w:rsidR="00FA0207" w:rsidRDefault="00FA0207" w:rsidP="00FA0207">
      <w:pPr>
        <w:pStyle w:val="Caption"/>
        <w:keepNext/>
        <w:jc w:val="left"/>
      </w:pPr>
      <w:r>
        <w:t xml:space="preserve">Table </w:t>
      </w:r>
      <w:r w:rsidR="00FC7DE2">
        <w:fldChar w:fldCharType="begin"/>
      </w:r>
      <w:r w:rsidR="00FC7DE2">
        <w:instrText xml:space="preserve"> SEQ Table \* ARABIC </w:instrText>
      </w:r>
      <w:r w:rsidR="00FC7DE2">
        <w:fldChar w:fldCharType="separate"/>
      </w:r>
      <w:r w:rsidR="00564E5C">
        <w:rPr>
          <w:noProof/>
        </w:rPr>
        <w:t>61</w:t>
      </w:r>
      <w:r w:rsidR="00FC7DE2">
        <w:rPr>
          <w:noProof/>
        </w:rPr>
        <w:fldChar w:fldCharType="end"/>
      </w:r>
      <w:r>
        <w:t xml:space="preserve"> </w:t>
      </w:r>
      <w:r>
        <w:rPr>
          <w:lang w:val="en-AU"/>
        </w:rPr>
        <w:t>LCA Reviewer comments received as part of formal review</w:t>
      </w:r>
      <w: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172"/>
        <w:gridCol w:w="3460"/>
        <w:gridCol w:w="3375"/>
        <w:gridCol w:w="1343"/>
      </w:tblGrid>
      <w:tr w:rsidR="00FA0207" w:rsidRPr="00CA0E0F" w14:paraId="35E24B11" w14:textId="77777777" w:rsidTr="00FA0207">
        <w:trPr>
          <w:tblHeader/>
        </w:trPr>
        <w:tc>
          <w:tcPr>
            <w:tcW w:w="539" w:type="dxa"/>
          </w:tcPr>
          <w:p w14:paraId="28431714" w14:textId="5C38D442" w:rsidR="00FA0207" w:rsidRPr="009E73CF" w:rsidRDefault="00FA0207" w:rsidP="00FA0207">
            <w:pPr>
              <w:spacing w:after="0"/>
              <w:jc w:val="left"/>
              <w:rPr>
                <w:b/>
                <w:sz w:val="16"/>
                <w:szCs w:val="16"/>
              </w:rPr>
            </w:pPr>
            <w:r w:rsidRPr="009E73CF">
              <w:rPr>
                <w:b/>
                <w:sz w:val="16"/>
                <w:szCs w:val="16"/>
              </w:rPr>
              <w:t>No.</w:t>
            </w:r>
          </w:p>
        </w:tc>
        <w:tc>
          <w:tcPr>
            <w:tcW w:w="1172" w:type="dxa"/>
          </w:tcPr>
          <w:p w14:paraId="30D9207A" w14:textId="77777777" w:rsidR="00FA0207" w:rsidRPr="009E73CF" w:rsidRDefault="00FA0207" w:rsidP="00FA0207">
            <w:pPr>
              <w:spacing w:after="0"/>
              <w:jc w:val="left"/>
              <w:rPr>
                <w:b/>
                <w:sz w:val="16"/>
                <w:szCs w:val="16"/>
              </w:rPr>
            </w:pPr>
            <w:r w:rsidRPr="009E73CF">
              <w:rPr>
                <w:b/>
                <w:sz w:val="16"/>
                <w:szCs w:val="16"/>
              </w:rPr>
              <w:t>Reviewer</w:t>
            </w:r>
          </w:p>
        </w:tc>
        <w:tc>
          <w:tcPr>
            <w:tcW w:w="3460" w:type="dxa"/>
          </w:tcPr>
          <w:p w14:paraId="14BFA35E" w14:textId="77777777" w:rsidR="00FA0207" w:rsidRPr="009E73CF" w:rsidRDefault="00FA0207" w:rsidP="00FA0207">
            <w:pPr>
              <w:spacing w:after="0"/>
              <w:jc w:val="left"/>
              <w:rPr>
                <w:b/>
                <w:sz w:val="16"/>
                <w:szCs w:val="16"/>
              </w:rPr>
            </w:pPr>
            <w:r w:rsidRPr="009E73CF">
              <w:rPr>
                <w:b/>
                <w:sz w:val="16"/>
                <w:szCs w:val="16"/>
              </w:rPr>
              <w:t>Comment</w:t>
            </w:r>
          </w:p>
        </w:tc>
        <w:tc>
          <w:tcPr>
            <w:tcW w:w="3375" w:type="dxa"/>
          </w:tcPr>
          <w:p w14:paraId="16EB05B9" w14:textId="77777777" w:rsidR="00FA0207" w:rsidRPr="009E73CF" w:rsidRDefault="00FA0207" w:rsidP="00FA0207">
            <w:pPr>
              <w:spacing w:after="0"/>
              <w:jc w:val="left"/>
              <w:rPr>
                <w:b/>
                <w:sz w:val="16"/>
                <w:szCs w:val="16"/>
              </w:rPr>
            </w:pPr>
            <w:r w:rsidRPr="009E73CF">
              <w:rPr>
                <w:b/>
                <w:sz w:val="16"/>
                <w:szCs w:val="16"/>
              </w:rPr>
              <w:t>Author reply/action</w:t>
            </w:r>
          </w:p>
        </w:tc>
        <w:tc>
          <w:tcPr>
            <w:tcW w:w="1343" w:type="dxa"/>
          </w:tcPr>
          <w:p w14:paraId="51474300" w14:textId="77777777" w:rsidR="00FA0207" w:rsidRPr="009E73CF" w:rsidRDefault="00FA0207" w:rsidP="00FA0207">
            <w:pPr>
              <w:spacing w:after="0"/>
              <w:jc w:val="left"/>
              <w:rPr>
                <w:b/>
                <w:sz w:val="16"/>
                <w:szCs w:val="16"/>
              </w:rPr>
            </w:pPr>
            <w:r w:rsidRPr="009E73CF">
              <w:rPr>
                <w:b/>
                <w:sz w:val="16"/>
                <w:szCs w:val="16"/>
              </w:rPr>
              <w:t>Report section impacted</w:t>
            </w:r>
          </w:p>
        </w:tc>
      </w:tr>
      <w:tr w:rsidR="00FA0207" w:rsidRPr="00962F9F" w14:paraId="7AC55D04" w14:textId="77777777" w:rsidTr="00FA0207">
        <w:tc>
          <w:tcPr>
            <w:tcW w:w="539" w:type="dxa"/>
          </w:tcPr>
          <w:p w14:paraId="45668C83" w14:textId="0222CA46" w:rsidR="00FA0207" w:rsidRPr="009E73CF" w:rsidRDefault="00FA0207" w:rsidP="00FA0207">
            <w:pPr>
              <w:spacing w:after="0"/>
              <w:jc w:val="left"/>
              <w:rPr>
                <w:sz w:val="16"/>
                <w:szCs w:val="16"/>
              </w:rPr>
            </w:pPr>
            <w:r w:rsidRPr="009E73CF">
              <w:rPr>
                <w:sz w:val="16"/>
                <w:szCs w:val="16"/>
              </w:rPr>
              <w:t>1</w:t>
            </w:r>
          </w:p>
        </w:tc>
        <w:tc>
          <w:tcPr>
            <w:tcW w:w="1172" w:type="dxa"/>
          </w:tcPr>
          <w:p w14:paraId="0A29666B" w14:textId="04142530" w:rsidR="00FA0207" w:rsidRPr="009E73CF" w:rsidRDefault="009E73CF" w:rsidP="00FA0207">
            <w:pPr>
              <w:spacing w:after="0"/>
              <w:jc w:val="left"/>
              <w:rPr>
                <w:sz w:val="16"/>
                <w:szCs w:val="16"/>
              </w:rPr>
            </w:pPr>
            <w:r>
              <w:rPr>
                <w:sz w:val="16"/>
                <w:szCs w:val="16"/>
              </w:rPr>
              <w:t>LCA</w:t>
            </w:r>
          </w:p>
        </w:tc>
        <w:tc>
          <w:tcPr>
            <w:tcW w:w="3460" w:type="dxa"/>
          </w:tcPr>
          <w:p w14:paraId="76A18004" w14:textId="77777777" w:rsidR="00FA0207" w:rsidRPr="009E73CF" w:rsidRDefault="00FA0207" w:rsidP="00FA0207">
            <w:pPr>
              <w:spacing w:after="0"/>
              <w:jc w:val="left"/>
              <w:rPr>
                <w:sz w:val="16"/>
                <w:szCs w:val="16"/>
              </w:rPr>
            </w:pPr>
            <w:r w:rsidRPr="009E73CF">
              <w:rPr>
                <w:sz w:val="16"/>
                <w:szCs w:val="16"/>
              </w:rPr>
              <w:t>For transparency, the Executive Summary of this important report should provide a stand-alone account of the project and its findings, including the inventory report. It would be desirable to include information on key assumptions, the materials and processes that contribute the most to the benefits, the main reasons for the main benefits, and the findings of the sensitivity analysis.</w:t>
            </w:r>
          </w:p>
          <w:p w14:paraId="22439CC7" w14:textId="77777777" w:rsidR="00FA0207" w:rsidRPr="009E73CF" w:rsidRDefault="00FA0207" w:rsidP="00FA0207">
            <w:pPr>
              <w:spacing w:after="0"/>
              <w:jc w:val="left"/>
              <w:rPr>
                <w:sz w:val="16"/>
                <w:szCs w:val="16"/>
              </w:rPr>
            </w:pPr>
            <w:r w:rsidRPr="009E73CF">
              <w:rPr>
                <w:sz w:val="16"/>
                <w:szCs w:val="16"/>
              </w:rPr>
              <w:t>More explanation is needed for Table 1. Is this the best estimate of the net environmental impacts of the recycling system vs. alternative system? It would be worth contextualising these indicators (see comments in relation to Section 5.8).</w:t>
            </w:r>
          </w:p>
          <w:p w14:paraId="714ACEC4" w14:textId="16E24C4C" w:rsidR="00FA0207" w:rsidRPr="009E73CF" w:rsidRDefault="00FA0207" w:rsidP="00FA0207">
            <w:pPr>
              <w:spacing w:after="0"/>
              <w:jc w:val="left"/>
              <w:rPr>
                <w:sz w:val="16"/>
                <w:szCs w:val="16"/>
              </w:rPr>
            </w:pPr>
            <w:r w:rsidRPr="009E73CF">
              <w:rPr>
                <w:sz w:val="16"/>
                <w:szCs w:val="16"/>
              </w:rPr>
              <w:t>The meaning of paragraph 3 on p.5 should be made clearer for the lay reader. Use of the terms ‘attributional’ and ‘consequential’ necessitates explanatory information about these terms (definitions or reference to definitions), and clarification for how they are used within the study (see comment #3).</w:t>
            </w:r>
          </w:p>
        </w:tc>
        <w:tc>
          <w:tcPr>
            <w:tcW w:w="3375" w:type="dxa"/>
          </w:tcPr>
          <w:p w14:paraId="27AAD33D" w14:textId="77777777" w:rsidR="00794F1E" w:rsidRDefault="00794F1E" w:rsidP="00FA0207">
            <w:pPr>
              <w:spacing w:after="0"/>
              <w:jc w:val="left"/>
              <w:rPr>
                <w:sz w:val="16"/>
                <w:szCs w:val="16"/>
              </w:rPr>
            </w:pPr>
            <w:r>
              <w:rPr>
                <w:sz w:val="16"/>
                <w:szCs w:val="16"/>
              </w:rPr>
              <w:t>Added inventory summary and impact assessment summary to executive summary. These tables seek to highlight assumptions that have been made complete the explanation of the methodology.</w:t>
            </w:r>
          </w:p>
          <w:p w14:paraId="63ADB94D" w14:textId="77777777" w:rsidR="00794F1E" w:rsidRDefault="00794F1E" w:rsidP="00FA0207">
            <w:pPr>
              <w:spacing w:after="0"/>
              <w:jc w:val="left"/>
              <w:rPr>
                <w:sz w:val="16"/>
                <w:szCs w:val="16"/>
              </w:rPr>
            </w:pPr>
          </w:p>
          <w:p w14:paraId="1AAAB703" w14:textId="77777777" w:rsidR="00794F1E" w:rsidRDefault="00794F1E" w:rsidP="00FA0207">
            <w:pPr>
              <w:spacing w:after="0"/>
              <w:jc w:val="left"/>
              <w:rPr>
                <w:sz w:val="16"/>
                <w:szCs w:val="16"/>
              </w:rPr>
            </w:pPr>
            <w:r>
              <w:rPr>
                <w:sz w:val="16"/>
                <w:szCs w:val="16"/>
              </w:rPr>
              <w:t>Results tables have been expanded to include results per functional unit and results per tonne recovered. The discussion of results has also been expanded to highlight key systemic drivers.</w:t>
            </w:r>
          </w:p>
          <w:p w14:paraId="64A0CA1F" w14:textId="77777777" w:rsidR="00794F1E" w:rsidRDefault="00794F1E" w:rsidP="00FA0207">
            <w:pPr>
              <w:spacing w:after="0"/>
              <w:jc w:val="left"/>
              <w:rPr>
                <w:sz w:val="16"/>
                <w:szCs w:val="16"/>
              </w:rPr>
            </w:pPr>
          </w:p>
          <w:p w14:paraId="0776F962" w14:textId="77777777" w:rsidR="00794F1E" w:rsidRDefault="00794F1E" w:rsidP="00FA0207">
            <w:pPr>
              <w:spacing w:after="0"/>
              <w:jc w:val="left"/>
              <w:rPr>
                <w:sz w:val="16"/>
                <w:szCs w:val="16"/>
              </w:rPr>
            </w:pPr>
            <w:r>
              <w:rPr>
                <w:sz w:val="16"/>
                <w:szCs w:val="16"/>
              </w:rPr>
              <w:t>An explanation of consequential and attributional approaches has been included.</w:t>
            </w:r>
          </w:p>
          <w:p w14:paraId="7BDF80DC" w14:textId="77777777" w:rsidR="00794F1E" w:rsidRDefault="00794F1E" w:rsidP="00FA0207">
            <w:pPr>
              <w:spacing w:after="0"/>
              <w:jc w:val="left"/>
              <w:rPr>
                <w:sz w:val="16"/>
                <w:szCs w:val="16"/>
              </w:rPr>
            </w:pPr>
          </w:p>
          <w:p w14:paraId="20928961" w14:textId="1C111976" w:rsidR="00FA0207" w:rsidRPr="009E73CF" w:rsidRDefault="00794F1E" w:rsidP="00FA0207">
            <w:pPr>
              <w:spacing w:after="0"/>
              <w:jc w:val="left"/>
              <w:rPr>
                <w:sz w:val="16"/>
                <w:szCs w:val="16"/>
              </w:rPr>
            </w:pPr>
            <w:r>
              <w:rPr>
                <w:sz w:val="16"/>
                <w:szCs w:val="16"/>
              </w:rPr>
              <w:t>Uncertainty discussion has been included</w:t>
            </w:r>
            <w:r w:rsidR="00E85758">
              <w:rPr>
                <w:sz w:val="16"/>
                <w:szCs w:val="16"/>
              </w:rPr>
              <w:t xml:space="preserve"> as well as the methods used to address uncertainty.</w:t>
            </w:r>
          </w:p>
        </w:tc>
        <w:tc>
          <w:tcPr>
            <w:tcW w:w="1343" w:type="dxa"/>
          </w:tcPr>
          <w:p w14:paraId="30AD132C" w14:textId="16CE8A61" w:rsidR="00FA0207" w:rsidRPr="009E73CF" w:rsidRDefault="00FA0207" w:rsidP="00FA0207">
            <w:pPr>
              <w:spacing w:after="0"/>
              <w:jc w:val="left"/>
              <w:rPr>
                <w:sz w:val="16"/>
                <w:szCs w:val="16"/>
              </w:rPr>
            </w:pPr>
            <w:r w:rsidRPr="009E73CF">
              <w:rPr>
                <w:sz w:val="16"/>
                <w:szCs w:val="16"/>
              </w:rPr>
              <w:t>Executive Summary</w:t>
            </w:r>
          </w:p>
        </w:tc>
      </w:tr>
      <w:tr w:rsidR="009E73CF" w:rsidRPr="00962F9F" w14:paraId="4FC36871" w14:textId="77777777" w:rsidTr="00FA0207">
        <w:tc>
          <w:tcPr>
            <w:tcW w:w="539" w:type="dxa"/>
          </w:tcPr>
          <w:p w14:paraId="279CB1EB" w14:textId="7A49CA36" w:rsidR="009E73CF" w:rsidRPr="009E73CF" w:rsidRDefault="009E73CF" w:rsidP="00FA0207">
            <w:pPr>
              <w:spacing w:after="0"/>
              <w:jc w:val="left"/>
              <w:rPr>
                <w:sz w:val="16"/>
                <w:szCs w:val="16"/>
              </w:rPr>
            </w:pPr>
            <w:r w:rsidRPr="009E73CF">
              <w:rPr>
                <w:sz w:val="16"/>
                <w:szCs w:val="16"/>
              </w:rPr>
              <w:t>2</w:t>
            </w:r>
          </w:p>
        </w:tc>
        <w:tc>
          <w:tcPr>
            <w:tcW w:w="1172" w:type="dxa"/>
          </w:tcPr>
          <w:p w14:paraId="41625AB0" w14:textId="05030E52" w:rsidR="009E73CF" w:rsidRPr="009E73CF" w:rsidRDefault="009E73CF" w:rsidP="00FA0207">
            <w:pPr>
              <w:spacing w:after="0"/>
              <w:jc w:val="left"/>
              <w:rPr>
                <w:sz w:val="16"/>
                <w:szCs w:val="16"/>
              </w:rPr>
            </w:pPr>
            <w:r>
              <w:rPr>
                <w:sz w:val="16"/>
                <w:szCs w:val="16"/>
              </w:rPr>
              <w:t>LCA</w:t>
            </w:r>
          </w:p>
        </w:tc>
        <w:tc>
          <w:tcPr>
            <w:tcW w:w="3460" w:type="dxa"/>
          </w:tcPr>
          <w:p w14:paraId="3A163F74" w14:textId="77777777" w:rsidR="009E73CF" w:rsidRPr="009E73CF" w:rsidRDefault="009E73CF" w:rsidP="00FA0207">
            <w:pPr>
              <w:spacing w:after="0"/>
              <w:jc w:val="left"/>
              <w:rPr>
                <w:sz w:val="16"/>
                <w:szCs w:val="16"/>
              </w:rPr>
            </w:pPr>
            <w:r w:rsidRPr="009E73CF">
              <w:rPr>
                <w:sz w:val="16"/>
                <w:szCs w:val="16"/>
              </w:rPr>
              <w:t>One of the stated secondary goals of the LCA is to “identify impacts associated with unit processes within the recycling system, including transport …” (p.15). The results by process (p.37 Table 18) itemise ‘collection recycling’ and ‘collection landfill’ but do not appear to consider all transport collectively for each system. Subject to client confirmation, the secondary goal does not appear to have been achieved.</w:t>
            </w:r>
          </w:p>
          <w:p w14:paraId="753DF55D" w14:textId="028D286D" w:rsidR="009E73CF" w:rsidRPr="009E73CF" w:rsidRDefault="009E73CF" w:rsidP="00FA0207">
            <w:pPr>
              <w:spacing w:after="0"/>
              <w:jc w:val="left"/>
              <w:rPr>
                <w:sz w:val="16"/>
                <w:szCs w:val="16"/>
              </w:rPr>
            </w:pPr>
            <w:r w:rsidRPr="009E73CF">
              <w:rPr>
                <w:sz w:val="16"/>
                <w:szCs w:val="16"/>
              </w:rPr>
              <w:t>In response to last December’s draft goal and scope document for this project, I pointed to the advantages of providing results that distinguish between Melbourne, regional and rural areas. The reported results do not readily provide for this level of analysis.</w:t>
            </w:r>
          </w:p>
        </w:tc>
        <w:tc>
          <w:tcPr>
            <w:tcW w:w="3375" w:type="dxa"/>
          </w:tcPr>
          <w:p w14:paraId="164EB309" w14:textId="77777777" w:rsidR="009D498D" w:rsidRDefault="009D498D" w:rsidP="00FA0207">
            <w:pPr>
              <w:spacing w:after="0"/>
              <w:jc w:val="left"/>
              <w:rPr>
                <w:sz w:val="16"/>
                <w:szCs w:val="16"/>
              </w:rPr>
            </w:pPr>
            <w:r>
              <w:rPr>
                <w:sz w:val="16"/>
                <w:szCs w:val="16"/>
              </w:rPr>
              <w:t>Key processes have been addressed as follows:</w:t>
            </w:r>
          </w:p>
          <w:p w14:paraId="32E5D690" w14:textId="77777777" w:rsidR="009D498D" w:rsidRDefault="00A067DF" w:rsidP="00FA0207">
            <w:pPr>
              <w:spacing w:after="0"/>
              <w:jc w:val="left"/>
              <w:rPr>
                <w:sz w:val="16"/>
                <w:szCs w:val="16"/>
              </w:rPr>
            </w:pPr>
            <w:r>
              <w:rPr>
                <w:sz w:val="16"/>
                <w:szCs w:val="16"/>
              </w:rPr>
              <w:t>Collection is shown, which is the primary transportation element.</w:t>
            </w:r>
          </w:p>
          <w:p w14:paraId="05ADBDF3" w14:textId="01AC5E06" w:rsidR="00A067DF" w:rsidRDefault="00A067DF" w:rsidP="00FA0207">
            <w:pPr>
              <w:spacing w:after="0"/>
              <w:jc w:val="left"/>
              <w:rPr>
                <w:sz w:val="16"/>
                <w:szCs w:val="16"/>
              </w:rPr>
            </w:pPr>
            <w:r>
              <w:rPr>
                <w:sz w:val="16"/>
                <w:szCs w:val="16"/>
              </w:rPr>
              <w:t xml:space="preserve">Transport is also addressed as a sensitivity study and in detail in the inventory. </w:t>
            </w:r>
          </w:p>
          <w:p w14:paraId="48627EF8" w14:textId="77777777" w:rsidR="00A067DF" w:rsidRDefault="00A067DF" w:rsidP="00FA0207">
            <w:pPr>
              <w:spacing w:after="0"/>
              <w:jc w:val="left"/>
              <w:rPr>
                <w:sz w:val="16"/>
                <w:szCs w:val="16"/>
              </w:rPr>
            </w:pPr>
          </w:p>
          <w:p w14:paraId="7AAB0D66" w14:textId="77777777" w:rsidR="009D498D" w:rsidRPr="00A067DF" w:rsidRDefault="009D498D" w:rsidP="009D498D">
            <w:pPr>
              <w:spacing w:after="0"/>
              <w:jc w:val="left"/>
              <w:rPr>
                <w:sz w:val="16"/>
                <w:szCs w:val="16"/>
                <w:u w:val="single"/>
              </w:rPr>
            </w:pPr>
            <w:r w:rsidRPr="00A067DF">
              <w:rPr>
                <w:sz w:val="16"/>
                <w:szCs w:val="16"/>
                <w:u w:val="single"/>
              </w:rPr>
              <w:t>Recycling System processes</w:t>
            </w:r>
          </w:p>
          <w:p w14:paraId="0F2DFFB6" w14:textId="262A85FA" w:rsidR="009D498D" w:rsidRPr="009D498D" w:rsidRDefault="00A067DF" w:rsidP="009D498D">
            <w:pPr>
              <w:spacing w:after="0"/>
              <w:jc w:val="left"/>
              <w:rPr>
                <w:sz w:val="16"/>
                <w:szCs w:val="16"/>
              </w:rPr>
            </w:pPr>
            <w:r>
              <w:rPr>
                <w:sz w:val="16"/>
                <w:szCs w:val="16"/>
              </w:rPr>
              <w:t>Collection</w:t>
            </w:r>
          </w:p>
          <w:p w14:paraId="72B7B41E" w14:textId="1658BBAC" w:rsidR="009D498D" w:rsidRPr="009D498D" w:rsidRDefault="00A067DF" w:rsidP="009D498D">
            <w:pPr>
              <w:spacing w:after="0"/>
              <w:jc w:val="left"/>
              <w:rPr>
                <w:sz w:val="16"/>
                <w:szCs w:val="16"/>
              </w:rPr>
            </w:pPr>
            <w:r>
              <w:rPr>
                <w:sz w:val="16"/>
                <w:szCs w:val="16"/>
              </w:rPr>
              <w:t>Sorting</w:t>
            </w:r>
          </w:p>
          <w:p w14:paraId="0C85DC49" w14:textId="7BC86BA3" w:rsidR="009D498D" w:rsidRPr="009D498D" w:rsidRDefault="009D498D" w:rsidP="009D498D">
            <w:pPr>
              <w:spacing w:after="0"/>
              <w:jc w:val="left"/>
              <w:rPr>
                <w:sz w:val="16"/>
                <w:szCs w:val="16"/>
              </w:rPr>
            </w:pPr>
            <w:r w:rsidRPr="009D498D">
              <w:rPr>
                <w:sz w:val="16"/>
                <w:szCs w:val="16"/>
              </w:rPr>
              <w:t>Local Reprocessing</w:t>
            </w:r>
          </w:p>
          <w:p w14:paraId="066099E4" w14:textId="23C9477E" w:rsidR="009D498D" w:rsidRPr="009D498D" w:rsidRDefault="009D498D" w:rsidP="009D498D">
            <w:pPr>
              <w:spacing w:after="0"/>
              <w:jc w:val="left"/>
              <w:rPr>
                <w:sz w:val="16"/>
                <w:szCs w:val="16"/>
              </w:rPr>
            </w:pPr>
            <w:r w:rsidRPr="009D498D">
              <w:rPr>
                <w:sz w:val="16"/>
                <w:szCs w:val="16"/>
              </w:rPr>
              <w:t>International Reprocessing</w:t>
            </w:r>
          </w:p>
          <w:p w14:paraId="42FC6A3D" w14:textId="6E7BF094" w:rsidR="009D498D" w:rsidRPr="009D498D" w:rsidRDefault="009D498D" w:rsidP="009D498D">
            <w:pPr>
              <w:spacing w:after="0"/>
              <w:jc w:val="left"/>
              <w:rPr>
                <w:sz w:val="16"/>
                <w:szCs w:val="16"/>
              </w:rPr>
            </w:pPr>
            <w:r w:rsidRPr="009D498D">
              <w:rPr>
                <w:sz w:val="16"/>
                <w:szCs w:val="16"/>
              </w:rPr>
              <w:t>Carbon Storage - Soil</w:t>
            </w:r>
          </w:p>
          <w:p w14:paraId="688478A7" w14:textId="77777777" w:rsidR="009D498D" w:rsidRPr="00A067DF" w:rsidRDefault="009D498D" w:rsidP="009D498D">
            <w:pPr>
              <w:spacing w:after="0"/>
              <w:jc w:val="left"/>
              <w:rPr>
                <w:sz w:val="16"/>
                <w:szCs w:val="16"/>
                <w:u w:val="single"/>
              </w:rPr>
            </w:pPr>
            <w:r w:rsidRPr="00A067DF">
              <w:rPr>
                <w:sz w:val="16"/>
                <w:szCs w:val="16"/>
                <w:u w:val="single"/>
              </w:rPr>
              <w:t>Alternative System processes</w:t>
            </w:r>
          </w:p>
          <w:p w14:paraId="3D159E59" w14:textId="5D5A1B21" w:rsidR="009D498D" w:rsidRPr="009D498D" w:rsidRDefault="00A067DF" w:rsidP="009D498D">
            <w:pPr>
              <w:spacing w:after="0"/>
              <w:jc w:val="left"/>
              <w:rPr>
                <w:sz w:val="16"/>
                <w:szCs w:val="16"/>
              </w:rPr>
            </w:pPr>
            <w:r>
              <w:rPr>
                <w:sz w:val="16"/>
                <w:szCs w:val="16"/>
              </w:rPr>
              <w:t>Collection</w:t>
            </w:r>
          </w:p>
          <w:p w14:paraId="01688398" w14:textId="1D39BDDD" w:rsidR="009D498D" w:rsidRPr="009D498D" w:rsidRDefault="00A067DF" w:rsidP="009D498D">
            <w:pPr>
              <w:spacing w:after="0"/>
              <w:jc w:val="left"/>
              <w:rPr>
                <w:sz w:val="16"/>
                <w:szCs w:val="16"/>
              </w:rPr>
            </w:pPr>
            <w:r>
              <w:rPr>
                <w:sz w:val="16"/>
                <w:szCs w:val="16"/>
              </w:rPr>
              <w:t>Disposal Operations</w:t>
            </w:r>
          </w:p>
          <w:p w14:paraId="3A6E5C8A" w14:textId="10D056DB" w:rsidR="009D498D" w:rsidRPr="009D498D" w:rsidRDefault="009D498D" w:rsidP="009D498D">
            <w:pPr>
              <w:spacing w:after="0"/>
              <w:jc w:val="left"/>
              <w:rPr>
                <w:sz w:val="16"/>
                <w:szCs w:val="16"/>
              </w:rPr>
            </w:pPr>
            <w:r>
              <w:rPr>
                <w:sz w:val="16"/>
                <w:szCs w:val="16"/>
              </w:rPr>
              <w:t>Local Production</w:t>
            </w:r>
          </w:p>
          <w:p w14:paraId="36E0E3AD" w14:textId="3EC6D1E4" w:rsidR="009D498D" w:rsidRPr="009D498D" w:rsidRDefault="009D498D" w:rsidP="009D498D">
            <w:pPr>
              <w:spacing w:after="0"/>
              <w:jc w:val="left"/>
              <w:rPr>
                <w:sz w:val="16"/>
                <w:szCs w:val="16"/>
              </w:rPr>
            </w:pPr>
            <w:r>
              <w:rPr>
                <w:sz w:val="16"/>
                <w:szCs w:val="16"/>
              </w:rPr>
              <w:t>International Production</w:t>
            </w:r>
          </w:p>
          <w:p w14:paraId="64FAF269" w14:textId="34C43A41" w:rsidR="009E73CF" w:rsidRPr="009E73CF" w:rsidRDefault="009D498D" w:rsidP="009D498D">
            <w:pPr>
              <w:spacing w:after="0"/>
              <w:jc w:val="left"/>
              <w:rPr>
                <w:sz w:val="16"/>
                <w:szCs w:val="16"/>
              </w:rPr>
            </w:pPr>
            <w:r>
              <w:rPr>
                <w:sz w:val="16"/>
                <w:szCs w:val="16"/>
              </w:rPr>
              <w:t>Carbon Storage – Landfill</w:t>
            </w:r>
          </w:p>
        </w:tc>
        <w:tc>
          <w:tcPr>
            <w:tcW w:w="1343" w:type="dxa"/>
          </w:tcPr>
          <w:p w14:paraId="0A328921" w14:textId="041B4316" w:rsidR="009E73CF" w:rsidRPr="009E73CF" w:rsidRDefault="00A067DF" w:rsidP="00FA0207">
            <w:pPr>
              <w:spacing w:after="0"/>
              <w:jc w:val="left"/>
              <w:rPr>
                <w:sz w:val="16"/>
                <w:szCs w:val="16"/>
              </w:rPr>
            </w:pPr>
            <w:r>
              <w:rPr>
                <w:sz w:val="16"/>
                <w:szCs w:val="16"/>
              </w:rPr>
              <w:fldChar w:fldCharType="begin"/>
            </w:r>
            <w:r>
              <w:rPr>
                <w:sz w:val="16"/>
                <w:szCs w:val="16"/>
              </w:rPr>
              <w:instrText xml:space="preserve"> REF _Ref358488991 \r \h </w:instrText>
            </w:r>
            <w:r>
              <w:rPr>
                <w:sz w:val="16"/>
                <w:szCs w:val="16"/>
              </w:rPr>
            </w:r>
            <w:r>
              <w:rPr>
                <w:sz w:val="16"/>
                <w:szCs w:val="16"/>
              </w:rPr>
              <w:fldChar w:fldCharType="separate"/>
            </w:r>
            <w:r w:rsidR="00564E5C">
              <w:rPr>
                <w:sz w:val="16"/>
                <w:szCs w:val="16"/>
              </w:rPr>
              <w:t>9</w:t>
            </w:r>
            <w:r>
              <w:rPr>
                <w:sz w:val="16"/>
                <w:szCs w:val="16"/>
              </w:rPr>
              <w:fldChar w:fldCharType="end"/>
            </w:r>
          </w:p>
        </w:tc>
      </w:tr>
      <w:tr w:rsidR="009E73CF" w:rsidRPr="00962F9F" w14:paraId="34233F2C" w14:textId="77777777" w:rsidTr="00FA0207">
        <w:tc>
          <w:tcPr>
            <w:tcW w:w="539" w:type="dxa"/>
          </w:tcPr>
          <w:p w14:paraId="6A7A31BC" w14:textId="755CBC2F" w:rsidR="009E73CF" w:rsidRPr="009E73CF" w:rsidRDefault="009E73CF" w:rsidP="00FA0207">
            <w:pPr>
              <w:spacing w:after="0"/>
              <w:jc w:val="left"/>
              <w:rPr>
                <w:sz w:val="16"/>
                <w:szCs w:val="16"/>
              </w:rPr>
            </w:pPr>
            <w:r w:rsidRPr="009E73CF">
              <w:rPr>
                <w:sz w:val="16"/>
                <w:szCs w:val="16"/>
              </w:rPr>
              <w:t>3</w:t>
            </w:r>
          </w:p>
        </w:tc>
        <w:tc>
          <w:tcPr>
            <w:tcW w:w="1172" w:type="dxa"/>
          </w:tcPr>
          <w:p w14:paraId="6CD2F201" w14:textId="46084276" w:rsidR="009E73CF" w:rsidRPr="009E73CF" w:rsidRDefault="009E73CF" w:rsidP="00FA0207">
            <w:pPr>
              <w:spacing w:after="0"/>
              <w:jc w:val="left"/>
              <w:rPr>
                <w:sz w:val="16"/>
                <w:szCs w:val="16"/>
              </w:rPr>
            </w:pPr>
            <w:r>
              <w:rPr>
                <w:sz w:val="16"/>
                <w:szCs w:val="16"/>
              </w:rPr>
              <w:t>LCA</w:t>
            </w:r>
          </w:p>
        </w:tc>
        <w:tc>
          <w:tcPr>
            <w:tcW w:w="3460" w:type="dxa"/>
          </w:tcPr>
          <w:p w14:paraId="20183D73" w14:textId="77777777" w:rsidR="009E73CF" w:rsidRPr="009E73CF" w:rsidRDefault="009E73CF" w:rsidP="00FA0207">
            <w:pPr>
              <w:spacing w:after="0"/>
              <w:jc w:val="left"/>
              <w:rPr>
                <w:sz w:val="16"/>
                <w:szCs w:val="16"/>
              </w:rPr>
            </w:pPr>
            <w:r w:rsidRPr="009E73CF">
              <w:rPr>
                <w:sz w:val="16"/>
                <w:szCs w:val="16"/>
              </w:rPr>
              <w:t xml:space="preserve">The roles of these two types of analysis in the study are not clear, and some of the statements about their use seem inconsistent: </w:t>
            </w:r>
          </w:p>
          <w:p w14:paraId="5CFA182D" w14:textId="77777777" w:rsidR="009E73CF" w:rsidRPr="009E73CF" w:rsidRDefault="009E73CF" w:rsidP="00FA0207">
            <w:pPr>
              <w:spacing w:after="0"/>
              <w:jc w:val="left"/>
              <w:rPr>
                <w:sz w:val="16"/>
                <w:szCs w:val="16"/>
              </w:rPr>
            </w:pPr>
            <w:r w:rsidRPr="009E73CF">
              <w:rPr>
                <w:sz w:val="16"/>
                <w:szCs w:val="16"/>
              </w:rPr>
              <w:t>•</w:t>
            </w:r>
            <w:r w:rsidRPr="009E73CF">
              <w:rPr>
                <w:sz w:val="16"/>
                <w:szCs w:val="16"/>
              </w:rPr>
              <w:tab/>
              <w:t>LCA report p.26 para. 1: “In determining the impacts of the existing system, a fundamentally attributional approach has been employed that characterises impacts based on the existing systems operation.”</w:t>
            </w:r>
          </w:p>
          <w:p w14:paraId="017E676B" w14:textId="77777777" w:rsidR="009E73CF" w:rsidRPr="009E73CF" w:rsidRDefault="009E73CF" w:rsidP="00FA0207">
            <w:pPr>
              <w:spacing w:after="0"/>
              <w:jc w:val="left"/>
              <w:rPr>
                <w:sz w:val="16"/>
                <w:szCs w:val="16"/>
              </w:rPr>
            </w:pPr>
            <w:r w:rsidRPr="009E73CF">
              <w:rPr>
                <w:sz w:val="16"/>
                <w:szCs w:val="16"/>
              </w:rPr>
              <w:t>•</w:t>
            </w:r>
            <w:r w:rsidRPr="009E73CF">
              <w:rPr>
                <w:sz w:val="16"/>
                <w:szCs w:val="16"/>
              </w:rPr>
              <w:tab/>
              <w:t xml:space="preserve">LCA report p.55 para. 4: “… this study … adopts a mix of consequential and attributional approaches. … The inherent, consequential assumption … is that the reprocessing of material recovered from the </w:t>
            </w:r>
            <w:r w:rsidRPr="009E73CF">
              <w:rPr>
                <w:sz w:val="16"/>
                <w:szCs w:val="16"/>
              </w:rPr>
              <w:lastRenderedPageBreak/>
              <w:t>recycling stream materials always offsets the need to produce virgin material.”</w:t>
            </w:r>
          </w:p>
          <w:p w14:paraId="69522B04" w14:textId="77777777" w:rsidR="009E73CF" w:rsidRPr="009E73CF" w:rsidRDefault="009E73CF" w:rsidP="00FA0207">
            <w:pPr>
              <w:spacing w:after="0"/>
              <w:jc w:val="left"/>
              <w:rPr>
                <w:sz w:val="16"/>
                <w:szCs w:val="16"/>
              </w:rPr>
            </w:pPr>
            <w:r w:rsidRPr="009E73CF">
              <w:rPr>
                <w:sz w:val="16"/>
                <w:szCs w:val="16"/>
              </w:rPr>
              <w:t>•</w:t>
            </w:r>
            <w:r w:rsidRPr="009E73CF">
              <w:rPr>
                <w:sz w:val="16"/>
                <w:szCs w:val="16"/>
              </w:rPr>
              <w:tab/>
              <w:t>Inventory report p.31 para. 2: “… this study aims to understand landfill impacts prospectively”</w:t>
            </w:r>
          </w:p>
          <w:p w14:paraId="10492CAC" w14:textId="77777777" w:rsidR="009E73CF" w:rsidRPr="009E73CF" w:rsidRDefault="009E73CF" w:rsidP="00FA0207">
            <w:pPr>
              <w:spacing w:after="0"/>
              <w:jc w:val="left"/>
              <w:rPr>
                <w:sz w:val="16"/>
                <w:szCs w:val="16"/>
              </w:rPr>
            </w:pPr>
            <w:r w:rsidRPr="009E73CF">
              <w:rPr>
                <w:sz w:val="16"/>
                <w:szCs w:val="16"/>
              </w:rPr>
              <w:t>•</w:t>
            </w:r>
            <w:r w:rsidRPr="009E73CF">
              <w:rPr>
                <w:sz w:val="16"/>
                <w:szCs w:val="16"/>
              </w:rPr>
              <w:tab/>
              <w:t>Inventory report p.48 para 2: “…the primary application has been assumed to be agriculture”. “Although … there is no evidence that it represents the bulk of organic product use in Victoria, …  agricultural applications represent an area for future growth”.</w:t>
            </w:r>
          </w:p>
          <w:p w14:paraId="739B021A" w14:textId="624376DC" w:rsidR="009E73CF" w:rsidRPr="009E73CF" w:rsidRDefault="009E73CF" w:rsidP="00FA0207">
            <w:pPr>
              <w:spacing w:after="0"/>
              <w:jc w:val="left"/>
              <w:rPr>
                <w:sz w:val="16"/>
                <w:szCs w:val="16"/>
              </w:rPr>
            </w:pPr>
            <w:r w:rsidRPr="009E73CF">
              <w:rPr>
                <w:sz w:val="16"/>
                <w:szCs w:val="16"/>
              </w:rPr>
              <w:t>The approach taken needs to be consistent across all processes and indicators.</w:t>
            </w:r>
          </w:p>
        </w:tc>
        <w:tc>
          <w:tcPr>
            <w:tcW w:w="3375" w:type="dxa"/>
          </w:tcPr>
          <w:p w14:paraId="4F399480" w14:textId="77777777" w:rsidR="00E85758" w:rsidRDefault="00E85758" w:rsidP="00E85758">
            <w:pPr>
              <w:spacing w:after="0"/>
              <w:jc w:val="left"/>
              <w:rPr>
                <w:sz w:val="16"/>
                <w:szCs w:val="16"/>
              </w:rPr>
            </w:pPr>
            <w:r>
              <w:rPr>
                <w:sz w:val="16"/>
                <w:szCs w:val="16"/>
              </w:rPr>
              <w:lastRenderedPageBreak/>
              <w:t>Accept that consequential and attributional have been overly repeated throughout the report, in some cases inconsistently.</w:t>
            </w:r>
          </w:p>
          <w:p w14:paraId="64E6AB3E" w14:textId="77777777" w:rsidR="00E85758" w:rsidRDefault="00E85758" w:rsidP="00E85758">
            <w:pPr>
              <w:spacing w:after="0"/>
              <w:jc w:val="left"/>
              <w:rPr>
                <w:sz w:val="16"/>
                <w:szCs w:val="16"/>
              </w:rPr>
            </w:pPr>
            <w:r>
              <w:rPr>
                <w:sz w:val="16"/>
                <w:szCs w:val="16"/>
              </w:rPr>
              <w:t xml:space="preserve">To address this, both words have been reviewed in context to ensure consistency of application. In many cases, reference to the perspectives is secondary to other outcomes so has been removed. </w:t>
            </w:r>
          </w:p>
          <w:p w14:paraId="1CAC954F" w14:textId="2F425B44" w:rsidR="009E73CF" w:rsidRPr="009E73CF" w:rsidRDefault="00E85758" w:rsidP="00E85758">
            <w:pPr>
              <w:spacing w:after="0"/>
              <w:jc w:val="left"/>
              <w:rPr>
                <w:sz w:val="16"/>
                <w:szCs w:val="16"/>
              </w:rPr>
            </w:pPr>
            <w:r>
              <w:rPr>
                <w:sz w:val="16"/>
                <w:szCs w:val="16"/>
              </w:rPr>
              <w:t xml:space="preserve">Areas of focused discussion remain the </w:t>
            </w:r>
            <w:r w:rsidR="001076FC">
              <w:rPr>
                <w:sz w:val="16"/>
                <w:szCs w:val="16"/>
              </w:rPr>
              <w:t>consequential analysis undertaken in the validation section.</w:t>
            </w:r>
          </w:p>
        </w:tc>
        <w:tc>
          <w:tcPr>
            <w:tcW w:w="1343" w:type="dxa"/>
          </w:tcPr>
          <w:p w14:paraId="23E8C6E7" w14:textId="45CB9C92" w:rsidR="009E73CF" w:rsidRPr="009E73CF" w:rsidRDefault="001076FC" w:rsidP="00FA0207">
            <w:pPr>
              <w:spacing w:after="0"/>
              <w:jc w:val="left"/>
              <w:rPr>
                <w:sz w:val="16"/>
                <w:szCs w:val="16"/>
              </w:rPr>
            </w:pPr>
            <w:r>
              <w:rPr>
                <w:sz w:val="16"/>
                <w:szCs w:val="16"/>
              </w:rPr>
              <w:t xml:space="preserve">Throughout the report and Section </w:t>
            </w:r>
            <w:r>
              <w:rPr>
                <w:sz w:val="16"/>
                <w:szCs w:val="16"/>
              </w:rPr>
              <w:fldChar w:fldCharType="begin"/>
            </w:r>
            <w:r>
              <w:rPr>
                <w:sz w:val="16"/>
                <w:szCs w:val="16"/>
              </w:rPr>
              <w:instrText xml:space="preserve"> REF _Ref360529513 \r \h </w:instrText>
            </w:r>
            <w:r>
              <w:rPr>
                <w:sz w:val="16"/>
                <w:szCs w:val="16"/>
              </w:rPr>
            </w:r>
            <w:r>
              <w:rPr>
                <w:sz w:val="16"/>
                <w:szCs w:val="16"/>
              </w:rPr>
              <w:fldChar w:fldCharType="separate"/>
            </w:r>
            <w:r w:rsidR="00564E5C">
              <w:rPr>
                <w:sz w:val="16"/>
                <w:szCs w:val="16"/>
              </w:rPr>
              <w:t>11.3</w:t>
            </w:r>
            <w:r>
              <w:rPr>
                <w:sz w:val="16"/>
                <w:szCs w:val="16"/>
              </w:rPr>
              <w:fldChar w:fldCharType="end"/>
            </w:r>
            <w:r>
              <w:rPr>
                <w:sz w:val="16"/>
                <w:szCs w:val="16"/>
              </w:rPr>
              <w:t>.</w:t>
            </w:r>
          </w:p>
        </w:tc>
      </w:tr>
      <w:tr w:rsidR="009E73CF" w:rsidRPr="00962F9F" w14:paraId="610108A5" w14:textId="77777777" w:rsidTr="00FA0207">
        <w:tc>
          <w:tcPr>
            <w:tcW w:w="539" w:type="dxa"/>
          </w:tcPr>
          <w:p w14:paraId="473B37C0" w14:textId="5D839FDC" w:rsidR="009E73CF" w:rsidRPr="009E73CF" w:rsidRDefault="009E73CF" w:rsidP="00FA0207">
            <w:pPr>
              <w:spacing w:after="0"/>
              <w:jc w:val="left"/>
              <w:rPr>
                <w:sz w:val="16"/>
                <w:szCs w:val="16"/>
              </w:rPr>
            </w:pPr>
            <w:r w:rsidRPr="009E73CF">
              <w:rPr>
                <w:sz w:val="16"/>
                <w:szCs w:val="16"/>
              </w:rPr>
              <w:lastRenderedPageBreak/>
              <w:t>4</w:t>
            </w:r>
          </w:p>
        </w:tc>
        <w:tc>
          <w:tcPr>
            <w:tcW w:w="1172" w:type="dxa"/>
          </w:tcPr>
          <w:p w14:paraId="45D6A681" w14:textId="7311C8C6" w:rsidR="009E73CF" w:rsidRPr="009E73CF" w:rsidRDefault="009E73CF" w:rsidP="00FA0207">
            <w:pPr>
              <w:spacing w:after="0"/>
              <w:jc w:val="left"/>
              <w:rPr>
                <w:sz w:val="16"/>
                <w:szCs w:val="16"/>
              </w:rPr>
            </w:pPr>
            <w:r>
              <w:rPr>
                <w:sz w:val="16"/>
                <w:szCs w:val="16"/>
              </w:rPr>
              <w:t>LCA</w:t>
            </w:r>
          </w:p>
        </w:tc>
        <w:tc>
          <w:tcPr>
            <w:tcW w:w="3460" w:type="dxa"/>
          </w:tcPr>
          <w:p w14:paraId="1D53C670" w14:textId="77777777" w:rsidR="009E73CF" w:rsidRPr="009E73CF" w:rsidRDefault="009E73CF" w:rsidP="00FA0207">
            <w:pPr>
              <w:spacing w:before="120" w:after="120"/>
              <w:rPr>
                <w:sz w:val="16"/>
                <w:szCs w:val="16"/>
              </w:rPr>
            </w:pPr>
            <w:r w:rsidRPr="009E73CF">
              <w:rPr>
                <w:sz w:val="16"/>
                <w:szCs w:val="16"/>
              </w:rPr>
              <w:t xml:space="preserve">I was confused by the approach taken in relation to markets for composting. </w:t>
            </w:r>
          </w:p>
          <w:p w14:paraId="31F07435" w14:textId="77777777" w:rsidR="009E73CF" w:rsidRPr="009E73CF" w:rsidRDefault="009E73CF" w:rsidP="00FA0207">
            <w:pPr>
              <w:spacing w:before="120"/>
              <w:rPr>
                <w:sz w:val="16"/>
                <w:szCs w:val="16"/>
              </w:rPr>
            </w:pPr>
            <w:r w:rsidRPr="009E73CF">
              <w:rPr>
                <w:sz w:val="16"/>
                <w:szCs w:val="16"/>
              </w:rPr>
              <w:t xml:space="preserve">There are descriptive inconsistencies: </w:t>
            </w:r>
          </w:p>
          <w:p w14:paraId="70A6E49A" w14:textId="77777777" w:rsidR="009E73CF" w:rsidRPr="009E73CF" w:rsidRDefault="009E73CF" w:rsidP="009E73CF">
            <w:pPr>
              <w:pStyle w:val="ListParagraph"/>
              <w:widowControl/>
              <w:numPr>
                <w:ilvl w:val="0"/>
                <w:numId w:val="40"/>
              </w:numPr>
              <w:tabs>
                <w:tab w:val="clear" w:pos="567"/>
              </w:tabs>
              <w:spacing w:after="0"/>
              <w:jc w:val="left"/>
              <w:rPr>
                <w:sz w:val="16"/>
                <w:szCs w:val="16"/>
              </w:rPr>
            </w:pPr>
            <w:r w:rsidRPr="009E73CF">
              <w:rPr>
                <w:sz w:val="16"/>
                <w:szCs w:val="16"/>
              </w:rPr>
              <w:t>The LCA report, p.59, 11.3.2.7 opens by saying: “The main market for reprocessed organic material is agriculture.”</w:t>
            </w:r>
          </w:p>
          <w:p w14:paraId="4D9CCF7F" w14:textId="77777777" w:rsidR="009E73CF" w:rsidRPr="009E73CF" w:rsidRDefault="009E73CF" w:rsidP="009E73CF">
            <w:pPr>
              <w:pStyle w:val="ListParagraph"/>
              <w:widowControl/>
              <w:numPr>
                <w:ilvl w:val="0"/>
                <w:numId w:val="40"/>
              </w:numPr>
              <w:tabs>
                <w:tab w:val="clear" w:pos="567"/>
              </w:tabs>
              <w:spacing w:after="120"/>
              <w:ind w:left="357" w:hanging="357"/>
              <w:jc w:val="left"/>
              <w:rPr>
                <w:sz w:val="16"/>
                <w:szCs w:val="16"/>
              </w:rPr>
            </w:pPr>
            <w:r w:rsidRPr="009E73CF">
              <w:rPr>
                <w:sz w:val="16"/>
                <w:szCs w:val="16"/>
              </w:rPr>
              <w:t>The inventory report p.48 para. 2 states that: “there is no evidence that [agriculture] represents the bulk of organic product use in Victoria”.</w:t>
            </w:r>
          </w:p>
          <w:p w14:paraId="13D11607" w14:textId="77777777" w:rsidR="009E73CF" w:rsidRPr="009E73CF" w:rsidRDefault="009E73CF" w:rsidP="00FA0207">
            <w:pPr>
              <w:rPr>
                <w:sz w:val="16"/>
                <w:szCs w:val="16"/>
              </w:rPr>
            </w:pPr>
            <w:r w:rsidRPr="009E73CF">
              <w:rPr>
                <w:sz w:val="16"/>
                <w:szCs w:val="16"/>
              </w:rPr>
              <w:t>My understanding is that compost use in agriculture is very limited, potentially representing a few percent of the total</w:t>
            </w:r>
            <w:r w:rsidRPr="009E73CF">
              <w:rPr>
                <w:rStyle w:val="FootnoteReference"/>
                <w:sz w:val="16"/>
                <w:szCs w:val="16"/>
              </w:rPr>
              <w:footnoteReference w:id="10"/>
            </w:r>
            <w:r w:rsidRPr="009E73CF">
              <w:rPr>
                <w:sz w:val="16"/>
                <w:szCs w:val="16"/>
              </w:rPr>
              <w:t xml:space="preserve">. </w:t>
            </w:r>
          </w:p>
          <w:p w14:paraId="5746CAAE" w14:textId="77777777" w:rsidR="009E73CF" w:rsidRPr="009E73CF" w:rsidRDefault="009E73CF" w:rsidP="00FA0207">
            <w:pPr>
              <w:spacing w:before="120"/>
              <w:rPr>
                <w:sz w:val="16"/>
                <w:szCs w:val="16"/>
              </w:rPr>
            </w:pPr>
            <w:r w:rsidRPr="009E73CF">
              <w:rPr>
                <w:sz w:val="16"/>
                <w:szCs w:val="16"/>
              </w:rPr>
              <w:t>The inventory report p.43 Table 26 shows a ‘base case’ assumption that 50% of compost is used in agricultural settings. The text on p.48 notes this is inconsistent with current market circumstances, and provides two justifications:</w:t>
            </w:r>
          </w:p>
          <w:p w14:paraId="51DA61A2" w14:textId="77777777" w:rsidR="009E73CF" w:rsidRPr="009E73CF" w:rsidRDefault="009E73CF" w:rsidP="009E73CF">
            <w:pPr>
              <w:pStyle w:val="ListParagraph"/>
              <w:widowControl/>
              <w:numPr>
                <w:ilvl w:val="0"/>
                <w:numId w:val="39"/>
              </w:numPr>
              <w:tabs>
                <w:tab w:val="clear" w:pos="567"/>
              </w:tabs>
              <w:spacing w:after="0"/>
              <w:jc w:val="left"/>
              <w:rPr>
                <w:sz w:val="16"/>
                <w:szCs w:val="16"/>
              </w:rPr>
            </w:pPr>
            <w:r w:rsidRPr="009E73CF">
              <w:rPr>
                <w:sz w:val="16"/>
                <w:szCs w:val="16"/>
              </w:rPr>
              <w:t>Para 2: “…agricultural applications represent an area for future growth”. This is inconsistent with the commitment to use an attributional approach.</w:t>
            </w:r>
          </w:p>
          <w:p w14:paraId="56BE6FF7" w14:textId="41E05752" w:rsidR="009E73CF" w:rsidRPr="009E73CF" w:rsidRDefault="009E73CF" w:rsidP="00FA0207">
            <w:pPr>
              <w:spacing w:after="0"/>
              <w:jc w:val="left"/>
              <w:rPr>
                <w:sz w:val="16"/>
                <w:szCs w:val="16"/>
              </w:rPr>
            </w:pPr>
            <w:r w:rsidRPr="009E73CF">
              <w:rPr>
                <w:sz w:val="16"/>
                <w:szCs w:val="16"/>
              </w:rPr>
              <w:t>Para. 3 “fundamental data limitations associated with other applications”. This seems unreasonable unless it can be argued that the data on agricultural use is a reasonable proxy for other uses.</w:t>
            </w:r>
          </w:p>
        </w:tc>
        <w:tc>
          <w:tcPr>
            <w:tcW w:w="3375" w:type="dxa"/>
          </w:tcPr>
          <w:p w14:paraId="0AC1434D" w14:textId="77777777" w:rsidR="00657639" w:rsidRDefault="001076FC" w:rsidP="00FA0207">
            <w:pPr>
              <w:spacing w:after="0"/>
              <w:jc w:val="left"/>
              <w:rPr>
                <w:sz w:val="16"/>
                <w:szCs w:val="16"/>
              </w:rPr>
            </w:pPr>
            <w:r>
              <w:rPr>
                <w:sz w:val="16"/>
                <w:szCs w:val="16"/>
              </w:rPr>
              <w:t>Inconsistency has emerged between the consequential analysis and the main report</w:t>
            </w:r>
            <w:r w:rsidR="00657639">
              <w:rPr>
                <w:sz w:val="16"/>
                <w:szCs w:val="16"/>
              </w:rPr>
              <w:t>.</w:t>
            </w:r>
          </w:p>
          <w:p w14:paraId="29069343" w14:textId="77777777" w:rsidR="00657639" w:rsidRDefault="00657639" w:rsidP="00FA0207">
            <w:pPr>
              <w:spacing w:after="0"/>
              <w:jc w:val="left"/>
              <w:rPr>
                <w:sz w:val="16"/>
                <w:szCs w:val="16"/>
              </w:rPr>
            </w:pPr>
            <w:r>
              <w:rPr>
                <w:sz w:val="16"/>
                <w:szCs w:val="16"/>
              </w:rPr>
              <w:t>A review of the ROU report suggests that NSW and WA are sending compost products to about 15% of the total market base. Exactly how much of this is from kerbside waste is unclear.</w:t>
            </w:r>
          </w:p>
          <w:p w14:paraId="4F3170D3" w14:textId="36C22BB7" w:rsidR="00BA202B" w:rsidRDefault="00BA202B" w:rsidP="00FA0207">
            <w:pPr>
              <w:spacing w:after="0"/>
              <w:jc w:val="left"/>
              <w:rPr>
                <w:sz w:val="16"/>
                <w:szCs w:val="16"/>
              </w:rPr>
            </w:pPr>
            <w:r>
              <w:rPr>
                <w:sz w:val="16"/>
                <w:szCs w:val="16"/>
              </w:rPr>
              <w:t>A section has been added in the inventory report addressing these data.</w:t>
            </w:r>
          </w:p>
          <w:p w14:paraId="62CB80D0" w14:textId="45BF1911" w:rsidR="00657639" w:rsidRDefault="00BA202B" w:rsidP="00FA0207">
            <w:pPr>
              <w:spacing w:after="0"/>
              <w:jc w:val="left"/>
              <w:rPr>
                <w:sz w:val="16"/>
                <w:szCs w:val="16"/>
              </w:rPr>
            </w:pPr>
            <w:r>
              <w:rPr>
                <w:sz w:val="16"/>
                <w:szCs w:val="16"/>
              </w:rPr>
              <w:t>In l</w:t>
            </w:r>
            <w:r w:rsidR="00657639">
              <w:rPr>
                <w:sz w:val="16"/>
                <w:szCs w:val="16"/>
              </w:rPr>
              <w:t>ight of this information the base-case agriculture application rate has been reduced to 25%. 15% would most likely be too conservative as it would suggest that no other applications generate benefits similar to those seen for agriculture.</w:t>
            </w:r>
          </w:p>
          <w:p w14:paraId="59CA96AC" w14:textId="1461B2C7" w:rsidR="00657639" w:rsidRDefault="00657639" w:rsidP="00FA0207">
            <w:pPr>
              <w:spacing w:after="0"/>
              <w:jc w:val="left"/>
              <w:rPr>
                <w:sz w:val="16"/>
                <w:szCs w:val="16"/>
              </w:rPr>
            </w:pPr>
            <w:r>
              <w:rPr>
                <w:sz w:val="16"/>
                <w:szCs w:val="16"/>
              </w:rPr>
              <w:t xml:space="preserve">Uncertainty in this area is a key challenge of the study, </w:t>
            </w:r>
            <w:r w:rsidR="00BA202B">
              <w:rPr>
                <w:sz w:val="16"/>
                <w:szCs w:val="16"/>
              </w:rPr>
              <w:t>which is also addressed through</w:t>
            </w:r>
            <w:r>
              <w:rPr>
                <w:sz w:val="16"/>
                <w:szCs w:val="16"/>
              </w:rPr>
              <w:t xml:space="preserve"> the sensitivity analysis (which has been amended to accommodate the change in the base case).</w:t>
            </w:r>
          </w:p>
          <w:p w14:paraId="62DA2D0C" w14:textId="1CE6B56B" w:rsidR="009E73CF" w:rsidRPr="009E73CF" w:rsidRDefault="009E73CF" w:rsidP="00FA0207">
            <w:pPr>
              <w:spacing w:after="0"/>
              <w:jc w:val="left"/>
              <w:rPr>
                <w:sz w:val="16"/>
                <w:szCs w:val="16"/>
              </w:rPr>
            </w:pPr>
          </w:p>
        </w:tc>
        <w:tc>
          <w:tcPr>
            <w:tcW w:w="1343" w:type="dxa"/>
          </w:tcPr>
          <w:p w14:paraId="29870ABB" w14:textId="62CD0AE7" w:rsidR="00BA202B" w:rsidRPr="00BA202B" w:rsidRDefault="00BA202B" w:rsidP="00BA202B">
            <w:pPr>
              <w:spacing w:after="0"/>
              <w:jc w:val="left"/>
              <w:rPr>
                <w:sz w:val="16"/>
                <w:szCs w:val="14"/>
              </w:rPr>
            </w:pPr>
            <w:r w:rsidRPr="00BA202B">
              <w:rPr>
                <w:sz w:val="16"/>
                <w:szCs w:val="14"/>
              </w:rPr>
              <w:fldChar w:fldCharType="begin"/>
            </w:r>
            <w:r w:rsidRPr="00BA202B">
              <w:rPr>
                <w:sz w:val="16"/>
                <w:szCs w:val="14"/>
              </w:rPr>
              <w:instrText xml:space="preserve"> REF _Ref360560152 \h  \* MERGEFORMAT </w:instrText>
            </w:r>
            <w:r w:rsidRPr="00BA202B">
              <w:rPr>
                <w:sz w:val="16"/>
                <w:szCs w:val="14"/>
              </w:rPr>
            </w:r>
            <w:r w:rsidRPr="00BA202B">
              <w:rPr>
                <w:sz w:val="16"/>
                <w:szCs w:val="14"/>
              </w:rPr>
              <w:fldChar w:fldCharType="separate"/>
            </w:r>
            <w:r w:rsidR="00564E5C" w:rsidRPr="00564E5C">
              <w:rPr>
                <w:sz w:val="16"/>
                <w:szCs w:val="14"/>
              </w:rPr>
              <w:t>Appendix B – Inventory Report</w:t>
            </w:r>
            <w:r w:rsidRPr="00BA202B">
              <w:rPr>
                <w:sz w:val="16"/>
                <w:szCs w:val="14"/>
              </w:rPr>
              <w:fldChar w:fldCharType="end"/>
            </w:r>
            <w:r>
              <w:rPr>
                <w:sz w:val="16"/>
                <w:szCs w:val="14"/>
              </w:rPr>
              <w:t>, Section 4.1</w:t>
            </w:r>
          </w:p>
          <w:p w14:paraId="66FF08CA" w14:textId="3CB36946" w:rsidR="009E73CF" w:rsidRPr="00BA202B" w:rsidRDefault="009E73CF" w:rsidP="00BA202B">
            <w:pPr>
              <w:spacing w:after="0"/>
              <w:jc w:val="left"/>
              <w:rPr>
                <w:sz w:val="16"/>
                <w:szCs w:val="16"/>
              </w:rPr>
            </w:pPr>
          </w:p>
        </w:tc>
      </w:tr>
      <w:tr w:rsidR="009E73CF" w:rsidRPr="00962F9F" w14:paraId="3838B9A3" w14:textId="77777777" w:rsidTr="00FA0207">
        <w:tc>
          <w:tcPr>
            <w:tcW w:w="539" w:type="dxa"/>
          </w:tcPr>
          <w:p w14:paraId="7FB584EB" w14:textId="4C03254B" w:rsidR="009E73CF" w:rsidRPr="009E73CF" w:rsidRDefault="009E73CF" w:rsidP="00FA0207">
            <w:pPr>
              <w:spacing w:after="0"/>
              <w:jc w:val="left"/>
              <w:rPr>
                <w:sz w:val="16"/>
                <w:szCs w:val="16"/>
              </w:rPr>
            </w:pPr>
            <w:r w:rsidRPr="009E73CF">
              <w:rPr>
                <w:sz w:val="16"/>
                <w:szCs w:val="16"/>
              </w:rPr>
              <w:t>5</w:t>
            </w:r>
          </w:p>
        </w:tc>
        <w:tc>
          <w:tcPr>
            <w:tcW w:w="1172" w:type="dxa"/>
          </w:tcPr>
          <w:p w14:paraId="71B9298C" w14:textId="676E2296" w:rsidR="009E73CF" w:rsidRPr="009E73CF" w:rsidRDefault="009E73CF" w:rsidP="00FA0207">
            <w:pPr>
              <w:spacing w:after="0"/>
              <w:jc w:val="left"/>
              <w:rPr>
                <w:sz w:val="16"/>
                <w:szCs w:val="16"/>
              </w:rPr>
            </w:pPr>
            <w:r>
              <w:rPr>
                <w:sz w:val="16"/>
                <w:szCs w:val="16"/>
              </w:rPr>
              <w:t>LCA</w:t>
            </w:r>
          </w:p>
        </w:tc>
        <w:tc>
          <w:tcPr>
            <w:tcW w:w="3460" w:type="dxa"/>
          </w:tcPr>
          <w:p w14:paraId="676660AE" w14:textId="77777777" w:rsidR="009E73CF" w:rsidRPr="009E73CF" w:rsidRDefault="009E73CF" w:rsidP="00FA0207">
            <w:pPr>
              <w:spacing w:after="0"/>
              <w:jc w:val="left"/>
              <w:rPr>
                <w:sz w:val="16"/>
                <w:szCs w:val="16"/>
              </w:rPr>
            </w:pPr>
            <w:r w:rsidRPr="009E73CF">
              <w:rPr>
                <w:sz w:val="16"/>
                <w:szCs w:val="16"/>
              </w:rPr>
              <w:t>The inventory report p.43 Table 26 provides a full range of estimates for carbon storage in soil, from 0% to 100%. It selects 50% as the ‘base case’ value for carbon storage over the 100-year assessment timeframe, and uses the other values in sensitivity analysis. The estimates coincide with the assumptions about markets – in the ‘conservative’ assumptions where material is used wholly for the urban amenity market, no carbon benefit is assumed. I have two issues:</w:t>
            </w:r>
          </w:p>
          <w:p w14:paraId="5D97E6AD" w14:textId="2BB8CBD8" w:rsidR="009E73CF" w:rsidRPr="009E73CF" w:rsidRDefault="00521581" w:rsidP="00FA0207">
            <w:pPr>
              <w:spacing w:after="0"/>
              <w:jc w:val="left"/>
              <w:rPr>
                <w:sz w:val="16"/>
                <w:szCs w:val="16"/>
              </w:rPr>
            </w:pPr>
            <w:r>
              <w:rPr>
                <w:sz w:val="16"/>
                <w:szCs w:val="16"/>
              </w:rPr>
              <w:t xml:space="preserve">• </w:t>
            </w:r>
            <w:r w:rsidR="009E73CF" w:rsidRPr="009E73CF">
              <w:rPr>
                <w:sz w:val="16"/>
                <w:szCs w:val="16"/>
              </w:rPr>
              <w:t xml:space="preserve">The 50% base case value and the 100% ‘optimistic’ value seem high. A literature review for a large European LCA (Smith et al, Waste Management Options and Climate Change) estimated an average retention half-life of 28 years. I believe this value was used in the original Grant et al. (2001) LCA. I appreciate that there are major uncertainties </w:t>
            </w:r>
            <w:r w:rsidR="009E73CF" w:rsidRPr="009E73CF">
              <w:rPr>
                <w:sz w:val="16"/>
                <w:szCs w:val="16"/>
              </w:rPr>
              <w:lastRenderedPageBreak/>
              <w:t xml:space="preserve">and variability in relation to carbon storage, and it may be reasonable to consider higher values in the context of a continuous stream of compost application, but a rationale would be appropriate. </w:t>
            </w:r>
          </w:p>
          <w:p w14:paraId="2779512B" w14:textId="539CBCE7" w:rsidR="009E73CF" w:rsidRPr="009E73CF" w:rsidRDefault="00521581" w:rsidP="00FA0207">
            <w:pPr>
              <w:spacing w:after="0"/>
              <w:jc w:val="left"/>
              <w:rPr>
                <w:sz w:val="16"/>
                <w:szCs w:val="16"/>
              </w:rPr>
            </w:pPr>
            <w:r>
              <w:rPr>
                <w:sz w:val="16"/>
                <w:szCs w:val="16"/>
              </w:rPr>
              <w:t xml:space="preserve">• </w:t>
            </w:r>
            <w:r w:rsidR="009E73CF" w:rsidRPr="009E73CF">
              <w:rPr>
                <w:sz w:val="16"/>
                <w:szCs w:val="16"/>
              </w:rPr>
              <w:t xml:space="preserve">No reason is apparent as to why a potential carbon storage benefit exists when compost is applied agriculturally but not when it is used in urban amenity markets. My colleague Bill Grant, who is a compost expert, believes carbon storage is likely to be higher in a non-agricultural setting as addition of nitrogen in agriculture may lead to loss of soil carbon.  </w:t>
            </w:r>
          </w:p>
          <w:p w14:paraId="677BDB90" w14:textId="742B9BAF" w:rsidR="009E73CF" w:rsidRPr="009E73CF" w:rsidRDefault="009E73CF" w:rsidP="00FA0207">
            <w:pPr>
              <w:spacing w:after="0"/>
              <w:jc w:val="left"/>
              <w:rPr>
                <w:sz w:val="16"/>
                <w:szCs w:val="16"/>
              </w:rPr>
            </w:pPr>
            <w:r w:rsidRPr="009E73CF">
              <w:rPr>
                <w:sz w:val="16"/>
                <w:szCs w:val="16"/>
              </w:rPr>
              <w:t>This is a topical issue in the context of the Carbon Farming Initiative. Using sensitivity analysis to deal with this difficulty is a good idea.</w:t>
            </w:r>
          </w:p>
        </w:tc>
        <w:tc>
          <w:tcPr>
            <w:tcW w:w="3375" w:type="dxa"/>
          </w:tcPr>
          <w:p w14:paraId="718D1FA4" w14:textId="6776D4C7" w:rsidR="00521581" w:rsidRDefault="00BA202B" w:rsidP="00FA0207">
            <w:pPr>
              <w:spacing w:after="0"/>
              <w:jc w:val="left"/>
              <w:rPr>
                <w:sz w:val="16"/>
                <w:szCs w:val="16"/>
              </w:rPr>
            </w:pPr>
            <w:r>
              <w:rPr>
                <w:sz w:val="16"/>
                <w:szCs w:val="16"/>
              </w:rPr>
              <w:lastRenderedPageBreak/>
              <w:t>The table presents the scenarios in a fashion that is confusing. The percentages do not describe a fraction of the total amount, rather they describe a fracti</w:t>
            </w:r>
            <w:r w:rsidR="00521581">
              <w:rPr>
                <w:sz w:val="16"/>
                <w:szCs w:val="16"/>
              </w:rPr>
              <w:t xml:space="preserve">on of the amount identified carbon storage when compost is used in an agriculture application. It is acknowledged that this is confusing, so an alternative table </w:t>
            </w:r>
            <w:r w:rsidR="00D00266">
              <w:rPr>
                <w:sz w:val="16"/>
                <w:szCs w:val="16"/>
              </w:rPr>
              <w:t>presentation has been developed that employs absolute values rather than percentages.</w:t>
            </w:r>
          </w:p>
          <w:p w14:paraId="0408CBC5" w14:textId="77777777" w:rsidR="00521581" w:rsidRDefault="00521581" w:rsidP="00FA0207">
            <w:pPr>
              <w:spacing w:after="0"/>
              <w:jc w:val="left"/>
              <w:rPr>
                <w:sz w:val="16"/>
                <w:szCs w:val="16"/>
              </w:rPr>
            </w:pPr>
          </w:p>
          <w:p w14:paraId="74CB0BE9" w14:textId="77777777" w:rsidR="00521581" w:rsidRDefault="00521581" w:rsidP="00FA0207">
            <w:pPr>
              <w:spacing w:after="0"/>
              <w:jc w:val="left"/>
              <w:rPr>
                <w:sz w:val="16"/>
                <w:szCs w:val="16"/>
              </w:rPr>
            </w:pPr>
            <w:r>
              <w:rPr>
                <w:sz w:val="16"/>
                <w:szCs w:val="16"/>
              </w:rPr>
              <w:t xml:space="preserve">Carbon storage in landfill is calculated on a material by material basis, summarised in </w:t>
            </w:r>
            <w:r>
              <w:rPr>
                <w:sz w:val="16"/>
                <w:szCs w:val="16"/>
              </w:rPr>
              <w:fldChar w:fldCharType="begin"/>
            </w:r>
            <w:r>
              <w:rPr>
                <w:sz w:val="16"/>
                <w:szCs w:val="16"/>
              </w:rPr>
              <w:instrText xml:space="preserve"> REF _Ref353790521 \h  \* MERGEFORMAT </w:instrText>
            </w:r>
            <w:r>
              <w:rPr>
                <w:sz w:val="16"/>
                <w:szCs w:val="16"/>
              </w:rPr>
            </w:r>
            <w:r>
              <w:rPr>
                <w:sz w:val="16"/>
                <w:szCs w:val="16"/>
              </w:rPr>
              <w:fldChar w:fldCharType="separate"/>
            </w:r>
            <w:r w:rsidR="00564E5C" w:rsidRPr="00564E5C">
              <w:rPr>
                <w:sz w:val="16"/>
                <w:szCs w:val="16"/>
              </w:rPr>
              <w:t>Table 18</w:t>
            </w:r>
            <w:r>
              <w:rPr>
                <w:sz w:val="16"/>
                <w:szCs w:val="16"/>
              </w:rPr>
              <w:fldChar w:fldCharType="end"/>
            </w:r>
            <w:r>
              <w:rPr>
                <w:sz w:val="16"/>
                <w:szCs w:val="16"/>
              </w:rPr>
              <w:t>.</w:t>
            </w:r>
          </w:p>
          <w:p w14:paraId="011D0541" w14:textId="77777777" w:rsidR="00521581" w:rsidRDefault="00521581" w:rsidP="00FA0207">
            <w:pPr>
              <w:spacing w:after="0"/>
              <w:jc w:val="left"/>
              <w:rPr>
                <w:sz w:val="16"/>
                <w:szCs w:val="16"/>
              </w:rPr>
            </w:pPr>
          </w:p>
          <w:p w14:paraId="15A31F52" w14:textId="067B7158" w:rsidR="009E73CF" w:rsidRPr="009E73CF" w:rsidRDefault="00521581" w:rsidP="00521581">
            <w:pPr>
              <w:spacing w:after="0"/>
              <w:jc w:val="left"/>
              <w:rPr>
                <w:sz w:val="16"/>
                <w:szCs w:val="16"/>
              </w:rPr>
            </w:pPr>
            <w:r>
              <w:rPr>
                <w:sz w:val="16"/>
                <w:szCs w:val="16"/>
              </w:rPr>
              <w:t xml:space="preserve">Carbon storage in soil when compost is applied in urban amenity applications is assumed to be zero, although actual storage </w:t>
            </w:r>
            <w:r>
              <w:rPr>
                <w:sz w:val="16"/>
                <w:szCs w:val="16"/>
              </w:rPr>
              <w:lastRenderedPageBreak/>
              <w:t>is unknown. As for other benefits attributable to compost use (water savings, fertiliser reductions), the conservative approach taken assumes that no benefits are attributable. This approach is acknowledged as potentially understating the benefit of compost in these applications. Sensitivity analysis is used to address this uncertainty.</w:t>
            </w:r>
          </w:p>
        </w:tc>
        <w:tc>
          <w:tcPr>
            <w:tcW w:w="1343" w:type="dxa"/>
          </w:tcPr>
          <w:p w14:paraId="38901418" w14:textId="71E12239" w:rsidR="00D00266" w:rsidRPr="00D00266" w:rsidRDefault="00D00266" w:rsidP="00FA0207">
            <w:pPr>
              <w:spacing w:after="0"/>
              <w:jc w:val="left"/>
              <w:rPr>
                <w:sz w:val="16"/>
                <w:szCs w:val="16"/>
              </w:rPr>
            </w:pPr>
            <w:r>
              <w:rPr>
                <w:sz w:val="16"/>
                <w:szCs w:val="16"/>
              </w:rPr>
              <w:lastRenderedPageBreak/>
              <w:t>U</w:t>
            </w:r>
            <w:r w:rsidRPr="00D00266">
              <w:rPr>
                <w:sz w:val="16"/>
                <w:szCs w:val="16"/>
              </w:rPr>
              <w:t xml:space="preserve">pdated section </w:t>
            </w:r>
            <w:r w:rsidRPr="00D00266">
              <w:rPr>
                <w:sz w:val="16"/>
                <w:szCs w:val="16"/>
              </w:rPr>
              <w:fldChar w:fldCharType="begin"/>
            </w:r>
            <w:r w:rsidRPr="00D00266">
              <w:rPr>
                <w:sz w:val="16"/>
                <w:szCs w:val="16"/>
              </w:rPr>
              <w:instrText xml:space="preserve"> REF _Ref363056915 \r \h </w:instrText>
            </w:r>
            <w:r>
              <w:rPr>
                <w:sz w:val="16"/>
                <w:szCs w:val="16"/>
              </w:rPr>
              <w:instrText xml:space="preserve"> \* MERGEFORMAT </w:instrText>
            </w:r>
            <w:r w:rsidRPr="00D00266">
              <w:rPr>
                <w:sz w:val="16"/>
                <w:szCs w:val="16"/>
              </w:rPr>
            </w:r>
            <w:r w:rsidRPr="00D00266">
              <w:rPr>
                <w:sz w:val="16"/>
                <w:szCs w:val="16"/>
              </w:rPr>
              <w:fldChar w:fldCharType="separate"/>
            </w:r>
            <w:r w:rsidR="00564E5C">
              <w:rPr>
                <w:sz w:val="16"/>
                <w:szCs w:val="16"/>
              </w:rPr>
              <w:t>8.1.4</w:t>
            </w:r>
            <w:r w:rsidRPr="00D00266">
              <w:rPr>
                <w:sz w:val="16"/>
                <w:szCs w:val="16"/>
              </w:rPr>
              <w:fldChar w:fldCharType="end"/>
            </w:r>
          </w:p>
          <w:p w14:paraId="2DF557DE" w14:textId="64EAD120" w:rsidR="009E73CF" w:rsidRPr="009E73CF" w:rsidRDefault="00D00266" w:rsidP="00FA0207">
            <w:pPr>
              <w:spacing w:after="0"/>
              <w:jc w:val="left"/>
              <w:rPr>
                <w:sz w:val="16"/>
                <w:szCs w:val="16"/>
              </w:rPr>
            </w:pPr>
            <w:r w:rsidRPr="00D00266">
              <w:rPr>
                <w:sz w:val="16"/>
                <w:szCs w:val="16"/>
              </w:rPr>
              <w:t xml:space="preserve">and </w:t>
            </w:r>
            <w:r w:rsidRPr="00D00266">
              <w:rPr>
                <w:sz w:val="16"/>
                <w:szCs w:val="16"/>
              </w:rPr>
              <w:fldChar w:fldCharType="begin"/>
            </w:r>
            <w:r w:rsidRPr="00D00266">
              <w:rPr>
                <w:sz w:val="16"/>
                <w:szCs w:val="16"/>
              </w:rPr>
              <w:instrText xml:space="preserve"> REF _Ref360560152 \h </w:instrText>
            </w:r>
            <w:r>
              <w:rPr>
                <w:sz w:val="16"/>
                <w:szCs w:val="16"/>
              </w:rPr>
              <w:instrText xml:space="preserve"> \* MERGEFORMAT </w:instrText>
            </w:r>
            <w:r w:rsidRPr="00D00266">
              <w:rPr>
                <w:sz w:val="16"/>
                <w:szCs w:val="16"/>
              </w:rPr>
            </w:r>
            <w:r w:rsidRPr="00D00266">
              <w:rPr>
                <w:sz w:val="16"/>
                <w:szCs w:val="16"/>
              </w:rPr>
              <w:fldChar w:fldCharType="separate"/>
            </w:r>
            <w:r w:rsidR="00564E5C" w:rsidRPr="00564E5C">
              <w:rPr>
                <w:sz w:val="16"/>
                <w:szCs w:val="16"/>
              </w:rPr>
              <w:t>Appendix B – Inventory Report</w:t>
            </w:r>
            <w:r w:rsidRPr="00D00266">
              <w:rPr>
                <w:sz w:val="16"/>
                <w:szCs w:val="16"/>
              </w:rPr>
              <w:fldChar w:fldCharType="end"/>
            </w:r>
          </w:p>
        </w:tc>
      </w:tr>
      <w:tr w:rsidR="009E73CF" w:rsidRPr="00962F9F" w14:paraId="59E30137" w14:textId="77777777" w:rsidTr="00FA0207">
        <w:tc>
          <w:tcPr>
            <w:tcW w:w="539" w:type="dxa"/>
          </w:tcPr>
          <w:p w14:paraId="650CCAB5" w14:textId="61DDD813" w:rsidR="009E73CF" w:rsidRPr="009E73CF" w:rsidRDefault="009E73CF" w:rsidP="00FA0207">
            <w:pPr>
              <w:spacing w:after="0"/>
              <w:jc w:val="left"/>
              <w:rPr>
                <w:sz w:val="16"/>
                <w:szCs w:val="16"/>
              </w:rPr>
            </w:pPr>
            <w:r w:rsidRPr="009E73CF">
              <w:rPr>
                <w:sz w:val="16"/>
                <w:szCs w:val="16"/>
              </w:rPr>
              <w:lastRenderedPageBreak/>
              <w:t>6</w:t>
            </w:r>
          </w:p>
        </w:tc>
        <w:tc>
          <w:tcPr>
            <w:tcW w:w="1172" w:type="dxa"/>
          </w:tcPr>
          <w:p w14:paraId="36C962C9" w14:textId="3FE920F9" w:rsidR="009E73CF" w:rsidRPr="009E73CF" w:rsidRDefault="009E73CF" w:rsidP="00FA0207">
            <w:pPr>
              <w:spacing w:after="0"/>
              <w:jc w:val="left"/>
              <w:rPr>
                <w:sz w:val="16"/>
                <w:szCs w:val="16"/>
              </w:rPr>
            </w:pPr>
            <w:r>
              <w:rPr>
                <w:sz w:val="16"/>
                <w:szCs w:val="16"/>
              </w:rPr>
              <w:t>LCA</w:t>
            </w:r>
          </w:p>
        </w:tc>
        <w:tc>
          <w:tcPr>
            <w:tcW w:w="3460" w:type="dxa"/>
          </w:tcPr>
          <w:p w14:paraId="45014892" w14:textId="77777777" w:rsidR="009E73CF" w:rsidRPr="009E73CF" w:rsidRDefault="009E73CF" w:rsidP="00FA0207">
            <w:pPr>
              <w:spacing w:after="0"/>
              <w:jc w:val="left"/>
              <w:rPr>
                <w:sz w:val="16"/>
                <w:szCs w:val="16"/>
              </w:rPr>
            </w:pPr>
            <w:r w:rsidRPr="009E73CF">
              <w:rPr>
                <w:sz w:val="16"/>
                <w:szCs w:val="16"/>
              </w:rPr>
              <w:t>The results section could be enhanced to provide additional important information, including identification of:</w:t>
            </w:r>
          </w:p>
          <w:p w14:paraId="5D49D5FD" w14:textId="22F1C290" w:rsidR="009E73CF" w:rsidRPr="009E73CF" w:rsidRDefault="00521581" w:rsidP="00FA0207">
            <w:pPr>
              <w:spacing w:after="0"/>
              <w:jc w:val="left"/>
              <w:rPr>
                <w:sz w:val="16"/>
                <w:szCs w:val="16"/>
              </w:rPr>
            </w:pPr>
            <w:r>
              <w:rPr>
                <w:sz w:val="16"/>
                <w:szCs w:val="16"/>
              </w:rPr>
              <w:t xml:space="preserve">• </w:t>
            </w:r>
            <w:r w:rsidR="009E73CF" w:rsidRPr="009E73CF">
              <w:rPr>
                <w:sz w:val="16"/>
                <w:szCs w:val="16"/>
              </w:rPr>
              <w:t>the key uncertainties – i.e. those that have the greatest impact on results when set at the extremes of their uncertainty range</w:t>
            </w:r>
          </w:p>
          <w:p w14:paraId="74A339A7" w14:textId="57D2898D" w:rsidR="009E73CF" w:rsidRPr="009E73CF" w:rsidRDefault="00521581" w:rsidP="00FA0207">
            <w:pPr>
              <w:spacing w:after="0"/>
              <w:jc w:val="left"/>
              <w:rPr>
                <w:sz w:val="16"/>
                <w:szCs w:val="16"/>
              </w:rPr>
            </w:pPr>
            <w:r>
              <w:rPr>
                <w:sz w:val="16"/>
                <w:szCs w:val="16"/>
              </w:rPr>
              <w:t xml:space="preserve">• </w:t>
            </w:r>
            <w:r w:rsidR="009E73CF" w:rsidRPr="009E73CF">
              <w:rPr>
                <w:sz w:val="16"/>
                <w:szCs w:val="16"/>
              </w:rPr>
              <w:t>the materials that provide the most benefit, both in general and per unit mass</w:t>
            </w:r>
          </w:p>
          <w:p w14:paraId="34E7A757" w14:textId="25861B15" w:rsidR="009E73CF" w:rsidRPr="009E73CF" w:rsidRDefault="00521581" w:rsidP="00FA0207">
            <w:pPr>
              <w:spacing w:after="0"/>
              <w:jc w:val="left"/>
              <w:rPr>
                <w:sz w:val="16"/>
                <w:szCs w:val="16"/>
              </w:rPr>
            </w:pPr>
            <w:r>
              <w:rPr>
                <w:sz w:val="16"/>
                <w:szCs w:val="16"/>
              </w:rPr>
              <w:t xml:space="preserve">• </w:t>
            </w:r>
            <w:r w:rsidR="009E73CF" w:rsidRPr="009E73CF">
              <w:rPr>
                <w:sz w:val="16"/>
                <w:szCs w:val="16"/>
              </w:rPr>
              <w:t>the processes responsible for the greatest burdens or benefits</w:t>
            </w:r>
          </w:p>
          <w:p w14:paraId="66DF9B79" w14:textId="2E44419B" w:rsidR="009E73CF" w:rsidRPr="009E73CF" w:rsidRDefault="00521581" w:rsidP="00FA0207">
            <w:pPr>
              <w:spacing w:after="0"/>
              <w:jc w:val="left"/>
              <w:rPr>
                <w:sz w:val="16"/>
                <w:szCs w:val="16"/>
              </w:rPr>
            </w:pPr>
            <w:r>
              <w:rPr>
                <w:sz w:val="16"/>
                <w:szCs w:val="16"/>
              </w:rPr>
              <w:t xml:space="preserve">• </w:t>
            </w:r>
            <w:r w:rsidR="009E73CF" w:rsidRPr="009E73CF">
              <w:rPr>
                <w:sz w:val="16"/>
                <w:szCs w:val="16"/>
              </w:rPr>
              <w:t>separate emphasis on the organic and comingled streams, to provide support for decisions by particular councils on the environmental costs and benefits or organics recovery.</w:t>
            </w:r>
          </w:p>
        </w:tc>
        <w:tc>
          <w:tcPr>
            <w:tcW w:w="3375" w:type="dxa"/>
          </w:tcPr>
          <w:p w14:paraId="78AE200E" w14:textId="77777777" w:rsidR="00862874" w:rsidRDefault="00862874" w:rsidP="00FA0207">
            <w:pPr>
              <w:spacing w:after="0"/>
              <w:jc w:val="left"/>
              <w:rPr>
                <w:sz w:val="16"/>
                <w:szCs w:val="16"/>
              </w:rPr>
            </w:pPr>
            <w:r>
              <w:rPr>
                <w:sz w:val="16"/>
                <w:szCs w:val="16"/>
              </w:rPr>
              <w:t>Agree. Have added sections addressing key uncertainties.</w:t>
            </w:r>
          </w:p>
          <w:p w14:paraId="7482CB0C" w14:textId="77777777" w:rsidR="00862874" w:rsidRDefault="00862874" w:rsidP="00FA0207">
            <w:pPr>
              <w:spacing w:after="0"/>
              <w:jc w:val="left"/>
              <w:rPr>
                <w:sz w:val="16"/>
                <w:szCs w:val="16"/>
              </w:rPr>
            </w:pPr>
            <w:r>
              <w:rPr>
                <w:sz w:val="16"/>
                <w:szCs w:val="16"/>
              </w:rPr>
              <w:t>Each indicator now discusses impacts by process and by material allowing key process and materials to be identified.</w:t>
            </w:r>
          </w:p>
          <w:p w14:paraId="22607938" w14:textId="77777777" w:rsidR="00862874" w:rsidRDefault="00862874" w:rsidP="00FA0207">
            <w:pPr>
              <w:spacing w:after="0"/>
              <w:jc w:val="left"/>
              <w:rPr>
                <w:sz w:val="16"/>
                <w:szCs w:val="16"/>
              </w:rPr>
            </w:pPr>
          </w:p>
          <w:p w14:paraId="2B5C64B9" w14:textId="5E638838" w:rsidR="009E73CF" w:rsidRPr="009E73CF" w:rsidRDefault="00862874" w:rsidP="00FA0207">
            <w:pPr>
              <w:spacing w:after="0"/>
              <w:jc w:val="left"/>
              <w:rPr>
                <w:sz w:val="16"/>
                <w:szCs w:val="16"/>
              </w:rPr>
            </w:pPr>
            <w:r>
              <w:rPr>
                <w:sz w:val="16"/>
                <w:szCs w:val="16"/>
              </w:rPr>
              <w:t>We have deliberately integrated garden and green waste into the discussion, although it can also be assessed on its own. We believe there is sufficient transparency, especially when combined with dedicated sensitivity studies to allow interested readers to assess the organics program. For this reason it is left as is.</w:t>
            </w:r>
          </w:p>
        </w:tc>
        <w:tc>
          <w:tcPr>
            <w:tcW w:w="1343" w:type="dxa"/>
          </w:tcPr>
          <w:p w14:paraId="1290D90A" w14:textId="352FCDD7" w:rsidR="009E73CF" w:rsidRPr="009E73CF" w:rsidRDefault="00862874" w:rsidP="00862874">
            <w:pPr>
              <w:spacing w:after="0"/>
              <w:jc w:val="left"/>
              <w:rPr>
                <w:sz w:val="16"/>
                <w:szCs w:val="16"/>
              </w:rPr>
            </w:pPr>
            <w:r>
              <w:rPr>
                <w:sz w:val="16"/>
                <w:szCs w:val="16"/>
              </w:rPr>
              <w:fldChar w:fldCharType="begin"/>
            </w:r>
            <w:r>
              <w:rPr>
                <w:sz w:val="16"/>
                <w:szCs w:val="16"/>
              </w:rPr>
              <w:instrText xml:space="preserve"> REF _Ref363070326 \r \h </w:instrText>
            </w:r>
            <w:r>
              <w:rPr>
                <w:sz w:val="16"/>
                <w:szCs w:val="16"/>
              </w:rPr>
            </w:r>
            <w:r>
              <w:rPr>
                <w:sz w:val="16"/>
                <w:szCs w:val="16"/>
              </w:rPr>
              <w:fldChar w:fldCharType="separate"/>
            </w:r>
            <w:r w:rsidR="00564E5C">
              <w:rPr>
                <w:sz w:val="16"/>
                <w:szCs w:val="16"/>
              </w:rPr>
              <w:t>10</w:t>
            </w:r>
            <w:r>
              <w:rPr>
                <w:sz w:val="16"/>
                <w:szCs w:val="16"/>
              </w:rPr>
              <w:fldChar w:fldCharType="end"/>
            </w:r>
          </w:p>
        </w:tc>
      </w:tr>
      <w:tr w:rsidR="009E73CF" w:rsidRPr="00962F9F" w14:paraId="263F3EDD" w14:textId="77777777" w:rsidTr="00FA0207">
        <w:tc>
          <w:tcPr>
            <w:tcW w:w="539" w:type="dxa"/>
          </w:tcPr>
          <w:p w14:paraId="74B277BD" w14:textId="58B49261" w:rsidR="009E73CF" w:rsidRPr="009E73CF" w:rsidRDefault="009E73CF" w:rsidP="00FA0207">
            <w:pPr>
              <w:spacing w:after="0"/>
              <w:jc w:val="left"/>
              <w:rPr>
                <w:sz w:val="16"/>
                <w:szCs w:val="16"/>
              </w:rPr>
            </w:pPr>
            <w:r w:rsidRPr="009E73CF">
              <w:rPr>
                <w:sz w:val="16"/>
                <w:szCs w:val="16"/>
              </w:rPr>
              <w:t>7</w:t>
            </w:r>
          </w:p>
        </w:tc>
        <w:tc>
          <w:tcPr>
            <w:tcW w:w="1172" w:type="dxa"/>
          </w:tcPr>
          <w:p w14:paraId="7DA888EA" w14:textId="2F7E986A" w:rsidR="009E73CF" w:rsidRPr="009E73CF" w:rsidRDefault="009E73CF" w:rsidP="00FA0207">
            <w:pPr>
              <w:spacing w:after="0"/>
              <w:jc w:val="left"/>
              <w:rPr>
                <w:sz w:val="16"/>
                <w:szCs w:val="16"/>
              </w:rPr>
            </w:pPr>
            <w:r>
              <w:rPr>
                <w:sz w:val="16"/>
                <w:szCs w:val="16"/>
              </w:rPr>
              <w:t>LCA</w:t>
            </w:r>
          </w:p>
        </w:tc>
        <w:tc>
          <w:tcPr>
            <w:tcW w:w="3460" w:type="dxa"/>
          </w:tcPr>
          <w:p w14:paraId="2D1BC06C" w14:textId="77777777" w:rsidR="009E73CF" w:rsidRPr="009E73CF" w:rsidRDefault="009E73CF" w:rsidP="00FA0207">
            <w:pPr>
              <w:spacing w:after="0"/>
              <w:jc w:val="left"/>
              <w:rPr>
                <w:sz w:val="16"/>
                <w:szCs w:val="16"/>
              </w:rPr>
            </w:pPr>
            <w:r w:rsidRPr="009E73CF">
              <w:rPr>
                <w:sz w:val="16"/>
                <w:szCs w:val="16"/>
              </w:rPr>
              <w:t xml:space="preserve">Sensitivity analysis should be undertaken in relation to key uncertainties – i.e. those that have the greatest impact on results when set at the extremes of their uncertainty range. I think that’s what has been done but it should be stated and demonstrated. </w:t>
            </w:r>
          </w:p>
          <w:p w14:paraId="1CB1C328" w14:textId="77777777" w:rsidR="009E73CF" w:rsidRPr="009E73CF" w:rsidRDefault="009E73CF" w:rsidP="00FA0207">
            <w:pPr>
              <w:spacing w:after="0"/>
              <w:jc w:val="left"/>
              <w:rPr>
                <w:sz w:val="16"/>
                <w:szCs w:val="16"/>
              </w:rPr>
            </w:pPr>
            <w:r w:rsidRPr="009E73CF">
              <w:rPr>
                <w:sz w:val="16"/>
                <w:szCs w:val="16"/>
              </w:rPr>
              <w:t>It was not always clear to me whether the sensitivity analysis was undertaken across the entire functional unit or for the relevant materials only. For example, whether the sensitivity analysis on the proportion of glass cullet recovered is for glass or for all materials. I suggest that the most reasonable approach would be to undertake the analysis focusing on relevant materials, then summarise the impact on all materials.</w:t>
            </w:r>
          </w:p>
          <w:p w14:paraId="6A9899CA" w14:textId="77777777" w:rsidR="009E73CF" w:rsidRPr="009E73CF" w:rsidRDefault="009E73CF" w:rsidP="00FA0207">
            <w:pPr>
              <w:spacing w:after="0"/>
              <w:jc w:val="left"/>
              <w:rPr>
                <w:sz w:val="16"/>
                <w:szCs w:val="16"/>
              </w:rPr>
            </w:pPr>
            <w:r w:rsidRPr="009E73CF">
              <w:rPr>
                <w:sz w:val="16"/>
                <w:szCs w:val="16"/>
              </w:rPr>
              <w:t>These and other issues could be addressed in an introduction for section 11.2 that: defines ‘sensitivity analysis’; describes the approach taken for determining which aspects were selected for sensitivity analysis; lists the aspects selected for sensitivity testing and the reasons for their selection; defines the ‘baseline’; describes the analytical approach; and describes the method for reporting the variations in results relative to the baseline.</w:t>
            </w:r>
          </w:p>
          <w:p w14:paraId="45997191" w14:textId="7B50C66D" w:rsidR="009E73CF" w:rsidRPr="009E73CF" w:rsidRDefault="009E73CF" w:rsidP="00FA0207">
            <w:pPr>
              <w:spacing w:after="0"/>
              <w:jc w:val="left"/>
              <w:rPr>
                <w:sz w:val="16"/>
                <w:szCs w:val="16"/>
              </w:rPr>
            </w:pPr>
            <w:r w:rsidRPr="009E73CF">
              <w:rPr>
                <w:sz w:val="16"/>
                <w:szCs w:val="16"/>
              </w:rPr>
              <w:t>The bottom half of each table (‘Percentage of the baseline’) appears to refer to benefits of the baseline. Is this reporting approach consistent with the discussion on the ‘signing convention’ given on p.36? If it is to be maintained, I suggest the label is clarified.</w:t>
            </w:r>
          </w:p>
        </w:tc>
        <w:tc>
          <w:tcPr>
            <w:tcW w:w="3375" w:type="dxa"/>
          </w:tcPr>
          <w:p w14:paraId="04B21084" w14:textId="11A67B7B" w:rsidR="00327CD7" w:rsidRDefault="00327CD7" w:rsidP="00FA0207">
            <w:pPr>
              <w:spacing w:after="0"/>
              <w:jc w:val="left"/>
              <w:rPr>
                <w:sz w:val="16"/>
                <w:szCs w:val="16"/>
              </w:rPr>
            </w:pPr>
            <w:r>
              <w:rPr>
                <w:sz w:val="16"/>
                <w:szCs w:val="16"/>
              </w:rPr>
              <w:t>Added introduction to the sensitivity analysis section.</w:t>
            </w:r>
          </w:p>
          <w:p w14:paraId="5FEF93EE" w14:textId="77777777" w:rsidR="00327CD7" w:rsidRDefault="00327CD7" w:rsidP="00FA0207">
            <w:pPr>
              <w:spacing w:after="0"/>
              <w:jc w:val="left"/>
              <w:rPr>
                <w:sz w:val="16"/>
                <w:szCs w:val="16"/>
              </w:rPr>
            </w:pPr>
          </w:p>
          <w:p w14:paraId="2AA6AB8F" w14:textId="60AB0D21" w:rsidR="009E73CF" w:rsidRPr="009E73CF" w:rsidRDefault="00327CD7" w:rsidP="00FA0207">
            <w:pPr>
              <w:spacing w:after="0"/>
              <w:jc w:val="left"/>
              <w:rPr>
                <w:sz w:val="16"/>
                <w:szCs w:val="16"/>
              </w:rPr>
            </w:pPr>
            <w:r>
              <w:rPr>
                <w:sz w:val="16"/>
                <w:szCs w:val="16"/>
              </w:rPr>
              <w:t xml:space="preserve">Have added </w:t>
            </w:r>
            <w:r w:rsidR="00862874">
              <w:rPr>
                <w:sz w:val="16"/>
                <w:szCs w:val="16"/>
              </w:rPr>
              <w:t>discussion by material (where relevant) and by system. This improves the analysis, which is also added to the conclusions and exec sum.</w:t>
            </w:r>
          </w:p>
        </w:tc>
        <w:tc>
          <w:tcPr>
            <w:tcW w:w="1343" w:type="dxa"/>
          </w:tcPr>
          <w:p w14:paraId="5710454B" w14:textId="4D8B851E" w:rsidR="009E73CF" w:rsidRPr="009E73CF" w:rsidRDefault="00862874" w:rsidP="00FA0207">
            <w:pPr>
              <w:spacing w:after="0"/>
              <w:jc w:val="left"/>
              <w:rPr>
                <w:sz w:val="16"/>
                <w:szCs w:val="16"/>
              </w:rPr>
            </w:pPr>
            <w:r>
              <w:rPr>
                <w:sz w:val="16"/>
                <w:szCs w:val="16"/>
              </w:rPr>
              <w:fldChar w:fldCharType="begin"/>
            </w:r>
            <w:r>
              <w:rPr>
                <w:sz w:val="16"/>
                <w:szCs w:val="16"/>
              </w:rPr>
              <w:instrText xml:space="preserve"> REF _Ref363069809 \r \h </w:instrText>
            </w:r>
            <w:r>
              <w:rPr>
                <w:sz w:val="16"/>
                <w:szCs w:val="16"/>
              </w:rPr>
            </w:r>
            <w:r>
              <w:rPr>
                <w:sz w:val="16"/>
                <w:szCs w:val="16"/>
              </w:rPr>
              <w:fldChar w:fldCharType="separate"/>
            </w:r>
            <w:r w:rsidR="00564E5C">
              <w:rPr>
                <w:sz w:val="16"/>
                <w:szCs w:val="16"/>
              </w:rPr>
              <w:t>0</w:t>
            </w:r>
            <w:r>
              <w:rPr>
                <w:sz w:val="16"/>
                <w:szCs w:val="16"/>
              </w:rPr>
              <w:fldChar w:fldCharType="end"/>
            </w:r>
          </w:p>
        </w:tc>
      </w:tr>
      <w:tr w:rsidR="009E73CF" w:rsidRPr="00962F9F" w14:paraId="3CA20159" w14:textId="77777777" w:rsidTr="00FA0207">
        <w:tc>
          <w:tcPr>
            <w:tcW w:w="539" w:type="dxa"/>
          </w:tcPr>
          <w:p w14:paraId="635B7E59" w14:textId="3E3059BE" w:rsidR="009E73CF" w:rsidRPr="009E73CF" w:rsidRDefault="009E73CF" w:rsidP="00FA0207">
            <w:pPr>
              <w:spacing w:after="0"/>
              <w:jc w:val="left"/>
              <w:rPr>
                <w:sz w:val="16"/>
                <w:szCs w:val="16"/>
              </w:rPr>
            </w:pPr>
            <w:r w:rsidRPr="009E73CF">
              <w:rPr>
                <w:sz w:val="16"/>
                <w:szCs w:val="16"/>
              </w:rPr>
              <w:t>8</w:t>
            </w:r>
          </w:p>
        </w:tc>
        <w:tc>
          <w:tcPr>
            <w:tcW w:w="1172" w:type="dxa"/>
          </w:tcPr>
          <w:p w14:paraId="480B02E9" w14:textId="3F5ACFDE" w:rsidR="009E73CF" w:rsidRPr="009E73CF" w:rsidRDefault="009E73CF" w:rsidP="00FA0207">
            <w:pPr>
              <w:spacing w:after="0"/>
              <w:jc w:val="left"/>
              <w:rPr>
                <w:sz w:val="16"/>
                <w:szCs w:val="16"/>
              </w:rPr>
            </w:pPr>
            <w:r>
              <w:rPr>
                <w:sz w:val="16"/>
                <w:szCs w:val="16"/>
              </w:rPr>
              <w:t>LCA</w:t>
            </w:r>
          </w:p>
        </w:tc>
        <w:tc>
          <w:tcPr>
            <w:tcW w:w="3460" w:type="dxa"/>
          </w:tcPr>
          <w:p w14:paraId="697B71AB" w14:textId="1E0E03B6" w:rsidR="009E73CF" w:rsidRPr="009E73CF" w:rsidRDefault="009E73CF" w:rsidP="00FA0207">
            <w:pPr>
              <w:spacing w:after="0"/>
              <w:jc w:val="left"/>
              <w:rPr>
                <w:sz w:val="16"/>
                <w:szCs w:val="16"/>
              </w:rPr>
            </w:pPr>
            <w:r w:rsidRPr="009E73CF">
              <w:rPr>
                <w:sz w:val="16"/>
                <w:szCs w:val="16"/>
              </w:rPr>
              <w:t>The reports would benefit from an edit to improve readability and check for typographic errors etc. I have submitted by email marked-up versions of the two documents with various minor comments of this nature.</w:t>
            </w:r>
          </w:p>
        </w:tc>
        <w:tc>
          <w:tcPr>
            <w:tcW w:w="3375" w:type="dxa"/>
          </w:tcPr>
          <w:p w14:paraId="3FC4A2D5" w14:textId="49B319AF" w:rsidR="009E73CF" w:rsidRPr="009E73CF" w:rsidRDefault="00AA65B4" w:rsidP="00FA0207">
            <w:pPr>
              <w:spacing w:after="0"/>
              <w:jc w:val="left"/>
              <w:rPr>
                <w:sz w:val="16"/>
                <w:szCs w:val="16"/>
              </w:rPr>
            </w:pPr>
            <w:r>
              <w:rPr>
                <w:sz w:val="16"/>
                <w:szCs w:val="16"/>
              </w:rPr>
              <w:t>A complete review of both reports has been undertaken by the authors. Agree with statement as many adjustments have been made.</w:t>
            </w:r>
          </w:p>
        </w:tc>
        <w:tc>
          <w:tcPr>
            <w:tcW w:w="1343" w:type="dxa"/>
          </w:tcPr>
          <w:p w14:paraId="75A7ACED" w14:textId="7B42E778" w:rsidR="009E73CF" w:rsidRPr="009E73CF" w:rsidRDefault="00AA65B4" w:rsidP="00FA0207">
            <w:pPr>
              <w:spacing w:after="0"/>
              <w:jc w:val="left"/>
              <w:rPr>
                <w:sz w:val="16"/>
                <w:szCs w:val="16"/>
              </w:rPr>
            </w:pPr>
            <w:r>
              <w:rPr>
                <w:sz w:val="16"/>
                <w:szCs w:val="16"/>
              </w:rPr>
              <w:t>Entire report</w:t>
            </w:r>
          </w:p>
        </w:tc>
      </w:tr>
      <w:tr w:rsidR="009E73CF" w:rsidRPr="00962F9F" w14:paraId="3F6D64D6" w14:textId="77777777" w:rsidTr="00FA0207">
        <w:tc>
          <w:tcPr>
            <w:tcW w:w="539" w:type="dxa"/>
          </w:tcPr>
          <w:p w14:paraId="2E1A99E9" w14:textId="6B281D64" w:rsidR="009E73CF" w:rsidRPr="009E73CF" w:rsidRDefault="009E73CF" w:rsidP="00FA0207">
            <w:pPr>
              <w:spacing w:after="0"/>
              <w:jc w:val="left"/>
              <w:rPr>
                <w:sz w:val="16"/>
                <w:szCs w:val="16"/>
              </w:rPr>
            </w:pPr>
            <w:r w:rsidRPr="009E73CF">
              <w:rPr>
                <w:sz w:val="16"/>
                <w:szCs w:val="16"/>
              </w:rPr>
              <w:t>9</w:t>
            </w:r>
          </w:p>
        </w:tc>
        <w:tc>
          <w:tcPr>
            <w:tcW w:w="1172" w:type="dxa"/>
          </w:tcPr>
          <w:p w14:paraId="4D8F4CAC" w14:textId="7D147BFE" w:rsidR="009E73CF" w:rsidRPr="009E73CF" w:rsidRDefault="009E73CF" w:rsidP="00FA0207">
            <w:pPr>
              <w:spacing w:after="0"/>
              <w:jc w:val="left"/>
              <w:rPr>
                <w:sz w:val="16"/>
                <w:szCs w:val="16"/>
              </w:rPr>
            </w:pPr>
            <w:r>
              <w:rPr>
                <w:sz w:val="16"/>
                <w:szCs w:val="16"/>
              </w:rPr>
              <w:t>LCA</w:t>
            </w:r>
          </w:p>
        </w:tc>
        <w:tc>
          <w:tcPr>
            <w:tcW w:w="3460" w:type="dxa"/>
          </w:tcPr>
          <w:p w14:paraId="0D7D31D6" w14:textId="0D8D26CC" w:rsidR="009E73CF" w:rsidRPr="009E73CF" w:rsidRDefault="009E73CF" w:rsidP="00FA0207">
            <w:pPr>
              <w:spacing w:after="0"/>
              <w:jc w:val="left"/>
              <w:rPr>
                <w:sz w:val="16"/>
                <w:szCs w:val="16"/>
              </w:rPr>
            </w:pPr>
            <w:r w:rsidRPr="009E73CF">
              <w:rPr>
                <w:sz w:val="16"/>
                <w:szCs w:val="16"/>
              </w:rPr>
              <w:t xml:space="preserve">Clarification is needed as to how recycling from landfills (e.g. metals) is considered in both the recycling and alternative systems, </w:t>
            </w:r>
            <w:r w:rsidRPr="009E73CF">
              <w:rPr>
                <w:sz w:val="16"/>
                <w:szCs w:val="16"/>
              </w:rPr>
              <w:lastRenderedPageBreak/>
              <w:t>including a rationale.</w:t>
            </w:r>
          </w:p>
        </w:tc>
        <w:tc>
          <w:tcPr>
            <w:tcW w:w="3375" w:type="dxa"/>
          </w:tcPr>
          <w:p w14:paraId="796E119D" w14:textId="77777777" w:rsidR="000D6736" w:rsidRDefault="000D6736" w:rsidP="000D6736">
            <w:pPr>
              <w:spacing w:after="0"/>
              <w:jc w:val="left"/>
              <w:rPr>
                <w:sz w:val="16"/>
                <w:szCs w:val="16"/>
              </w:rPr>
            </w:pPr>
            <w:r>
              <w:rPr>
                <w:sz w:val="16"/>
                <w:szCs w:val="16"/>
              </w:rPr>
              <w:lastRenderedPageBreak/>
              <w:t xml:space="preserve">Recycling from landfills is not assumed. It is assumed that once placed in the kerbside bin waste will move to the face of the landfill </w:t>
            </w:r>
            <w:r>
              <w:rPr>
                <w:sz w:val="16"/>
                <w:szCs w:val="16"/>
              </w:rPr>
              <w:lastRenderedPageBreak/>
              <w:t>without further review. An inspection of the operation of the landfill facility at Hallam Rd, Hampton Park, showed that waste trucks moved directly to the landfill face where loads were emptied, then waste was bulldozed and compacted. The operation was so intense as to preclude sorting, as is the case for trailer drop-off operations.</w:t>
            </w:r>
          </w:p>
          <w:p w14:paraId="16ED9FEF" w14:textId="5339B1CE" w:rsidR="009E73CF" w:rsidRPr="009E73CF" w:rsidRDefault="000D6736" w:rsidP="000D6736">
            <w:pPr>
              <w:spacing w:after="0"/>
              <w:jc w:val="left"/>
              <w:rPr>
                <w:sz w:val="16"/>
                <w:szCs w:val="16"/>
              </w:rPr>
            </w:pPr>
            <w:r>
              <w:rPr>
                <w:sz w:val="16"/>
                <w:szCs w:val="16"/>
              </w:rPr>
              <w:t>The assumption is therefore that no pre-sort occurs at landfill. Words to this affect have been added to the report.</w:t>
            </w:r>
          </w:p>
        </w:tc>
        <w:tc>
          <w:tcPr>
            <w:tcW w:w="1343" w:type="dxa"/>
          </w:tcPr>
          <w:p w14:paraId="351D485A" w14:textId="51AB8992" w:rsidR="009E73CF" w:rsidRPr="009E73CF" w:rsidRDefault="002A0763" w:rsidP="00FA0207">
            <w:pPr>
              <w:spacing w:after="0"/>
              <w:jc w:val="left"/>
              <w:rPr>
                <w:sz w:val="16"/>
                <w:szCs w:val="16"/>
              </w:rPr>
            </w:pPr>
            <w:r>
              <w:rPr>
                <w:sz w:val="16"/>
                <w:szCs w:val="16"/>
              </w:rPr>
              <w:lastRenderedPageBreak/>
              <w:t xml:space="preserve">Added in </w:t>
            </w:r>
            <w:r>
              <w:rPr>
                <w:sz w:val="16"/>
                <w:szCs w:val="16"/>
              </w:rPr>
              <w:fldChar w:fldCharType="begin"/>
            </w:r>
            <w:r>
              <w:rPr>
                <w:sz w:val="16"/>
                <w:szCs w:val="16"/>
              </w:rPr>
              <w:instrText xml:space="preserve"> REF _Ref363067792 \r \h </w:instrText>
            </w:r>
            <w:r>
              <w:rPr>
                <w:sz w:val="16"/>
                <w:szCs w:val="16"/>
              </w:rPr>
            </w:r>
            <w:r>
              <w:rPr>
                <w:sz w:val="16"/>
                <w:szCs w:val="16"/>
              </w:rPr>
              <w:fldChar w:fldCharType="separate"/>
            </w:r>
            <w:r w:rsidR="00564E5C">
              <w:rPr>
                <w:sz w:val="16"/>
                <w:szCs w:val="16"/>
              </w:rPr>
              <w:t>8.1.2</w:t>
            </w:r>
            <w:r>
              <w:rPr>
                <w:sz w:val="16"/>
                <w:szCs w:val="16"/>
              </w:rPr>
              <w:fldChar w:fldCharType="end"/>
            </w:r>
          </w:p>
        </w:tc>
      </w:tr>
      <w:tr w:rsidR="009E73CF" w:rsidRPr="00962F9F" w14:paraId="54B33EA6" w14:textId="77777777" w:rsidTr="00FA0207">
        <w:tc>
          <w:tcPr>
            <w:tcW w:w="539" w:type="dxa"/>
          </w:tcPr>
          <w:p w14:paraId="62C22BCC" w14:textId="65D45436" w:rsidR="009E73CF" w:rsidRPr="009E73CF" w:rsidRDefault="009E73CF" w:rsidP="00FA0207">
            <w:pPr>
              <w:spacing w:after="0"/>
              <w:jc w:val="left"/>
              <w:rPr>
                <w:sz w:val="16"/>
                <w:szCs w:val="16"/>
              </w:rPr>
            </w:pPr>
            <w:r w:rsidRPr="009E73CF">
              <w:rPr>
                <w:sz w:val="16"/>
                <w:szCs w:val="16"/>
              </w:rPr>
              <w:lastRenderedPageBreak/>
              <w:t>10</w:t>
            </w:r>
          </w:p>
        </w:tc>
        <w:tc>
          <w:tcPr>
            <w:tcW w:w="1172" w:type="dxa"/>
          </w:tcPr>
          <w:p w14:paraId="4E172AF1" w14:textId="64F61B17" w:rsidR="009E73CF" w:rsidRPr="009E73CF" w:rsidRDefault="009E73CF" w:rsidP="00FA0207">
            <w:pPr>
              <w:spacing w:after="0"/>
              <w:jc w:val="left"/>
              <w:rPr>
                <w:sz w:val="16"/>
                <w:szCs w:val="16"/>
              </w:rPr>
            </w:pPr>
            <w:r>
              <w:rPr>
                <w:sz w:val="16"/>
                <w:szCs w:val="16"/>
              </w:rPr>
              <w:t>LCA</w:t>
            </w:r>
          </w:p>
        </w:tc>
        <w:tc>
          <w:tcPr>
            <w:tcW w:w="3460" w:type="dxa"/>
          </w:tcPr>
          <w:p w14:paraId="69D746BA" w14:textId="7B4019E8" w:rsidR="009E73CF" w:rsidRPr="009E73CF" w:rsidRDefault="009E73CF" w:rsidP="00FA0207">
            <w:pPr>
              <w:spacing w:after="0"/>
              <w:jc w:val="left"/>
              <w:rPr>
                <w:sz w:val="16"/>
                <w:szCs w:val="16"/>
              </w:rPr>
            </w:pPr>
            <w:r w:rsidRPr="009E73CF">
              <w:rPr>
                <w:sz w:val="16"/>
                <w:szCs w:val="16"/>
              </w:rPr>
              <w:t>I suggest the description of the indicators is enhanced to clarify that actual impacts may depend on issues such as whether or not the emission occurs in a city, and that they may not be experienced directly by Victorians.</w:t>
            </w:r>
          </w:p>
        </w:tc>
        <w:tc>
          <w:tcPr>
            <w:tcW w:w="3375" w:type="dxa"/>
          </w:tcPr>
          <w:p w14:paraId="02C12BFC" w14:textId="577DA615" w:rsidR="009E73CF" w:rsidRPr="009E73CF" w:rsidRDefault="005F3C7F" w:rsidP="00FA0207">
            <w:pPr>
              <w:spacing w:after="0"/>
              <w:jc w:val="left"/>
              <w:rPr>
                <w:sz w:val="16"/>
                <w:szCs w:val="16"/>
              </w:rPr>
            </w:pPr>
            <w:r>
              <w:rPr>
                <w:sz w:val="16"/>
                <w:szCs w:val="16"/>
              </w:rPr>
              <w:t>Added qualifying remarks to IAM section</w:t>
            </w:r>
          </w:p>
        </w:tc>
        <w:tc>
          <w:tcPr>
            <w:tcW w:w="1343" w:type="dxa"/>
          </w:tcPr>
          <w:p w14:paraId="47C110ED" w14:textId="75F01FE7" w:rsidR="009E73CF" w:rsidRPr="009E73CF" w:rsidRDefault="005F3C7F" w:rsidP="00FA0207">
            <w:pPr>
              <w:spacing w:after="0"/>
              <w:jc w:val="left"/>
              <w:rPr>
                <w:sz w:val="16"/>
                <w:szCs w:val="16"/>
              </w:rPr>
            </w:pPr>
            <w:r>
              <w:rPr>
                <w:sz w:val="16"/>
                <w:szCs w:val="16"/>
              </w:rPr>
              <w:fldChar w:fldCharType="begin"/>
            </w:r>
            <w:r>
              <w:rPr>
                <w:sz w:val="16"/>
                <w:szCs w:val="16"/>
              </w:rPr>
              <w:instrText xml:space="preserve"> REF _Ref363068978 \r \h </w:instrText>
            </w:r>
            <w:r>
              <w:rPr>
                <w:sz w:val="16"/>
                <w:szCs w:val="16"/>
              </w:rPr>
            </w:r>
            <w:r>
              <w:rPr>
                <w:sz w:val="16"/>
                <w:szCs w:val="16"/>
              </w:rPr>
              <w:fldChar w:fldCharType="separate"/>
            </w:r>
            <w:r w:rsidR="00564E5C">
              <w:rPr>
                <w:sz w:val="16"/>
                <w:szCs w:val="16"/>
              </w:rPr>
              <w:t>5.8</w:t>
            </w:r>
            <w:r>
              <w:rPr>
                <w:sz w:val="16"/>
                <w:szCs w:val="16"/>
              </w:rPr>
              <w:fldChar w:fldCharType="end"/>
            </w:r>
          </w:p>
        </w:tc>
      </w:tr>
      <w:tr w:rsidR="009E73CF" w:rsidRPr="00962F9F" w14:paraId="3157739C" w14:textId="77777777" w:rsidTr="00FA0207">
        <w:tc>
          <w:tcPr>
            <w:tcW w:w="539" w:type="dxa"/>
          </w:tcPr>
          <w:p w14:paraId="7B773C05" w14:textId="68345D30" w:rsidR="009E73CF" w:rsidRPr="009E73CF" w:rsidRDefault="009E73CF" w:rsidP="00FA0207">
            <w:pPr>
              <w:spacing w:after="0"/>
              <w:jc w:val="left"/>
              <w:rPr>
                <w:sz w:val="16"/>
                <w:szCs w:val="16"/>
              </w:rPr>
            </w:pPr>
            <w:r w:rsidRPr="009E73CF">
              <w:rPr>
                <w:sz w:val="16"/>
                <w:szCs w:val="16"/>
              </w:rPr>
              <w:t>11</w:t>
            </w:r>
          </w:p>
        </w:tc>
        <w:tc>
          <w:tcPr>
            <w:tcW w:w="1172" w:type="dxa"/>
          </w:tcPr>
          <w:p w14:paraId="2846843A" w14:textId="5E0F7D05" w:rsidR="009E73CF" w:rsidRPr="009E73CF" w:rsidRDefault="009E73CF" w:rsidP="00FA0207">
            <w:pPr>
              <w:spacing w:after="0"/>
              <w:jc w:val="left"/>
              <w:rPr>
                <w:sz w:val="16"/>
                <w:szCs w:val="16"/>
              </w:rPr>
            </w:pPr>
            <w:r>
              <w:rPr>
                <w:sz w:val="16"/>
                <w:szCs w:val="16"/>
              </w:rPr>
              <w:t>LCA</w:t>
            </w:r>
          </w:p>
        </w:tc>
        <w:tc>
          <w:tcPr>
            <w:tcW w:w="3460" w:type="dxa"/>
          </w:tcPr>
          <w:p w14:paraId="344B7B04" w14:textId="45563A3F" w:rsidR="009E73CF" w:rsidRPr="009E73CF" w:rsidRDefault="009E73CF" w:rsidP="00FA0207">
            <w:pPr>
              <w:spacing w:after="0"/>
              <w:jc w:val="left"/>
              <w:rPr>
                <w:sz w:val="16"/>
                <w:szCs w:val="16"/>
              </w:rPr>
            </w:pPr>
            <w:r w:rsidRPr="009E73CF">
              <w:rPr>
                <w:sz w:val="16"/>
                <w:szCs w:val="16"/>
              </w:rPr>
              <w:t>The categorisations here are confusing. The heading ‘Recycling System processes (excl. green and garden)’ contains a sub-heading ‘soil carbon storage’, implying green and garden wastes are included. Also, most of the sub-headings under the heading ‘alternative system processes’ are also relevant to the recycling system. Table 18 also relies on this categorisation, and is consequently difficult to interpret.</w:t>
            </w:r>
          </w:p>
        </w:tc>
        <w:tc>
          <w:tcPr>
            <w:tcW w:w="3375" w:type="dxa"/>
          </w:tcPr>
          <w:p w14:paraId="4EBB090A" w14:textId="1054393B" w:rsidR="009E73CF" w:rsidRPr="009E73CF" w:rsidRDefault="00BA202B" w:rsidP="00FA0207">
            <w:pPr>
              <w:spacing w:after="0"/>
              <w:jc w:val="left"/>
              <w:rPr>
                <w:sz w:val="16"/>
                <w:szCs w:val="16"/>
              </w:rPr>
            </w:pPr>
            <w:r>
              <w:rPr>
                <w:sz w:val="16"/>
                <w:szCs w:val="16"/>
              </w:rPr>
              <w:t xml:space="preserve">Headings are </w:t>
            </w:r>
            <w:r w:rsidR="00AA65B4">
              <w:rPr>
                <w:sz w:val="16"/>
                <w:szCs w:val="16"/>
              </w:rPr>
              <w:t>confusing</w:t>
            </w:r>
            <w:r>
              <w:rPr>
                <w:sz w:val="16"/>
                <w:szCs w:val="16"/>
              </w:rPr>
              <w:t>. These have been re-written to remove contradictions. In addition two figures have been added diagrammatically showing process definitions.</w:t>
            </w:r>
          </w:p>
        </w:tc>
        <w:tc>
          <w:tcPr>
            <w:tcW w:w="1343" w:type="dxa"/>
          </w:tcPr>
          <w:p w14:paraId="7856B47F" w14:textId="30A6CEEF" w:rsidR="009E73CF" w:rsidRPr="009E73CF" w:rsidRDefault="00BA202B" w:rsidP="00BA202B">
            <w:pPr>
              <w:spacing w:after="0"/>
              <w:jc w:val="left"/>
              <w:rPr>
                <w:sz w:val="16"/>
                <w:szCs w:val="16"/>
              </w:rPr>
            </w:pPr>
            <w:r>
              <w:rPr>
                <w:sz w:val="16"/>
                <w:szCs w:val="16"/>
              </w:rPr>
              <w:fldChar w:fldCharType="begin"/>
            </w:r>
            <w:r>
              <w:rPr>
                <w:sz w:val="16"/>
                <w:szCs w:val="16"/>
              </w:rPr>
              <w:instrText xml:space="preserve"> REF _Ref360533919 \r \h </w:instrText>
            </w:r>
            <w:r>
              <w:rPr>
                <w:sz w:val="16"/>
                <w:szCs w:val="16"/>
              </w:rPr>
            </w:r>
            <w:r>
              <w:rPr>
                <w:sz w:val="16"/>
                <w:szCs w:val="16"/>
              </w:rPr>
              <w:fldChar w:fldCharType="separate"/>
            </w:r>
            <w:r w:rsidR="00564E5C">
              <w:rPr>
                <w:sz w:val="16"/>
                <w:szCs w:val="16"/>
              </w:rPr>
              <w:t>8</w:t>
            </w:r>
            <w:r>
              <w:rPr>
                <w:sz w:val="16"/>
                <w:szCs w:val="16"/>
              </w:rPr>
              <w:fldChar w:fldCharType="end"/>
            </w:r>
          </w:p>
        </w:tc>
      </w:tr>
      <w:tr w:rsidR="009E73CF" w:rsidRPr="00962F9F" w14:paraId="03E41829" w14:textId="77777777" w:rsidTr="00862874">
        <w:tc>
          <w:tcPr>
            <w:tcW w:w="539" w:type="dxa"/>
            <w:shd w:val="clear" w:color="auto" w:fill="auto"/>
          </w:tcPr>
          <w:p w14:paraId="02FAEABD" w14:textId="2A1B3A4E" w:rsidR="009E73CF" w:rsidRPr="00862874" w:rsidRDefault="009E73CF" w:rsidP="00FA0207">
            <w:pPr>
              <w:spacing w:after="0"/>
              <w:jc w:val="left"/>
              <w:rPr>
                <w:sz w:val="16"/>
                <w:szCs w:val="16"/>
              </w:rPr>
            </w:pPr>
            <w:r w:rsidRPr="00862874">
              <w:rPr>
                <w:sz w:val="16"/>
                <w:szCs w:val="16"/>
              </w:rPr>
              <w:t>12</w:t>
            </w:r>
          </w:p>
        </w:tc>
        <w:tc>
          <w:tcPr>
            <w:tcW w:w="1172" w:type="dxa"/>
            <w:shd w:val="clear" w:color="auto" w:fill="auto"/>
          </w:tcPr>
          <w:p w14:paraId="6F0BF793" w14:textId="7100FB30" w:rsidR="009E73CF" w:rsidRPr="00862874" w:rsidRDefault="009E73CF" w:rsidP="00FA0207">
            <w:pPr>
              <w:spacing w:after="0"/>
              <w:jc w:val="left"/>
              <w:rPr>
                <w:sz w:val="16"/>
                <w:szCs w:val="16"/>
              </w:rPr>
            </w:pPr>
            <w:r w:rsidRPr="00862874">
              <w:rPr>
                <w:sz w:val="16"/>
                <w:szCs w:val="16"/>
              </w:rPr>
              <w:t>LCA</w:t>
            </w:r>
          </w:p>
        </w:tc>
        <w:tc>
          <w:tcPr>
            <w:tcW w:w="3460" w:type="dxa"/>
            <w:shd w:val="clear" w:color="auto" w:fill="auto"/>
          </w:tcPr>
          <w:p w14:paraId="3925B4F9" w14:textId="11AFC899" w:rsidR="009E73CF" w:rsidRPr="009E73CF" w:rsidRDefault="009E73CF" w:rsidP="00FA0207">
            <w:pPr>
              <w:spacing w:after="0"/>
              <w:jc w:val="left"/>
              <w:rPr>
                <w:sz w:val="16"/>
                <w:szCs w:val="16"/>
              </w:rPr>
            </w:pPr>
            <w:r w:rsidRPr="00862874">
              <w:rPr>
                <w:sz w:val="16"/>
                <w:szCs w:val="16"/>
              </w:rPr>
              <w:t>There appears to be an assumption throughout this section that reduced demand for virgin product will always lead to reduced demand for recyclate. For example, 11.3.3.2 states that: “If a decrease in demand for aluminium cans produced in Australia was to occur, then the demand for reprocessed aluminium would reduce.” But it is possible that use of recycled aluminium is constrained by supply, and that additional recyclate could be used even if overall demand declined. I don’t think this issue significantly affects the conclusions of the section, but the text needs to be checked.</w:t>
            </w:r>
          </w:p>
        </w:tc>
        <w:tc>
          <w:tcPr>
            <w:tcW w:w="3375" w:type="dxa"/>
            <w:shd w:val="clear" w:color="auto" w:fill="auto"/>
          </w:tcPr>
          <w:p w14:paraId="6986EE1F" w14:textId="77777777" w:rsidR="00CC61A9" w:rsidRDefault="00862874" w:rsidP="00FA0207">
            <w:pPr>
              <w:spacing w:after="0"/>
              <w:jc w:val="left"/>
              <w:rPr>
                <w:sz w:val="16"/>
                <w:szCs w:val="16"/>
              </w:rPr>
            </w:pPr>
            <w:r>
              <w:rPr>
                <w:sz w:val="16"/>
                <w:szCs w:val="16"/>
              </w:rPr>
              <w:t>The analysis assumes that recycled aluminium and primary aluminium are functionally indistinguishable. This arguably true for aluminium and metals, but possibly not so for some other materials.</w:t>
            </w:r>
          </w:p>
          <w:p w14:paraId="1EF8DA44" w14:textId="77777777" w:rsidR="00CC61A9" w:rsidRDefault="00CC61A9" w:rsidP="00FA0207">
            <w:pPr>
              <w:spacing w:after="0"/>
              <w:jc w:val="left"/>
              <w:rPr>
                <w:sz w:val="16"/>
                <w:szCs w:val="16"/>
              </w:rPr>
            </w:pPr>
            <w:r>
              <w:rPr>
                <w:sz w:val="16"/>
                <w:szCs w:val="16"/>
              </w:rPr>
              <w:t>In general the approach assumes that reductions in demand will increase the likelihood of recovered materials becoming waste (or at least make them less attractive to recover).</w:t>
            </w:r>
          </w:p>
          <w:p w14:paraId="769C7485" w14:textId="4D98A376" w:rsidR="009E73CF" w:rsidRPr="009E73CF" w:rsidRDefault="00CC61A9" w:rsidP="00FA0207">
            <w:pPr>
              <w:spacing w:after="0"/>
              <w:jc w:val="left"/>
              <w:rPr>
                <w:sz w:val="16"/>
                <w:szCs w:val="16"/>
              </w:rPr>
            </w:pPr>
            <w:r>
              <w:rPr>
                <w:sz w:val="16"/>
                <w:szCs w:val="16"/>
              </w:rPr>
              <w:t>Added paragraph to this effect</w:t>
            </w:r>
          </w:p>
        </w:tc>
        <w:tc>
          <w:tcPr>
            <w:tcW w:w="1343" w:type="dxa"/>
            <w:shd w:val="clear" w:color="auto" w:fill="auto"/>
          </w:tcPr>
          <w:p w14:paraId="6B2EF7C4" w14:textId="6E29A9FB" w:rsidR="009E73CF" w:rsidRPr="009E73CF" w:rsidRDefault="00CC61A9" w:rsidP="00FA0207">
            <w:pPr>
              <w:spacing w:after="0"/>
              <w:jc w:val="left"/>
              <w:rPr>
                <w:sz w:val="16"/>
                <w:szCs w:val="16"/>
              </w:rPr>
            </w:pPr>
            <w:r>
              <w:rPr>
                <w:sz w:val="16"/>
                <w:szCs w:val="16"/>
              </w:rPr>
              <w:fldChar w:fldCharType="begin"/>
            </w:r>
            <w:r>
              <w:rPr>
                <w:sz w:val="16"/>
                <w:szCs w:val="16"/>
              </w:rPr>
              <w:instrText xml:space="preserve"> REF _Ref363071133 \r \h </w:instrText>
            </w:r>
            <w:r>
              <w:rPr>
                <w:sz w:val="16"/>
                <w:szCs w:val="16"/>
              </w:rPr>
            </w:r>
            <w:r>
              <w:rPr>
                <w:sz w:val="16"/>
                <w:szCs w:val="16"/>
              </w:rPr>
              <w:fldChar w:fldCharType="separate"/>
            </w:r>
            <w:r w:rsidR="00564E5C">
              <w:rPr>
                <w:sz w:val="16"/>
                <w:szCs w:val="16"/>
              </w:rPr>
              <w:t>11.3.1</w:t>
            </w:r>
            <w:r>
              <w:rPr>
                <w:sz w:val="16"/>
                <w:szCs w:val="16"/>
              </w:rPr>
              <w:fldChar w:fldCharType="end"/>
            </w:r>
          </w:p>
        </w:tc>
      </w:tr>
      <w:tr w:rsidR="009E73CF" w:rsidRPr="00962F9F" w14:paraId="568DDAAC" w14:textId="77777777" w:rsidTr="00FA0207">
        <w:tc>
          <w:tcPr>
            <w:tcW w:w="539" w:type="dxa"/>
          </w:tcPr>
          <w:p w14:paraId="607F9D68" w14:textId="415E4BE5" w:rsidR="009E73CF" w:rsidRPr="009E73CF" w:rsidRDefault="009E73CF" w:rsidP="00FA0207">
            <w:pPr>
              <w:spacing w:after="0"/>
              <w:jc w:val="left"/>
              <w:rPr>
                <w:sz w:val="16"/>
                <w:szCs w:val="16"/>
              </w:rPr>
            </w:pPr>
            <w:r w:rsidRPr="009E73CF">
              <w:rPr>
                <w:sz w:val="16"/>
                <w:szCs w:val="16"/>
              </w:rPr>
              <w:t>13</w:t>
            </w:r>
          </w:p>
        </w:tc>
        <w:tc>
          <w:tcPr>
            <w:tcW w:w="1172" w:type="dxa"/>
          </w:tcPr>
          <w:p w14:paraId="1AC687AF" w14:textId="16492451" w:rsidR="009E73CF" w:rsidRPr="009E73CF" w:rsidRDefault="009E73CF" w:rsidP="00FA0207">
            <w:pPr>
              <w:spacing w:after="0"/>
              <w:jc w:val="left"/>
              <w:rPr>
                <w:sz w:val="16"/>
                <w:szCs w:val="16"/>
              </w:rPr>
            </w:pPr>
            <w:r>
              <w:rPr>
                <w:sz w:val="16"/>
                <w:szCs w:val="16"/>
              </w:rPr>
              <w:t>LCA</w:t>
            </w:r>
          </w:p>
        </w:tc>
        <w:tc>
          <w:tcPr>
            <w:tcW w:w="3460" w:type="dxa"/>
          </w:tcPr>
          <w:p w14:paraId="4D500370" w14:textId="5BBE6B87" w:rsidR="009E73CF" w:rsidRPr="009E73CF" w:rsidRDefault="009E73CF" w:rsidP="00FA0207">
            <w:pPr>
              <w:spacing w:after="0"/>
              <w:jc w:val="left"/>
              <w:rPr>
                <w:sz w:val="16"/>
                <w:szCs w:val="16"/>
              </w:rPr>
            </w:pPr>
            <w:r w:rsidRPr="009E73CF">
              <w:rPr>
                <w:sz w:val="16"/>
                <w:szCs w:val="16"/>
              </w:rPr>
              <w:t>The last sentence may be misleading. Is it suggesting that only 100 Monte Carlo simulations were undertaken? This contradicts the information at the top of p.37. Is it suggesting that recycling out-performed landfill 95% of the time across each parameter, or across all parameters, or across the majority of parameters?</w:t>
            </w:r>
          </w:p>
        </w:tc>
        <w:tc>
          <w:tcPr>
            <w:tcW w:w="3375" w:type="dxa"/>
          </w:tcPr>
          <w:p w14:paraId="11A0C8BD" w14:textId="3FA63945" w:rsidR="009E73CF" w:rsidRPr="009E73CF" w:rsidRDefault="00BA202B" w:rsidP="00FA0207">
            <w:pPr>
              <w:spacing w:after="0"/>
              <w:jc w:val="left"/>
              <w:rPr>
                <w:sz w:val="16"/>
                <w:szCs w:val="16"/>
              </w:rPr>
            </w:pPr>
            <w:r>
              <w:rPr>
                <w:sz w:val="16"/>
                <w:szCs w:val="16"/>
              </w:rPr>
              <w:t>1000 simulations were undertaken for the entire system and for each material system individually. This has been corrected.</w:t>
            </w:r>
          </w:p>
        </w:tc>
        <w:tc>
          <w:tcPr>
            <w:tcW w:w="1343" w:type="dxa"/>
          </w:tcPr>
          <w:p w14:paraId="6041C776" w14:textId="7077F358" w:rsidR="009E73CF" w:rsidRPr="009E73CF" w:rsidRDefault="00BA202B" w:rsidP="00BA202B">
            <w:pPr>
              <w:spacing w:after="0"/>
              <w:jc w:val="left"/>
              <w:rPr>
                <w:sz w:val="16"/>
                <w:szCs w:val="16"/>
              </w:rPr>
            </w:pPr>
            <w:r>
              <w:rPr>
                <w:sz w:val="16"/>
                <w:szCs w:val="16"/>
              </w:rPr>
              <w:fldChar w:fldCharType="begin"/>
            </w:r>
            <w:r>
              <w:rPr>
                <w:sz w:val="16"/>
                <w:szCs w:val="16"/>
              </w:rPr>
              <w:instrText xml:space="preserve"> REF _Ref363048056 \r \h </w:instrText>
            </w:r>
            <w:r>
              <w:rPr>
                <w:sz w:val="16"/>
                <w:szCs w:val="16"/>
              </w:rPr>
            </w:r>
            <w:r>
              <w:rPr>
                <w:sz w:val="16"/>
                <w:szCs w:val="16"/>
              </w:rPr>
              <w:fldChar w:fldCharType="separate"/>
            </w:r>
            <w:r w:rsidR="00564E5C">
              <w:rPr>
                <w:sz w:val="16"/>
                <w:szCs w:val="16"/>
              </w:rPr>
              <w:t>12</w:t>
            </w:r>
            <w:r>
              <w:rPr>
                <w:sz w:val="16"/>
                <w:szCs w:val="16"/>
              </w:rPr>
              <w:fldChar w:fldCharType="end"/>
            </w:r>
          </w:p>
        </w:tc>
      </w:tr>
      <w:tr w:rsidR="009E73CF" w:rsidRPr="00962F9F" w14:paraId="42D8D3B9" w14:textId="77777777" w:rsidTr="00FA0207">
        <w:tc>
          <w:tcPr>
            <w:tcW w:w="539" w:type="dxa"/>
          </w:tcPr>
          <w:p w14:paraId="7F64B739" w14:textId="152EE348" w:rsidR="009E73CF" w:rsidRPr="009E73CF" w:rsidRDefault="009E73CF" w:rsidP="00FA0207">
            <w:pPr>
              <w:spacing w:after="0"/>
              <w:jc w:val="left"/>
              <w:rPr>
                <w:sz w:val="16"/>
                <w:szCs w:val="16"/>
              </w:rPr>
            </w:pPr>
            <w:r w:rsidRPr="009E73CF">
              <w:rPr>
                <w:sz w:val="16"/>
                <w:szCs w:val="16"/>
              </w:rPr>
              <w:t>14</w:t>
            </w:r>
          </w:p>
        </w:tc>
        <w:tc>
          <w:tcPr>
            <w:tcW w:w="1172" w:type="dxa"/>
          </w:tcPr>
          <w:p w14:paraId="55D6059C" w14:textId="31BA0E59" w:rsidR="009E73CF" w:rsidRPr="009E73CF" w:rsidRDefault="009E73CF" w:rsidP="00FA0207">
            <w:pPr>
              <w:spacing w:after="0"/>
              <w:jc w:val="left"/>
              <w:rPr>
                <w:sz w:val="16"/>
                <w:szCs w:val="16"/>
              </w:rPr>
            </w:pPr>
            <w:r>
              <w:rPr>
                <w:sz w:val="16"/>
                <w:szCs w:val="16"/>
              </w:rPr>
              <w:t>LCA</w:t>
            </w:r>
          </w:p>
        </w:tc>
        <w:tc>
          <w:tcPr>
            <w:tcW w:w="3460" w:type="dxa"/>
          </w:tcPr>
          <w:p w14:paraId="0EA20DE9" w14:textId="1132AFC1" w:rsidR="009E73CF" w:rsidRPr="009E73CF" w:rsidRDefault="009E73CF" w:rsidP="00FA0207">
            <w:pPr>
              <w:spacing w:after="0"/>
              <w:jc w:val="left"/>
              <w:rPr>
                <w:sz w:val="16"/>
                <w:szCs w:val="16"/>
              </w:rPr>
            </w:pPr>
            <w:r w:rsidRPr="009E73CF">
              <w:rPr>
                <w:sz w:val="16"/>
                <w:szCs w:val="16"/>
              </w:rPr>
              <w:t>While counter-intuitive, I accept the rationale that some portion of the C is neither emitted nor stored during the timeframe considered. However, that portion would be very small. I suggest this is confirmed via a mass balance assessment, given that the factors for this calculation use a mixture of sources (DCCEE/NGERS &amp; Barlaz).</w:t>
            </w:r>
          </w:p>
        </w:tc>
        <w:tc>
          <w:tcPr>
            <w:tcW w:w="3375" w:type="dxa"/>
          </w:tcPr>
          <w:p w14:paraId="1CA3F662" w14:textId="77777777" w:rsidR="00FB0CAB" w:rsidRDefault="00FB0CAB" w:rsidP="00FB0CAB">
            <w:pPr>
              <w:spacing w:after="0"/>
              <w:jc w:val="left"/>
              <w:rPr>
                <w:sz w:val="16"/>
                <w:szCs w:val="16"/>
              </w:rPr>
            </w:pPr>
            <w:r>
              <w:rPr>
                <w:sz w:val="16"/>
                <w:szCs w:val="16"/>
              </w:rPr>
              <w:t>Agree that a carbon balance is important. For each material considered a FOD worksheet was completed which enforces this balance (presented in Appendix A). On each sheet a small residual equal to that fraction of the degradable carbon that will decompose which has not decomposed because it is at the tail of the decay function.</w:t>
            </w:r>
          </w:p>
          <w:p w14:paraId="79FC6E1F" w14:textId="5CA7BC6E" w:rsidR="009E73CF" w:rsidRPr="009E73CF" w:rsidRDefault="00FB0CAB" w:rsidP="00FB0CAB">
            <w:pPr>
              <w:spacing w:after="0"/>
              <w:jc w:val="left"/>
              <w:rPr>
                <w:sz w:val="16"/>
                <w:szCs w:val="16"/>
              </w:rPr>
            </w:pPr>
            <w:r>
              <w:rPr>
                <w:sz w:val="16"/>
                <w:szCs w:val="16"/>
              </w:rPr>
              <w:t xml:space="preserve">A sentence </w:t>
            </w:r>
            <w:r w:rsidR="009D498D">
              <w:rPr>
                <w:sz w:val="16"/>
                <w:szCs w:val="16"/>
              </w:rPr>
              <w:t>referring</w:t>
            </w:r>
            <w:r>
              <w:rPr>
                <w:sz w:val="16"/>
                <w:szCs w:val="16"/>
              </w:rPr>
              <w:t xml:space="preserve"> to this has been added.</w:t>
            </w:r>
          </w:p>
        </w:tc>
        <w:tc>
          <w:tcPr>
            <w:tcW w:w="1343" w:type="dxa"/>
          </w:tcPr>
          <w:p w14:paraId="4966DB1F" w14:textId="2DAC64B9" w:rsidR="00D1090A" w:rsidRPr="00D1090A" w:rsidRDefault="00D1090A" w:rsidP="00FA0207">
            <w:pPr>
              <w:spacing w:after="0"/>
              <w:jc w:val="left"/>
              <w:rPr>
                <w:sz w:val="16"/>
                <w:szCs w:val="16"/>
              </w:rPr>
            </w:pPr>
            <w:r w:rsidRPr="00D1090A">
              <w:rPr>
                <w:sz w:val="16"/>
                <w:szCs w:val="16"/>
              </w:rPr>
              <w:fldChar w:fldCharType="begin"/>
            </w:r>
            <w:r w:rsidRPr="00D1090A">
              <w:rPr>
                <w:sz w:val="16"/>
                <w:szCs w:val="16"/>
              </w:rPr>
              <w:instrText xml:space="preserve"> REF _Ref360560152 \h </w:instrText>
            </w:r>
            <w:r>
              <w:rPr>
                <w:sz w:val="16"/>
                <w:szCs w:val="16"/>
              </w:rPr>
              <w:instrText xml:space="preserve"> \* MERGEFORMAT </w:instrText>
            </w:r>
            <w:r w:rsidRPr="00D1090A">
              <w:rPr>
                <w:sz w:val="16"/>
                <w:szCs w:val="16"/>
              </w:rPr>
            </w:r>
            <w:r w:rsidRPr="00D1090A">
              <w:rPr>
                <w:sz w:val="16"/>
                <w:szCs w:val="16"/>
              </w:rPr>
              <w:fldChar w:fldCharType="separate"/>
            </w:r>
            <w:r w:rsidR="00564E5C" w:rsidRPr="00564E5C">
              <w:rPr>
                <w:sz w:val="16"/>
                <w:szCs w:val="16"/>
              </w:rPr>
              <w:t>Appendix B – Inventory Report</w:t>
            </w:r>
            <w:r w:rsidRPr="00D1090A">
              <w:rPr>
                <w:sz w:val="16"/>
                <w:szCs w:val="16"/>
              </w:rPr>
              <w:fldChar w:fldCharType="end"/>
            </w:r>
          </w:p>
          <w:p w14:paraId="64198A3B" w14:textId="6360D661" w:rsidR="009E73CF" w:rsidRPr="00D1090A" w:rsidRDefault="00D1090A" w:rsidP="00FA0207">
            <w:pPr>
              <w:spacing w:after="0"/>
              <w:jc w:val="left"/>
              <w:rPr>
                <w:sz w:val="16"/>
                <w:szCs w:val="16"/>
              </w:rPr>
            </w:pPr>
            <w:r w:rsidRPr="00D1090A">
              <w:rPr>
                <w:sz w:val="16"/>
                <w:szCs w:val="16"/>
              </w:rPr>
              <w:t>Section 3.3.4</w:t>
            </w:r>
          </w:p>
        </w:tc>
      </w:tr>
      <w:tr w:rsidR="009E73CF" w:rsidRPr="00962F9F" w14:paraId="4C830B02" w14:textId="77777777" w:rsidTr="00FA0207">
        <w:tc>
          <w:tcPr>
            <w:tcW w:w="539" w:type="dxa"/>
          </w:tcPr>
          <w:p w14:paraId="133F3554" w14:textId="42685A78" w:rsidR="009E73CF" w:rsidRPr="009E73CF" w:rsidRDefault="009E73CF" w:rsidP="00FA0207">
            <w:pPr>
              <w:spacing w:after="0"/>
              <w:jc w:val="left"/>
              <w:rPr>
                <w:sz w:val="16"/>
                <w:szCs w:val="16"/>
              </w:rPr>
            </w:pPr>
            <w:r w:rsidRPr="009E73CF">
              <w:rPr>
                <w:sz w:val="16"/>
                <w:szCs w:val="16"/>
              </w:rPr>
              <w:t>15</w:t>
            </w:r>
          </w:p>
        </w:tc>
        <w:tc>
          <w:tcPr>
            <w:tcW w:w="1172" w:type="dxa"/>
          </w:tcPr>
          <w:p w14:paraId="7AED982D" w14:textId="32B97D23" w:rsidR="009E73CF" w:rsidRPr="009E73CF" w:rsidRDefault="009E73CF" w:rsidP="00FA0207">
            <w:pPr>
              <w:spacing w:after="0"/>
              <w:jc w:val="left"/>
              <w:rPr>
                <w:sz w:val="16"/>
                <w:szCs w:val="16"/>
              </w:rPr>
            </w:pPr>
            <w:r>
              <w:rPr>
                <w:sz w:val="16"/>
                <w:szCs w:val="16"/>
              </w:rPr>
              <w:t>LCA</w:t>
            </w:r>
          </w:p>
        </w:tc>
        <w:tc>
          <w:tcPr>
            <w:tcW w:w="3460" w:type="dxa"/>
          </w:tcPr>
          <w:p w14:paraId="07F3ED30" w14:textId="0D942468" w:rsidR="009E73CF" w:rsidRPr="009E73CF" w:rsidRDefault="009E73CF" w:rsidP="00FA0207">
            <w:pPr>
              <w:spacing w:after="0"/>
              <w:jc w:val="left"/>
              <w:rPr>
                <w:sz w:val="16"/>
                <w:szCs w:val="16"/>
              </w:rPr>
            </w:pPr>
            <w:r w:rsidRPr="009E73CF">
              <w:rPr>
                <w:sz w:val="16"/>
                <w:szCs w:val="16"/>
              </w:rPr>
              <w:t>The text states that: “Landfill operation and infrastructure … are allocated to each waste placed in the landfill on a mass basis”. Hopefully this includes waste deposited in putrescible landfills that does not form part of this LCA. This should be clarified, the tonnage fractions in each category should be stated and their source made clear.</w:t>
            </w:r>
          </w:p>
        </w:tc>
        <w:tc>
          <w:tcPr>
            <w:tcW w:w="3375" w:type="dxa"/>
          </w:tcPr>
          <w:p w14:paraId="33DF0110" w14:textId="2EA31046" w:rsidR="009E73CF" w:rsidRPr="009E73CF" w:rsidRDefault="00D1090A" w:rsidP="00FA0207">
            <w:pPr>
              <w:spacing w:after="0"/>
              <w:jc w:val="left"/>
              <w:rPr>
                <w:sz w:val="16"/>
                <w:szCs w:val="16"/>
              </w:rPr>
            </w:pPr>
            <w:r>
              <w:rPr>
                <w:sz w:val="16"/>
                <w:szCs w:val="16"/>
              </w:rPr>
              <w:t>Added sentence clarifying that landfill infrastructure assumes capacity of 1.8 million tonnes.</w:t>
            </w:r>
          </w:p>
        </w:tc>
        <w:tc>
          <w:tcPr>
            <w:tcW w:w="1343" w:type="dxa"/>
          </w:tcPr>
          <w:p w14:paraId="387CBAB1" w14:textId="77777777" w:rsidR="00D1090A" w:rsidRPr="00D1090A" w:rsidRDefault="00D1090A" w:rsidP="00D1090A">
            <w:pPr>
              <w:spacing w:after="0"/>
              <w:jc w:val="left"/>
              <w:rPr>
                <w:sz w:val="16"/>
                <w:szCs w:val="16"/>
              </w:rPr>
            </w:pPr>
            <w:r w:rsidRPr="00D1090A">
              <w:rPr>
                <w:sz w:val="16"/>
                <w:szCs w:val="16"/>
              </w:rPr>
              <w:fldChar w:fldCharType="begin"/>
            </w:r>
            <w:r w:rsidRPr="00D1090A">
              <w:rPr>
                <w:sz w:val="16"/>
                <w:szCs w:val="16"/>
              </w:rPr>
              <w:instrText xml:space="preserve"> REF _Ref360560152 \h </w:instrText>
            </w:r>
            <w:r>
              <w:rPr>
                <w:sz w:val="16"/>
                <w:szCs w:val="16"/>
              </w:rPr>
              <w:instrText xml:space="preserve"> \* MERGEFORMAT </w:instrText>
            </w:r>
            <w:r w:rsidRPr="00D1090A">
              <w:rPr>
                <w:sz w:val="16"/>
                <w:szCs w:val="16"/>
              </w:rPr>
            </w:r>
            <w:r w:rsidRPr="00D1090A">
              <w:rPr>
                <w:sz w:val="16"/>
                <w:szCs w:val="16"/>
              </w:rPr>
              <w:fldChar w:fldCharType="separate"/>
            </w:r>
            <w:r w:rsidR="00564E5C" w:rsidRPr="00564E5C">
              <w:rPr>
                <w:sz w:val="16"/>
                <w:szCs w:val="16"/>
              </w:rPr>
              <w:t>Appendix B – Inventory Report</w:t>
            </w:r>
            <w:r w:rsidRPr="00D1090A">
              <w:rPr>
                <w:sz w:val="16"/>
                <w:szCs w:val="16"/>
              </w:rPr>
              <w:fldChar w:fldCharType="end"/>
            </w:r>
          </w:p>
          <w:p w14:paraId="0D388640" w14:textId="7080D16E" w:rsidR="009E73CF" w:rsidRPr="009E73CF" w:rsidRDefault="00D1090A" w:rsidP="00FA0207">
            <w:pPr>
              <w:spacing w:after="0"/>
              <w:jc w:val="left"/>
              <w:rPr>
                <w:sz w:val="16"/>
                <w:szCs w:val="16"/>
              </w:rPr>
            </w:pPr>
            <w:r>
              <w:rPr>
                <w:sz w:val="16"/>
                <w:szCs w:val="16"/>
              </w:rPr>
              <w:t>Section 3.5</w:t>
            </w:r>
          </w:p>
        </w:tc>
      </w:tr>
      <w:tr w:rsidR="009E73CF" w:rsidRPr="00962F9F" w14:paraId="4F1D9819" w14:textId="77777777" w:rsidTr="00FA0207">
        <w:tc>
          <w:tcPr>
            <w:tcW w:w="539" w:type="dxa"/>
          </w:tcPr>
          <w:p w14:paraId="5A4A29AF" w14:textId="17FA120E" w:rsidR="009E73CF" w:rsidRPr="009E73CF" w:rsidRDefault="009E73CF" w:rsidP="00FA0207">
            <w:pPr>
              <w:spacing w:after="0"/>
              <w:jc w:val="left"/>
              <w:rPr>
                <w:sz w:val="16"/>
                <w:szCs w:val="16"/>
              </w:rPr>
            </w:pPr>
            <w:r w:rsidRPr="009E73CF">
              <w:rPr>
                <w:sz w:val="16"/>
                <w:szCs w:val="16"/>
              </w:rPr>
              <w:t>16</w:t>
            </w:r>
          </w:p>
        </w:tc>
        <w:tc>
          <w:tcPr>
            <w:tcW w:w="1172" w:type="dxa"/>
          </w:tcPr>
          <w:p w14:paraId="6A2E163C" w14:textId="14F0FEEC" w:rsidR="009E73CF" w:rsidRPr="009E73CF" w:rsidRDefault="009E73CF" w:rsidP="00FA0207">
            <w:pPr>
              <w:spacing w:after="0"/>
              <w:jc w:val="left"/>
              <w:rPr>
                <w:sz w:val="16"/>
                <w:szCs w:val="16"/>
              </w:rPr>
            </w:pPr>
            <w:r>
              <w:rPr>
                <w:sz w:val="16"/>
                <w:szCs w:val="16"/>
              </w:rPr>
              <w:t>LCA</w:t>
            </w:r>
          </w:p>
        </w:tc>
        <w:tc>
          <w:tcPr>
            <w:tcW w:w="3460" w:type="dxa"/>
          </w:tcPr>
          <w:p w14:paraId="0517D8B6" w14:textId="64CBC254" w:rsidR="009E73CF" w:rsidRPr="009E73CF" w:rsidRDefault="009E73CF" w:rsidP="00FA0207">
            <w:pPr>
              <w:spacing w:after="0"/>
              <w:jc w:val="left"/>
              <w:rPr>
                <w:sz w:val="16"/>
                <w:szCs w:val="16"/>
              </w:rPr>
            </w:pPr>
            <w:r w:rsidRPr="009E73CF">
              <w:rPr>
                <w:sz w:val="16"/>
                <w:szCs w:val="16"/>
              </w:rPr>
              <w:t xml:space="preserve">The emission factors for composting from Andersen </w:t>
            </w:r>
            <w:r w:rsidRPr="009E73CF">
              <w:rPr>
                <w:i/>
                <w:sz w:val="16"/>
                <w:szCs w:val="16"/>
              </w:rPr>
              <w:t>et al.</w:t>
            </w:r>
            <w:r w:rsidRPr="009E73CF">
              <w:rPr>
                <w:sz w:val="16"/>
                <w:szCs w:val="16"/>
              </w:rPr>
              <w:t xml:space="preserve"> are quite different from those provided in the National Greenhouse and Energy Reporting System (recently revised to 16kg CO</w:t>
            </w:r>
            <w:r w:rsidRPr="009E73CF">
              <w:rPr>
                <w:sz w:val="16"/>
                <w:szCs w:val="16"/>
                <w:vertAlign w:val="subscript"/>
              </w:rPr>
              <w:t>2</w:t>
            </w:r>
            <w:r w:rsidRPr="009E73CF">
              <w:rPr>
                <w:sz w:val="16"/>
                <w:szCs w:val="16"/>
              </w:rPr>
              <w:t>-e/t for CH</w:t>
            </w:r>
            <w:r w:rsidRPr="009E73CF">
              <w:rPr>
                <w:sz w:val="16"/>
                <w:szCs w:val="16"/>
                <w:vertAlign w:val="subscript"/>
              </w:rPr>
              <w:t>4</w:t>
            </w:r>
            <w:r w:rsidRPr="009E73CF">
              <w:rPr>
                <w:sz w:val="16"/>
                <w:szCs w:val="16"/>
              </w:rPr>
              <w:t xml:space="preserve"> and 30kg CO</w:t>
            </w:r>
            <w:r w:rsidRPr="009E73CF">
              <w:rPr>
                <w:sz w:val="16"/>
                <w:szCs w:val="16"/>
                <w:vertAlign w:val="subscript"/>
              </w:rPr>
              <w:t>2</w:t>
            </w:r>
            <w:r w:rsidRPr="009E73CF">
              <w:rPr>
                <w:sz w:val="16"/>
                <w:szCs w:val="16"/>
              </w:rPr>
              <w:t>-e/t for N</w:t>
            </w:r>
            <w:r w:rsidRPr="009E73CF">
              <w:rPr>
                <w:sz w:val="16"/>
                <w:szCs w:val="16"/>
                <w:vertAlign w:val="subscript"/>
              </w:rPr>
              <w:t>2</w:t>
            </w:r>
            <w:r w:rsidRPr="009E73CF">
              <w:rPr>
                <w:sz w:val="16"/>
                <w:szCs w:val="16"/>
              </w:rPr>
              <w:t>O). I suggest you consider using the NGERS values in a sensitivity assessment.</w:t>
            </w:r>
          </w:p>
        </w:tc>
        <w:tc>
          <w:tcPr>
            <w:tcW w:w="3375" w:type="dxa"/>
          </w:tcPr>
          <w:p w14:paraId="7EE17A95" w14:textId="4FAB435E" w:rsidR="009E73CF" w:rsidRPr="009E73CF" w:rsidRDefault="00B358FF" w:rsidP="00FA0207">
            <w:pPr>
              <w:spacing w:after="0"/>
              <w:jc w:val="left"/>
              <w:rPr>
                <w:sz w:val="16"/>
                <w:szCs w:val="16"/>
              </w:rPr>
            </w:pPr>
            <w:r>
              <w:rPr>
                <w:sz w:val="16"/>
                <w:szCs w:val="16"/>
              </w:rPr>
              <w:t>Had not seen this. Have maintained reference to Andersen, but added NGERS. Have adopted NGERS as is Australian based.</w:t>
            </w:r>
          </w:p>
        </w:tc>
        <w:tc>
          <w:tcPr>
            <w:tcW w:w="1343" w:type="dxa"/>
          </w:tcPr>
          <w:p w14:paraId="37E178C9" w14:textId="77777777" w:rsidR="00B358FF" w:rsidRPr="00D1090A" w:rsidRDefault="00B358FF" w:rsidP="00B358FF">
            <w:pPr>
              <w:spacing w:after="0"/>
              <w:jc w:val="left"/>
              <w:rPr>
                <w:sz w:val="16"/>
                <w:szCs w:val="16"/>
              </w:rPr>
            </w:pPr>
            <w:r w:rsidRPr="00D1090A">
              <w:rPr>
                <w:sz w:val="16"/>
                <w:szCs w:val="16"/>
              </w:rPr>
              <w:fldChar w:fldCharType="begin"/>
            </w:r>
            <w:r w:rsidRPr="00D1090A">
              <w:rPr>
                <w:sz w:val="16"/>
                <w:szCs w:val="16"/>
              </w:rPr>
              <w:instrText xml:space="preserve"> REF _Ref360560152 \h </w:instrText>
            </w:r>
            <w:r>
              <w:rPr>
                <w:sz w:val="16"/>
                <w:szCs w:val="16"/>
              </w:rPr>
              <w:instrText xml:space="preserve"> \* MERGEFORMAT </w:instrText>
            </w:r>
            <w:r w:rsidRPr="00D1090A">
              <w:rPr>
                <w:sz w:val="16"/>
                <w:szCs w:val="16"/>
              </w:rPr>
            </w:r>
            <w:r w:rsidRPr="00D1090A">
              <w:rPr>
                <w:sz w:val="16"/>
                <w:szCs w:val="16"/>
              </w:rPr>
              <w:fldChar w:fldCharType="separate"/>
            </w:r>
            <w:r w:rsidR="00564E5C" w:rsidRPr="00564E5C">
              <w:rPr>
                <w:sz w:val="16"/>
                <w:szCs w:val="16"/>
              </w:rPr>
              <w:t>Appendix B – Inventory Report</w:t>
            </w:r>
            <w:r w:rsidRPr="00D1090A">
              <w:rPr>
                <w:sz w:val="16"/>
                <w:szCs w:val="16"/>
              </w:rPr>
              <w:fldChar w:fldCharType="end"/>
            </w:r>
          </w:p>
          <w:p w14:paraId="2B289660" w14:textId="57750E2F" w:rsidR="009E73CF" w:rsidRPr="009E73CF" w:rsidRDefault="00C73D26" w:rsidP="00B358FF">
            <w:pPr>
              <w:spacing w:after="0"/>
              <w:jc w:val="left"/>
              <w:rPr>
                <w:sz w:val="16"/>
                <w:szCs w:val="16"/>
              </w:rPr>
            </w:pPr>
            <w:r>
              <w:rPr>
                <w:sz w:val="16"/>
                <w:szCs w:val="16"/>
              </w:rPr>
              <w:t>Section 4.4.3.1</w:t>
            </w:r>
          </w:p>
        </w:tc>
      </w:tr>
      <w:tr w:rsidR="009E73CF" w:rsidRPr="00962F9F" w14:paraId="4CD0F30D" w14:textId="77777777" w:rsidTr="00FA0207">
        <w:tc>
          <w:tcPr>
            <w:tcW w:w="539" w:type="dxa"/>
          </w:tcPr>
          <w:p w14:paraId="6BD56238" w14:textId="42E8C4E2" w:rsidR="009E73CF" w:rsidRPr="009E73CF" w:rsidRDefault="009E73CF" w:rsidP="00FA0207">
            <w:pPr>
              <w:spacing w:after="0"/>
              <w:jc w:val="left"/>
              <w:rPr>
                <w:sz w:val="16"/>
                <w:szCs w:val="16"/>
              </w:rPr>
            </w:pPr>
            <w:r w:rsidRPr="009E73CF">
              <w:rPr>
                <w:sz w:val="16"/>
                <w:szCs w:val="16"/>
              </w:rPr>
              <w:t>17</w:t>
            </w:r>
          </w:p>
        </w:tc>
        <w:tc>
          <w:tcPr>
            <w:tcW w:w="1172" w:type="dxa"/>
          </w:tcPr>
          <w:p w14:paraId="7425E152" w14:textId="42D6B5E3" w:rsidR="009E73CF" w:rsidRPr="009E73CF" w:rsidRDefault="009E73CF" w:rsidP="00FA0207">
            <w:pPr>
              <w:spacing w:after="0"/>
              <w:jc w:val="left"/>
              <w:rPr>
                <w:sz w:val="16"/>
                <w:szCs w:val="16"/>
              </w:rPr>
            </w:pPr>
            <w:r>
              <w:rPr>
                <w:sz w:val="16"/>
                <w:szCs w:val="16"/>
              </w:rPr>
              <w:t>LCA</w:t>
            </w:r>
          </w:p>
        </w:tc>
        <w:tc>
          <w:tcPr>
            <w:tcW w:w="3460" w:type="dxa"/>
          </w:tcPr>
          <w:p w14:paraId="6C42050A" w14:textId="367AA781" w:rsidR="009E73CF" w:rsidRPr="009E73CF" w:rsidRDefault="009E73CF" w:rsidP="00FA0207">
            <w:pPr>
              <w:spacing w:after="0"/>
              <w:jc w:val="left"/>
              <w:rPr>
                <w:sz w:val="16"/>
                <w:szCs w:val="16"/>
              </w:rPr>
            </w:pPr>
            <w:r w:rsidRPr="009E73CF">
              <w:rPr>
                <w:sz w:val="16"/>
                <w:szCs w:val="16"/>
              </w:rPr>
              <w:t xml:space="preserve">It is not clear what this table represents. I’m </w:t>
            </w:r>
            <w:r w:rsidRPr="009E73CF">
              <w:rPr>
                <w:sz w:val="16"/>
                <w:szCs w:val="16"/>
              </w:rPr>
              <w:lastRenderedPageBreak/>
              <w:t>guessing it’s the inputs and outputs associated with the production of a tonne of paper, but can’t see where this is stated.</w:t>
            </w:r>
          </w:p>
        </w:tc>
        <w:tc>
          <w:tcPr>
            <w:tcW w:w="3375" w:type="dxa"/>
          </w:tcPr>
          <w:p w14:paraId="3BC85362" w14:textId="13C3EDF7" w:rsidR="009E73CF" w:rsidRPr="009E73CF" w:rsidRDefault="00C73D26" w:rsidP="00FA0207">
            <w:pPr>
              <w:spacing w:after="0"/>
              <w:jc w:val="left"/>
              <w:rPr>
                <w:sz w:val="16"/>
                <w:szCs w:val="16"/>
              </w:rPr>
            </w:pPr>
            <w:r>
              <w:rPr>
                <w:sz w:val="16"/>
                <w:szCs w:val="16"/>
              </w:rPr>
              <w:lastRenderedPageBreak/>
              <w:t>Correct. Have amended caption.</w:t>
            </w:r>
          </w:p>
        </w:tc>
        <w:tc>
          <w:tcPr>
            <w:tcW w:w="1343" w:type="dxa"/>
          </w:tcPr>
          <w:p w14:paraId="79DA88A3" w14:textId="77777777" w:rsidR="00C73D26" w:rsidRPr="00D1090A" w:rsidRDefault="00C73D26" w:rsidP="00C73D26">
            <w:pPr>
              <w:spacing w:after="0"/>
              <w:jc w:val="left"/>
              <w:rPr>
                <w:sz w:val="16"/>
                <w:szCs w:val="16"/>
              </w:rPr>
            </w:pPr>
            <w:r w:rsidRPr="00D1090A">
              <w:rPr>
                <w:sz w:val="16"/>
                <w:szCs w:val="16"/>
              </w:rPr>
              <w:fldChar w:fldCharType="begin"/>
            </w:r>
            <w:r w:rsidRPr="00D1090A">
              <w:rPr>
                <w:sz w:val="16"/>
                <w:szCs w:val="16"/>
              </w:rPr>
              <w:instrText xml:space="preserve"> REF _Ref360560152 \h </w:instrText>
            </w:r>
            <w:r>
              <w:rPr>
                <w:sz w:val="16"/>
                <w:szCs w:val="16"/>
              </w:rPr>
              <w:instrText xml:space="preserve"> \* MERGEFORMAT </w:instrText>
            </w:r>
            <w:r w:rsidRPr="00D1090A">
              <w:rPr>
                <w:sz w:val="16"/>
                <w:szCs w:val="16"/>
              </w:rPr>
            </w:r>
            <w:r w:rsidRPr="00D1090A">
              <w:rPr>
                <w:sz w:val="16"/>
                <w:szCs w:val="16"/>
              </w:rPr>
              <w:fldChar w:fldCharType="separate"/>
            </w:r>
            <w:r w:rsidR="00564E5C" w:rsidRPr="00564E5C">
              <w:rPr>
                <w:sz w:val="16"/>
                <w:szCs w:val="16"/>
              </w:rPr>
              <w:t xml:space="preserve">Appendix B – </w:t>
            </w:r>
            <w:r w:rsidR="00564E5C" w:rsidRPr="00564E5C">
              <w:rPr>
                <w:sz w:val="16"/>
                <w:szCs w:val="16"/>
              </w:rPr>
              <w:lastRenderedPageBreak/>
              <w:t>Inventory Report</w:t>
            </w:r>
            <w:r w:rsidRPr="00D1090A">
              <w:rPr>
                <w:sz w:val="16"/>
                <w:szCs w:val="16"/>
              </w:rPr>
              <w:fldChar w:fldCharType="end"/>
            </w:r>
          </w:p>
          <w:p w14:paraId="0F33AF18" w14:textId="0E79CF3C" w:rsidR="009E73CF" w:rsidRPr="009E73CF" w:rsidRDefault="00C73D26" w:rsidP="00FA0207">
            <w:pPr>
              <w:spacing w:after="0"/>
              <w:jc w:val="left"/>
              <w:rPr>
                <w:sz w:val="16"/>
                <w:szCs w:val="16"/>
              </w:rPr>
            </w:pPr>
            <w:r>
              <w:rPr>
                <w:sz w:val="16"/>
                <w:szCs w:val="16"/>
              </w:rPr>
              <w:t>Table 53</w:t>
            </w:r>
          </w:p>
        </w:tc>
      </w:tr>
      <w:tr w:rsidR="009E73CF" w:rsidRPr="00962F9F" w14:paraId="430F2CC2" w14:textId="77777777" w:rsidTr="00FA0207">
        <w:tc>
          <w:tcPr>
            <w:tcW w:w="539" w:type="dxa"/>
          </w:tcPr>
          <w:p w14:paraId="3D60CBE7" w14:textId="4007DDE1" w:rsidR="009E73CF" w:rsidRPr="009E73CF" w:rsidRDefault="009E73CF" w:rsidP="00FA0207">
            <w:pPr>
              <w:spacing w:after="0"/>
              <w:jc w:val="left"/>
              <w:rPr>
                <w:sz w:val="16"/>
                <w:szCs w:val="16"/>
              </w:rPr>
            </w:pPr>
            <w:r w:rsidRPr="009E73CF">
              <w:rPr>
                <w:sz w:val="16"/>
                <w:szCs w:val="16"/>
              </w:rPr>
              <w:lastRenderedPageBreak/>
              <w:t>18</w:t>
            </w:r>
          </w:p>
        </w:tc>
        <w:tc>
          <w:tcPr>
            <w:tcW w:w="1172" w:type="dxa"/>
          </w:tcPr>
          <w:p w14:paraId="457B2812" w14:textId="43386BB4" w:rsidR="009E73CF" w:rsidRPr="009E73CF" w:rsidRDefault="009E73CF" w:rsidP="00FA0207">
            <w:pPr>
              <w:spacing w:after="0"/>
              <w:jc w:val="left"/>
              <w:rPr>
                <w:sz w:val="16"/>
                <w:szCs w:val="16"/>
              </w:rPr>
            </w:pPr>
            <w:r>
              <w:rPr>
                <w:sz w:val="16"/>
                <w:szCs w:val="16"/>
              </w:rPr>
              <w:t>LCA</w:t>
            </w:r>
          </w:p>
        </w:tc>
        <w:tc>
          <w:tcPr>
            <w:tcW w:w="3460" w:type="dxa"/>
          </w:tcPr>
          <w:p w14:paraId="20BD1B80" w14:textId="6109FAF6" w:rsidR="009E73CF" w:rsidRPr="009E73CF" w:rsidRDefault="009E73CF" w:rsidP="00FA0207">
            <w:pPr>
              <w:spacing w:after="0"/>
              <w:jc w:val="left"/>
              <w:rPr>
                <w:sz w:val="16"/>
                <w:szCs w:val="16"/>
              </w:rPr>
            </w:pPr>
            <w:r w:rsidRPr="009E73CF">
              <w:rPr>
                <w:sz w:val="16"/>
                <w:szCs w:val="16"/>
              </w:rPr>
              <w:t>The cited source for the data in this table is not correct.</w:t>
            </w:r>
          </w:p>
        </w:tc>
        <w:tc>
          <w:tcPr>
            <w:tcW w:w="3375" w:type="dxa"/>
          </w:tcPr>
          <w:p w14:paraId="11D4B2A1" w14:textId="30C58C7B" w:rsidR="009E73CF" w:rsidRPr="009E73CF" w:rsidRDefault="009D498D" w:rsidP="00FA0207">
            <w:pPr>
              <w:spacing w:after="0"/>
              <w:jc w:val="left"/>
              <w:rPr>
                <w:sz w:val="16"/>
                <w:szCs w:val="16"/>
              </w:rPr>
            </w:pPr>
            <w:r>
              <w:rPr>
                <w:sz w:val="16"/>
                <w:szCs w:val="16"/>
              </w:rPr>
              <w:t>Source is correct. Statement says calculated from data in fig 23 of SV 2011.</w:t>
            </w:r>
          </w:p>
        </w:tc>
        <w:tc>
          <w:tcPr>
            <w:tcW w:w="1343" w:type="dxa"/>
          </w:tcPr>
          <w:p w14:paraId="191B15A8" w14:textId="77777777" w:rsidR="009D498D" w:rsidRPr="00D1090A" w:rsidRDefault="009D498D" w:rsidP="009D498D">
            <w:pPr>
              <w:spacing w:after="0"/>
              <w:jc w:val="left"/>
              <w:rPr>
                <w:sz w:val="16"/>
                <w:szCs w:val="16"/>
              </w:rPr>
            </w:pPr>
            <w:r w:rsidRPr="00D1090A">
              <w:rPr>
                <w:sz w:val="16"/>
                <w:szCs w:val="16"/>
              </w:rPr>
              <w:fldChar w:fldCharType="begin"/>
            </w:r>
            <w:r w:rsidRPr="00D1090A">
              <w:rPr>
                <w:sz w:val="16"/>
                <w:szCs w:val="16"/>
              </w:rPr>
              <w:instrText xml:space="preserve"> REF _Ref360560152 \h </w:instrText>
            </w:r>
            <w:r>
              <w:rPr>
                <w:sz w:val="16"/>
                <w:szCs w:val="16"/>
              </w:rPr>
              <w:instrText xml:space="preserve"> \* MERGEFORMAT </w:instrText>
            </w:r>
            <w:r w:rsidRPr="00D1090A">
              <w:rPr>
                <w:sz w:val="16"/>
                <w:szCs w:val="16"/>
              </w:rPr>
            </w:r>
            <w:r w:rsidRPr="00D1090A">
              <w:rPr>
                <w:sz w:val="16"/>
                <w:szCs w:val="16"/>
              </w:rPr>
              <w:fldChar w:fldCharType="separate"/>
            </w:r>
            <w:r w:rsidR="00564E5C" w:rsidRPr="00564E5C">
              <w:rPr>
                <w:sz w:val="16"/>
                <w:szCs w:val="16"/>
              </w:rPr>
              <w:t>Appendix B – Inventory Report</w:t>
            </w:r>
            <w:r w:rsidRPr="00D1090A">
              <w:rPr>
                <w:sz w:val="16"/>
                <w:szCs w:val="16"/>
              </w:rPr>
              <w:fldChar w:fldCharType="end"/>
            </w:r>
          </w:p>
          <w:p w14:paraId="27D575A6" w14:textId="70CE83B4" w:rsidR="009E73CF" w:rsidRPr="009E73CF" w:rsidRDefault="009D498D" w:rsidP="009D498D">
            <w:pPr>
              <w:spacing w:after="0"/>
              <w:jc w:val="left"/>
              <w:rPr>
                <w:sz w:val="16"/>
                <w:szCs w:val="16"/>
              </w:rPr>
            </w:pPr>
            <w:r>
              <w:rPr>
                <w:sz w:val="16"/>
                <w:szCs w:val="16"/>
              </w:rPr>
              <w:t>Table 74</w:t>
            </w:r>
          </w:p>
        </w:tc>
      </w:tr>
      <w:tr w:rsidR="009E73CF" w:rsidRPr="00962F9F" w14:paraId="7F06C133" w14:textId="77777777" w:rsidTr="00FA0207">
        <w:tc>
          <w:tcPr>
            <w:tcW w:w="539" w:type="dxa"/>
          </w:tcPr>
          <w:p w14:paraId="3834E4F2" w14:textId="7A78A064" w:rsidR="009E73CF" w:rsidRPr="009E73CF" w:rsidRDefault="009E73CF" w:rsidP="00FA0207">
            <w:pPr>
              <w:spacing w:after="0"/>
              <w:jc w:val="left"/>
              <w:rPr>
                <w:sz w:val="16"/>
                <w:szCs w:val="16"/>
              </w:rPr>
            </w:pPr>
            <w:r w:rsidRPr="009E73CF">
              <w:rPr>
                <w:sz w:val="16"/>
                <w:szCs w:val="16"/>
              </w:rPr>
              <w:t>19</w:t>
            </w:r>
          </w:p>
        </w:tc>
        <w:tc>
          <w:tcPr>
            <w:tcW w:w="1172" w:type="dxa"/>
          </w:tcPr>
          <w:p w14:paraId="603FE2EA" w14:textId="4A71F3FA" w:rsidR="009E73CF" w:rsidRPr="009E73CF" w:rsidRDefault="009E73CF" w:rsidP="00FA0207">
            <w:pPr>
              <w:spacing w:after="0"/>
              <w:jc w:val="left"/>
              <w:rPr>
                <w:sz w:val="16"/>
                <w:szCs w:val="16"/>
              </w:rPr>
            </w:pPr>
            <w:r>
              <w:rPr>
                <w:sz w:val="16"/>
                <w:szCs w:val="16"/>
              </w:rPr>
              <w:t>LCA</w:t>
            </w:r>
          </w:p>
        </w:tc>
        <w:tc>
          <w:tcPr>
            <w:tcW w:w="3460" w:type="dxa"/>
          </w:tcPr>
          <w:p w14:paraId="0DF12465" w14:textId="08FE36EE" w:rsidR="009E73CF" w:rsidRPr="009E73CF" w:rsidRDefault="009E73CF" w:rsidP="00FA0207">
            <w:pPr>
              <w:spacing w:after="0"/>
              <w:jc w:val="left"/>
              <w:rPr>
                <w:sz w:val="16"/>
                <w:szCs w:val="16"/>
              </w:rPr>
            </w:pPr>
            <w:r w:rsidRPr="009E73CF">
              <w:rPr>
                <w:sz w:val="16"/>
                <w:szCs w:val="16"/>
              </w:rPr>
              <w:t>These should be labelled by material type to allow reader interpretation.</w:t>
            </w:r>
          </w:p>
        </w:tc>
        <w:tc>
          <w:tcPr>
            <w:tcW w:w="3375" w:type="dxa"/>
          </w:tcPr>
          <w:p w14:paraId="770DF40E" w14:textId="4B4FCC14" w:rsidR="009E73CF" w:rsidRPr="009E73CF" w:rsidRDefault="009D498D" w:rsidP="00FA0207">
            <w:pPr>
              <w:spacing w:after="0"/>
              <w:jc w:val="left"/>
              <w:rPr>
                <w:sz w:val="16"/>
                <w:szCs w:val="16"/>
              </w:rPr>
            </w:pPr>
            <w:r>
              <w:rPr>
                <w:sz w:val="16"/>
                <w:szCs w:val="16"/>
              </w:rPr>
              <w:t>Yes. Labels added.</w:t>
            </w:r>
          </w:p>
        </w:tc>
        <w:tc>
          <w:tcPr>
            <w:tcW w:w="1343" w:type="dxa"/>
          </w:tcPr>
          <w:p w14:paraId="6D58B438" w14:textId="4766C006" w:rsidR="009E73CF" w:rsidRPr="009E73CF" w:rsidRDefault="009D498D" w:rsidP="00FA0207">
            <w:pPr>
              <w:spacing w:after="0"/>
              <w:jc w:val="left"/>
              <w:rPr>
                <w:sz w:val="16"/>
                <w:szCs w:val="16"/>
              </w:rPr>
            </w:pPr>
            <w:r>
              <w:rPr>
                <w:sz w:val="16"/>
                <w:szCs w:val="16"/>
              </w:rPr>
              <w:t>Appendix to inventory report.</w:t>
            </w:r>
          </w:p>
        </w:tc>
      </w:tr>
      <w:tr w:rsidR="009E73CF" w:rsidRPr="00962F9F" w14:paraId="083FE90F" w14:textId="77777777" w:rsidTr="00FA0207">
        <w:tc>
          <w:tcPr>
            <w:tcW w:w="539" w:type="dxa"/>
          </w:tcPr>
          <w:p w14:paraId="412EC148" w14:textId="3ADE627A" w:rsidR="009E73CF" w:rsidRPr="009E73CF" w:rsidRDefault="009E73CF" w:rsidP="00FA0207">
            <w:pPr>
              <w:spacing w:after="0"/>
              <w:jc w:val="left"/>
              <w:rPr>
                <w:sz w:val="16"/>
                <w:szCs w:val="16"/>
              </w:rPr>
            </w:pPr>
            <w:r w:rsidRPr="009E73CF">
              <w:rPr>
                <w:sz w:val="16"/>
                <w:szCs w:val="16"/>
              </w:rPr>
              <w:t>20</w:t>
            </w:r>
          </w:p>
        </w:tc>
        <w:tc>
          <w:tcPr>
            <w:tcW w:w="1172" w:type="dxa"/>
          </w:tcPr>
          <w:p w14:paraId="39B9B575" w14:textId="7F4A012B" w:rsidR="009E73CF" w:rsidRPr="009E73CF" w:rsidRDefault="009E73CF" w:rsidP="00FA0207">
            <w:pPr>
              <w:spacing w:after="0"/>
              <w:jc w:val="left"/>
              <w:rPr>
                <w:sz w:val="16"/>
                <w:szCs w:val="16"/>
              </w:rPr>
            </w:pPr>
            <w:r>
              <w:rPr>
                <w:sz w:val="16"/>
                <w:szCs w:val="16"/>
              </w:rPr>
              <w:t>LCA</w:t>
            </w:r>
          </w:p>
        </w:tc>
        <w:tc>
          <w:tcPr>
            <w:tcW w:w="3460" w:type="dxa"/>
          </w:tcPr>
          <w:p w14:paraId="24731C3A" w14:textId="7D7B67A1" w:rsidR="009E73CF" w:rsidRPr="009E73CF" w:rsidRDefault="009E73CF" w:rsidP="00FA0207">
            <w:pPr>
              <w:spacing w:after="0"/>
              <w:jc w:val="left"/>
              <w:rPr>
                <w:sz w:val="16"/>
                <w:szCs w:val="16"/>
              </w:rPr>
            </w:pPr>
            <w:r w:rsidRPr="009E73CF">
              <w:rPr>
                <w:sz w:val="16"/>
                <w:szCs w:val="16"/>
              </w:rPr>
              <w:t>The methane correction factor is set at 0.71 – why is this? Table 19 (p.31) says this factor is set to equal 1, which is the appropriate value. Similarly, the DOC</w:t>
            </w:r>
            <w:r w:rsidRPr="009E73CF">
              <w:rPr>
                <w:sz w:val="16"/>
                <w:szCs w:val="16"/>
                <w:vertAlign w:val="subscript"/>
              </w:rPr>
              <w:t>f</w:t>
            </w:r>
            <w:r w:rsidRPr="009E73CF">
              <w:rPr>
                <w:sz w:val="16"/>
                <w:szCs w:val="16"/>
              </w:rPr>
              <w:t xml:space="preserve"> factors for all materials are given as 0.5, which is inconsistent with the correct values given in Table 18. If these values are incorrect in the actual calculation, the correct results for waste organics could be significantly different from those presented.</w:t>
            </w:r>
          </w:p>
        </w:tc>
        <w:tc>
          <w:tcPr>
            <w:tcW w:w="3375" w:type="dxa"/>
          </w:tcPr>
          <w:p w14:paraId="0C6A2953" w14:textId="77777777" w:rsidR="009D498D" w:rsidRDefault="009D498D" w:rsidP="00FA0207">
            <w:pPr>
              <w:spacing w:after="0"/>
              <w:jc w:val="left"/>
              <w:rPr>
                <w:sz w:val="16"/>
                <w:szCs w:val="16"/>
              </w:rPr>
            </w:pPr>
            <w:r>
              <w:rPr>
                <w:sz w:val="16"/>
                <w:szCs w:val="16"/>
              </w:rPr>
              <w:t>Incorrect tables pasted from different worksheet.</w:t>
            </w:r>
          </w:p>
          <w:p w14:paraId="640F660E" w14:textId="77777777" w:rsidR="009D498D" w:rsidRDefault="009D498D" w:rsidP="00FA0207">
            <w:pPr>
              <w:spacing w:after="0"/>
              <w:jc w:val="left"/>
              <w:rPr>
                <w:sz w:val="16"/>
                <w:szCs w:val="16"/>
              </w:rPr>
            </w:pPr>
            <w:r>
              <w:rPr>
                <w:sz w:val="16"/>
                <w:szCs w:val="16"/>
              </w:rPr>
              <w:t>Correct tables added. MCF is 1.0.</w:t>
            </w:r>
          </w:p>
          <w:p w14:paraId="6F0EA4ED" w14:textId="34F15C17" w:rsidR="009E73CF" w:rsidRPr="009E73CF" w:rsidRDefault="009D498D" w:rsidP="00FA0207">
            <w:pPr>
              <w:spacing w:after="0"/>
              <w:jc w:val="left"/>
              <w:rPr>
                <w:sz w:val="16"/>
                <w:szCs w:val="16"/>
              </w:rPr>
            </w:pPr>
            <w:r>
              <w:rPr>
                <w:sz w:val="16"/>
                <w:szCs w:val="16"/>
              </w:rPr>
              <w:t>Values now consistent with Table 18.</w:t>
            </w:r>
          </w:p>
        </w:tc>
        <w:tc>
          <w:tcPr>
            <w:tcW w:w="1343" w:type="dxa"/>
          </w:tcPr>
          <w:p w14:paraId="1FD9F95B" w14:textId="18C6A1C3" w:rsidR="009E73CF" w:rsidRPr="009E73CF" w:rsidRDefault="009D498D" w:rsidP="00FA0207">
            <w:pPr>
              <w:spacing w:after="0"/>
              <w:jc w:val="left"/>
              <w:rPr>
                <w:sz w:val="16"/>
                <w:szCs w:val="16"/>
              </w:rPr>
            </w:pPr>
            <w:r>
              <w:rPr>
                <w:sz w:val="16"/>
                <w:szCs w:val="16"/>
              </w:rPr>
              <w:t>Appendix to inventory report.</w:t>
            </w:r>
          </w:p>
        </w:tc>
      </w:tr>
    </w:tbl>
    <w:p w14:paraId="0D4946CD" w14:textId="3DCB2258" w:rsidR="00E076B3" w:rsidRDefault="00E076B3" w:rsidP="00942F73">
      <w:pPr>
        <w:spacing w:after="0"/>
        <w:ind w:left="720" w:hanging="720"/>
      </w:pPr>
    </w:p>
    <w:p w14:paraId="0D4946CE" w14:textId="22FFCDAF" w:rsidR="00E076B3" w:rsidRDefault="00E076B3" w:rsidP="00E076B3">
      <w:pPr>
        <w:pStyle w:val="Heading1"/>
        <w:numPr>
          <w:ilvl w:val="0"/>
          <w:numId w:val="0"/>
        </w:numPr>
        <w:ind w:left="1134" w:hanging="1134"/>
        <w:rPr>
          <w:lang w:val="en-AU"/>
        </w:rPr>
      </w:pPr>
      <w:bookmarkStart w:id="382" w:name="_Ref360130410"/>
      <w:bookmarkStart w:id="383" w:name="_Toc433964607"/>
      <w:r>
        <w:rPr>
          <w:lang w:val="en-AU"/>
        </w:rPr>
        <w:lastRenderedPageBreak/>
        <w:t xml:space="preserve">Appendix </w:t>
      </w:r>
      <w:r w:rsidR="008B48D4">
        <w:rPr>
          <w:lang w:val="en-AU"/>
        </w:rPr>
        <w:t>F</w:t>
      </w:r>
      <w:r>
        <w:rPr>
          <w:lang w:val="en-AU"/>
        </w:rPr>
        <w:t xml:space="preserve"> – Reviewer letter</w:t>
      </w:r>
      <w:bookmarkEnd w:id="382"/>
      <w:bookmarkEnd w:id="383"/>
    </w:p>
    <w:p w14:paraId="3C4D1F03" w14:textId="77777777" w:rsidR="009E73CF" w:rsidRDefault="009E73CF" w:rsidP="00942F73">
      <w:pPr>
        <w:spacing w:after="0"/>
        <w:ind w:left="720" w:hanging="720"/>
      </w:pPr>
    </w:p>
    <w:p w14:paraId="2E8DB300" w14:textId="144EBA78" w:rsidR="00A067DF" w:rsidRDefault="00A067DF" w:rsidP="00942F73">
      <w:pPr>
        <w:spacing w:after="0"/>
        <w:ind w:left="720" w:hanging="720"/>
        <w:sectPr w:rsidR="00A067DF" w:rsidSect="006555B4">
          <w:pgSz w:w="11906" w:h="16838"/>
          <w:pgMar w:top="1418" w:right="1440" w:bottom="1418" w:left="1440" w:header="709" w:footer="488" w:gutter="0"/>
          <w:cols w:space="708"/>
          <w:docGrid w:linePitch="360"/>
        </w:sectPr>
      </w:pPr>
      <w:r>
        <w:rPr>
          <w:noProof/>
        </w:rPr>
        <w:drawing>
          <wp:inline distT="0" distB="0" distL="0" distR="0" wp14:anchorId="2B5449C3" wp14:editId="5C3757E7">
            <wp:extent cx="5500577" cy="7051562"/>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40469" t="15445" r="21783" b="7129"/>
                    <a:stretch/>
                  </pic:blipFill>
                  <pic:spPr bwMode="auto">
                    <a:xfrm>
                      <a:off x="0" y="0"/>
                      <a:ext cx="5504521" cy="7056618"/>
                    </a:xfrm>
                    <a:prstGeom prst="rect">
                      <a:avLst/>
                    </a:prstGeom>
                    <a:ln>
                      <a:noFill/>
                    </a:ln>
                    <a:extLst>
                      <a:ext uri="{53640926-AAD7-44D8-BBD7-CCE9431645EC}">
                        <a14:shadowObscured xmlns:a14="http://schemas.microsoft.com/office/drawing/2010/main"/>
                      </a:ext>
                    </a:extLst>
                  </pic:spPr>
                </pic:pic>
              </a:graphicData>
            </a:graphic>
          </wp:inline>
        </w:drawing>
      </w:r>
    </w:p>
    <w:p w14:paraId="0D4946CF" w14:textId="0ABBB3B9" w:rsidR="00E076B3" w:rsidRDefault="00A067DF" w:rsidP="00942F73">
      <w:pPr>
        <w:spacing w:after="0"/>
        <w:ind w:left="720" w:hanging="720"/>
      </w:pPr>
      <w:r>
        <w:rPr>
          <w:noProof/>
        </w:rPr>
        <w:lastRenderedPageBreak/>
        <w:drawing>
          <wp:inline distT="0" distB="0" distL="0" distR="0" wp14:anchorId="647E3B1D" wp14:editId="3F81D4FE">
            <wp:extent cx="4862623" cy="614472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40099" t="15445" r="21411" b="6733"/>
                    <a:stretch/>
                  </pic:blipFill>
                  <pic:spPr bwMode="auto">
                    <a:xfrm>
                      <a:off x="0" y="0"/>
                      <a:ext cx="4866109" cy="6149133"/>
                    </a:xfrm>
                    <a:prstGeom prst="rect">
                      <a:avLst/>
                    </a:prstGeom>
                    <a:ln>
                      <a:noFill/>
                    </a:ln>
                    <a:extLst>
                      <a:ext uri="{53640926-AAD7-44D8-BBD7-CCE9431645EC}">
                        <a14:shadowObscured xmlns:a14="http://schemas.microsoft.com/office/drawing/2010/main"/>
                      </a:ext>
                    </a:extLst>
                  </pic:spPr>
                </pic:pic>
              </a:graphicData>
            </a:graphic>
          </wp:inline>
        </w:drawing>
      </w:r>
    </w:p>
    <w:p w14:paraId="33EC4910" w14:textId="77777777" w:rsidR="00A067DF" w:rsidRDefault="00A067DF" w:rsidP="00942F73">
      <w:pPr>
        <w:spacing w:after="0"/>
        <w:ind w:left="720" w:hanging="720"/>
      </w:pPr>
    </w:p>
    <w:p w14:paraId="2620EAA6" w14:textId="3203DE3E" w:rsidR="00A067DF" w:rsidRDefault="00A067DF" w:rsidP="00942F73">
      <w:pPr>
        <w:spacing w:after="0"/>
        <w:ind w:left="720" w:hanging="720"/>
      </w:pPr>
      <w:r>
        <w:rPr>
          <w:noProof/>
        </w:rPr>
        <w:lastRenderedPageBreak/>
        <w:drawing>
          <wp:inline distT="0" distB="0" distL="0" distR="0" wp14:anchorId="0C9FDF4F" wp14:editId="5FE4F250">
            <wp:extent cx="5337544" cy="671054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40223" t="15643" r="21287" b="6931"/>
                    <a:stretch/>
                  </pic:blipFill>
                  <pic:spPr bwMode="auto">
                    <a:xfrm>
                      <a:off x="0" y="0"/>
                      <a:ext cx="5341370" cy="6715356"/>
                    </a:xfrm>
                    <a:prstGeom prst="rect">
                      <a:avLst/>
                    </a:prstGeom>
                    <a:ln>
                      <a:noFill/>
                    </a:ln>
                    <a:extLst>
                      <a:ext uri="{53640926-AAD7-44D8-BBD7-CCE9431645EC}">
                        <a14:shadowObscured xmlns:a14="http://schemas.microsoft.com/office/drawing/2010/main"/>
                      </a:ext>
                    </a:extLst>
                  </pic:spPr>
                </pic:pic>
              </a:graphicData>
            </a:graphic>
          </wp:inline>
        </w:drawing>
      </w:r>
    </w:p>
    <w:p w14:paraId="1325F3BA" w14:textId="41190239" w:rsidR="00A067DF" w:rsidRDefault="00A067DF" w:rsidP="00942F73">
      <w:pPr>
        <w:spacing w:after="0"/>
        <w:ind w:left="720" w:hanging="720"/>
      </w:pPr>
      <w:r>
        <w:rPr>
          <w:noProof/>
        </w:rPr>
        <w:lastRenderedPageBreak/>
        <w:drawing>
          <wp:inline distT="0" distB="0" distL="0" distR="0" wp14:anchorId="45E58565" wp14:editId="39E018DF">
            <wp:extent cx="5387163" cy="6851637"/>
            <wp:effectExtent l="0" t="0" r="444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40346" t="15643" r="21411" b="6535"/>
                    <a:stretch/>
                  </pic:blipFill>
                  <pic:spPr bwMode="auto">
                    <a:xfrm>
                      <a:off x="0" y="0"/>
                      <a:ext cx="5391027" cy="6856551"/>
                    </a:xfrm>
                    <a:prstGeom prst="rect">
                      <a:avLst/>
                    </a:prstGeom>
                    <a:ln>
                      <a:noFill/>
                    </a:ln>
                    <a:extLst>
                      <a:ext uri="{53640926-AAD7-44D8-BBD7-CCE9431645EC}">
                        <a14:shadowObscured xmlns:a14="http://schemas.microsoft.com/office/drawing/2010/main"/>
                      </a:ext>
                    </a:extLst>
                  </pic:spPr>
                </pic:pic>
              </a:graphicData>
            </a:graphic>
          </wp:inline>
        </w:drawing>
      </w:r>
    </w:p>
    <w:p w14:paraId="474BC6DE" w14:textId="327B4A0F" w:rsidR="00A067DF" w:rsidRPr="00E14C8D" w:rsidRDefault="00A067DF" w:rsidP="00942F73">
      <w:pPr>
        <w:spacing w:after="0"/>
        <w:ind w:left="720" w:hanging="720"/>
      </w:pPr>
      <w:r>
        <w:rPr>
          <w:noProof/>
        </w:rPr>
        <w:lastRenderedPageBreak/>
        <w:drawing>
          <wp:inline distT="0" distB="0" distL="0" distR="0" wp14:anchorId="2515E85C" wp14:editId="58971B6A">
            <wp:extent cx="5486400" cy="69956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40099" t="15643" r="21658" b="6337"/>
                    <a:stretch/>
                  </pic:blipFill>
                  <pic:spPr bwMode="auto">
                    <a:xfrm>
                      <a:off x="0" y="0"/>
                      <a:ext cx="5490333" cy="7000620"/>
                    </a:xfrm>
                    <a:prstGeom prst="rect">
                      <a:avLst/>
                    </a:prstGeom>
                    <a:ln>
                      <a:noFill/>
                    </a:ln>
                    <a:extLst>
                      <a:ext uri="{53640926-AAD7-44D8-BBD7-CCE9431645EC}">
                        <a14:shadowObscured xmlns:a14="http://schemas.microsoft.com/office/drawing/2010/main"/>
                      </a:ext>
                    </a:extLst>
                  </pic:spPr>
                </pic:pic>
              </a:graphicData>
            </a:graphic>
          </wp:inline>
        </w:drawing>
      </w:r>
    </w:p>
    <w:sectPr w:rsidR="00A067DF" w:rsidRPr="00E14C8D" w:rsidSect="006555B4">
      <w:pgSz w:w="11906" w:h="16838"/>
      <w:pgMar w:top="1418" w:right="1440" w:bottom="1418" w:left="1440" w:header="709"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D62CD" w14:textId="77777777" w:rsidR="00FA4FCC" w:rsidRDefault="00FA4FCC" w:rsidP="00D5076F">
      <w:r>
        <w:separator/>
      </w:r>
    </w:p>
  </w:endnote>
  <w:endnote w:type="continuationSeparator" w:id="0">
    <w:p w14:paraId="76F193D7" w14:textId="77777777" w:rsidR="00FA4FCC" w:rsidRDefault="00FA4FCC" w:rsidP="00D50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9473D" w14:textId="77777777" w:rsidR="00FA4FCC" w:rsidRPr="00A07EA2" w:rsidRDefault="00FA4FCC" w:rsidP="000F3269">
    <w:pPr>
      <w:pStyle w:val="CfDFooter"/>
    </w:pPr>
    <w:r>
      <w:rPr>
        <w:lang w:val="en-AU" w:eastAsia="en-AU"/>
      </w:rPr>
      <w:drawing>
        <wp:anchor distT="0" distB="0" distL="114300" distR="114300" simplePos="0" relativeHeight="251535360" behindDoc="0" locked="0" layoutInCell="1" allowOverlap="1" wp14:anchorId="0D494748" wp14:editId="0D494749">
          <wp:simplePos x="0" y="0"/>
          <wp:positionH relativeFrom="column">
            <wp:posOffset>4182110</wp:posOffset>
          </wp:positionH>
          <wp:positionV relativeFrom="paragraph">
            <wp:posOffset>53340</wp:posOffset>
          </wp:positionV>
          <wp:extent cx="1632585" cy="3359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58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506688" behindDoc="0" locked="0" layoutInCell="1" allowOverlap="1" wp14:anchorId="0D49474A" wp14:editId="0D49474B">
          <wp:simplePos x="0" y="0"/>
          <wp:positionH relativeFrom="column">
            <wp:posOffset>0</wp:posOffset>
          </wp:positionH>
          <wp:positionV relativeFrom="paragraph">
            <wp:posOffset>125095</wp:posOffset>
          </wp:positionV>
          <wp:extent cx="731520" cy="264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26416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Title  \* MERGEFORMAT ">
      <w:r w:rsidR="00564E5C">
        <w:t>Project Title</w:t>
      </w:r>
    </w:fldSimple>
  </w:p>
  <w:p w14:paraId="0D49473E" w14:textId="77777777" w:rsidR="00FA4FCC" w:rsidRPr="00A07EA2" w:rsidRDefault="00FA4FCC" w:rsidP="000F3269">
    <w:pPr>
      <w:pStyle w:val="CfDFooter"/>
    </w:pPr>
    <w:r w:rsidRPr="00A07EA2">
      <w:t xml:space="preserve">Issue: </w:t>
    </w:r>
    <w:fldSimple w:instr=" DOCPROPERTY  &quot;Issue Date&quot;  \* MERGEFORMAT ">
      <w:r w:rsidR="00564E5C" w:rsidRPr="00564E5C">
        <w:rPr>
          <w:bCs/>
          <w:lang w:val="en-US"/>
        </w:rPr>
        <w:t>20 August 2011</w:t>
      </w:r>
    </w:fldSimple>
  </w:p>
  <w:p w14:paraId="0D49473F" w14:textId="77777777" w:rsidR="00FA4FCC" w:rsidRDefault="00FA4FCC" w:rsidP="000F3269">
    <w:pPr>
      <w:pStyle w:val="CfDFooter"/>
    </w:pPr>
    <w:r w:rsidRPr="00A07EA2">
      <w:t xml:space="preserve">Version: </w:t>
    </w:r>
    <w:fldSimple w:instr=" DOCPROPERTY  &quot;Document Version&quot;  \* MERGEFORMAT ">
      <w:r w:rsidR="00564E5C" w:rsidRPr="00564E5C">
        <w:rPr>
          <w:bCs/>
          <w:lang w:val="en-US"/>
        </w:rPr>
        <w:t>1.0</w:t>
      </w:r>
    </w:fldSimple>
  </w:p>
  <w:p w14:paraId="0D494740" w14:textId="77777777" w:rsidR="00FA4FCC" w:rsidRDefault="00FA4FCC" w:rsidP="00D507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49F4" w14:textId="362CD604" w:rsidR="00FA4FCC" w:rsidRPr="00252613" w:rsidRDefault="00FA4FCC" w:rsidP="000D686E">
    <w:pPr>
      <w:pStyle w:val="CfDFooter"/>
      <w:rPr>
        <w:b/>
      </w:rPr>
    </w:pPr>
    <w:r>
      <w:rPr>
        <w:lang w:val="en-AU" w:eastAsia="en-AU"/>
      </w:rPr>
      <w:drawing>
        <wp:anchor distT="0" distB="0" distL="114300" distR="114300" simplePos="0" relativeHeight="251634688" behindDoc="0" locked="0" layoutInCell="1" allowOverlap="1" wp14:anchorId="0D494752" wp14:editId="711B2141">
          <wp:simplePos x="0" y="0"/>
          <wp:positionH relativeFrom="column">
            <wp:posOffset>-304800</wp:posOffset>
          </wp:positionH>
          <wp:positionV relativeFrom="paragraph">
            <wp:posOffset>70485</wp:posOffset>
          </wp:positionV>
          <wp:extent cx="881380" cy="393065"/>
          <wp:effectExtent l="0" t="0" r="0" b="6985"/>
          <wp:wrapNone/>
          <wp:docPr id="43" name="Picture 43"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54AF9" w14:textId="3A15C66A" w:rsidR="00FA4FCC" w:rsidRDefault="00FA4FCC" w:rsidP="00FF5764">
    <w:pPr>
      <w:pStyle w:val="CfDFooter"/>
      <w:rPr>
        <w:lang w:val="en-AU"/>
      </w:rPr>
    </w:pPr>
    <w:r w:rsidRPr="003322F2">
      <w:t>LCA of Kerbside Recyc</w:t>
    </w:r>
    <w:r>
      <w:rPr>
        <w:lang w:val="en-AU"/>
      </w:rPr>
      <w:t>ling</w:t>
    </w:r>
    <w:r w:rsidRPr="003322F2">
      <w:t xml:space="preserve"> in Victoria</w:t>
    </w:r>
  </w:p>
  <w:p w14:paraId="0D494743" w14:textId="1BFA149E" w:rsidR="00FA4FCC" w:rsidRPr="00D5076F" w:rsidRDefault="00FA4FCC" w:rsidP="00FF5764">
    <w:pPr>
      <w:pStyle w:val="CfDFooter"/>
    </w:pPr>
    <w:r>
      <w:t xml:space="preserve">Page </w:t>
    </w:r>
    <w:r>
      <w:fldChar w:fldCharType="begin"/>
    </w:r>
    <w:r>
      <w:instrText xml:space="preserve"> PAGE   \* MERGEFORMAT </w:instrText>
    </w:r>
    <w:r>
      <w:fldChar w:fldCharType="separate"/>
    </w:r>
    <w:r w:rsidR="00564E5C">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E584" w14:textId="38D7B798" w:rsidR="00FA4FCC" w:rsidRPr="00252613" w:rsidRDefault="00FA4FCC" w:rsidP="000D686E">
    <w:pPr>
      <w:pStyle w:val="CfDFooter"/>
      <w:rPr>
        <w:b/>
      </w:rPr>
    </w:pPr>
    <w:r>
      <w:rPr>
        <w:lang w:val="en-AU" w:eastAsia="en-AU"/>
      </w:rPr>
      <w:drawing>
        <wp:anchor distT="0" distB="0" distL="114300" distR="114300" simplePos="0" relativeHeight="251592704" behindDoc="0" locked="0" layoutInCell="1" allowOverlap="1" wp14:anchorId="0D494756" wp14:editId="60F07519">
          <wp:simplePos x="0" y="0"/>
          <wp:positionH relativeFrom="column">
            <wp:posOffset>-85725</wp:posOffset>
          </wp:positionH>
          <wp:positionV relativeFrom="paragraph">
            <wp:posOffset>51435</wp:posOffset>
          </wp:positionV>
          <wp:extent cx="881380" cy="393065"/>
          <wp:effectExtent l="0" t="0" r="0" b="6985"/>
          <wp:wrapNone/>
          <wp:docPr id="12"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anchor>
      </w:drawing>
    </w:r>
    <w:r>
      <w:rPr>
        <w:lang w:val="en-AU" w:eastAsia="en-AU"/>
      </w:rPr>
      <w:drawing>
        <wp:anchor distT="0" distB="0" distL="114300" distR="114300" simplePos="0" relativeHeight="251619328" behindDoc="0" locked="0" layoutInCell="1" allowOverlap="1" wp14:anchorId="59302FA7" wp14:editId="4C262784">
          <wp:simplePos x="0" y="0"/>
          <wp:positionH relativeFrom="column">
            <wp:posOffset>4966335</wp:posOffset>
          </wp:positionH>
          <wp:positionV relativeFrom="paragraph">
            <wp:posOffset>3508375</wp:posOffset>
          </wp:positionV>
          <wp:extent cx="1644015" cy="395605"/>
          <wp:effectExtent l="0" t="0" r="0" b="4445"/>
          <wp:wrapNone/>
          <wp:docPr id="50" name="Picture 6" descr="Description: Centre for Design muse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entre for Design museo 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59F97" w14:textId="24243731" w:rsidR="00FA4FCC" w:rsidRDefault="00FA4FCC" w:rsidP="003322F2">
    <w:pPr>
      <w:pStyle w:val="CfDFooter"/>
      <w:rPr>
        <w:lang w:val="en-AU"/>
      </w:rPr>
    </w:pPr>
    <w:r w:rsidRPr="003322F2">
      <w:t>LCA of Kerbside Recyc</w:t>
    </w:r>
    <w:r>
      <w:rPr>
        <w:lang w:val="en-AU"/>
      </w:rPr>
      <w:t>ling</w:t>
    </w:r>
    <w:r w:rsidRPr="003322F2">
      <w:t xml:space="preserve"> in Victoria</w:t>
    </w:r>
  </w:p>
  <w:p w14:paraId="0D494745" w14:textId="61783A68" w:rsidR="00FA4FCC" w:rsidRPr="00D5076F" w:rsidRDefault="00FA4FCC" w:rsidP="00FF5764">
    <w:pPr>
      <w:pStyle w:val="CfDFooter"/>
    </w:pPr>
    <w:r>
      <w:t xml:space="preserve">Page </w:t>
    </w:r>
    <w:r>
      <w:fldChar w:fldCharType="begin"/>
    </w:r>
    <w:r>
      <w:instrText xml:space="preserve"> PAGE   \* MERGEFORMAT </w:instrText>
    </w:r>
    <w:r>
      <w:fldChar w:fldCharType="separate"/>
    </w:r>
    <w:r w:rsidR="00564E5C">
      <w:t>23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EC48F" w14:textId="6EC6D003" w:rsidR="00FA4FCC" w:rsidRPr="00252613" w:rsidRDefault="00FA4FCC" w:rsidP="000D686E">
    <w:pPr>
      <w:pStyle w:val="CfDFooter"/>
      <w:rPr>
        <w:b/>
      </w:rPr>
    </w:pPr>
    <w:r>
      <w:rPr>
        <w:lang w:val="en-AU" w:eastAsia="en-AU"/>
      </w:rPr>
      <w:drawing>
        <wp:anchor distT="0" distB="0" distL="114300" distR="114300" simplePos="0" relativeHeight="251563008" behindDoc="0" locked="0" layoutInCell="1" allowOverlap="1" wp14:anchorId="0D494758" wp14:editId="5C26F3DB">
          <wp:simplePos x="0" y="0"/>
          <wp:positionH relativeFrom="column">
            <wp:posOffset>-523875</wp:posOffset>
          </wp:positionH>
          <wp:positionV relativeFrom="paragraph">
            <wp:posOffset>133985</wp:posOffset>
          </wp:positionV>
          <wp:extent cx="881380" cy="393065"/>
          <wp:effectExtent l="0" t="0" r="0" b="6985"/>
          <wp:wrapNone/>
          <wp:docPr id="17"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029FA" w14:textId="3A3C83B0" w:rsidR="00FA4FCC" w:rsidRDefault="00FA4FCC" w:rsidP="003322F2">
    <w:pPr>
      <w:pStyle w:val="CfDFooter"/>
      <w:rPr>
        <w:lang w:val="en-AU"/>
      </w:rPr>
    </w:pPr>
    <w:r w:rsidRPr="003322F2">
      <w:t>LCA of Kerbside</w:t>
    </w:r>
    <w:r w:rsidRPr="009B5E5E">
      <w:t xml:space="preserve"> </w:t>
    </w:r>
    <w:r w:rsidRPr="003322F2">
      <w:t>Recyc</w:t>
    </w:r>
    <w:r>
      <w:rPr>
        <w:lang w:val="en-AU"/>
      </w:rPr>
      <w:t>ling</w:t>
    </w:r>
    <w:r w:rsidRPr="003322F2">
      <w:t xml:space="preserve"> in Victoria</w:t>
    </w:r>
  </w:p>
  <w:p w14:paraId="0D494747" w14:textId="41A84EB4" w:rsidR="00FA4FCC" w:rsidRPr="00D5076F" w:rsidRDefault="00FA4FCC" w:rsidP="00FF5764">
    <w:pPr>
      <w:pStyle w:val="CfDFooter"/>
    </w:pPr>
    <w:r>
      <w:rPr>
        <w:lang w:val="en-AU" w:eastAsia="en-AU"/>
      </w:rPr>
      <w:drawing>
        <wp:anchor distT="0" distB="0" distL="114300" distR="114300" simplePos="0" relativeHeight="251534336" behindDoc="0" locked="0" layoutInCell="1" allowOverlap="1" wp14:anchorId="0D49475A" wp14:editId="0D49475B">
          <wp:simplePos x="0" y="0"/>
          <wp:positionH relativeFrom="column">
            <wp:posOffset>7865110</wp:posOffset>
          </wp:positionH>
          <wp:positionV relativeFrom="paragraph">
            <wp:posOffset>-200660</wp:posOffset>
          </wp:positionV>
          <wp:extent cx="1644015" cy="395605"/>
          <wp:effectExtent l="0" t="0" r="0" b="4445"/>
          <wp:wrapNone/>
          <wp:docPr id="20" name="Picture 6" descr="Description: Centre for Design muse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entre for Design museo 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rsidR="00564E5C">
      <w:t>31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5552" w14:textId="44662F63" w:rsidR="00FA4FCC" w:rsidRPr="00252613" w:rsidRDefault="00FA4FCC" w:rsidP="000D686E">
    <w:pPr>
      <w:pStyle w:val="CfDFooter"/>
      <w:rPr>
        <w:b/>
      </w:rPr>
    </w:pPr>
    <w:r>
      <w:rPr>
        <w:lang w:val="en-AU" w:eastAsia="en-AU"/>
      </w:rPr>
      <w:drawing>
        <wp:anchor distT="0" distB="0" distL="114300" distR="114300" simplePos="0" relativeHeight="251689984" behindDoc="0" locked="0" layoutInCell="1" allowOverlap="1" wp14:anchorId="04AB8C5E" wp14:editId="4434B7D5">
          <wp:simplePos x="0" y="0"/>
          <wp:positionH relativeFrom="column">
            <wp:posOffset>-523875</wp:posOffset>
          </wp:positionH>
          <wp:positionV relativeFrom="paragraph">
            <wp:posOffset>133985</wp:posOffset>
          </wp:positionV>
          <wp:extent cx="881380" cy="393065"/>
          <wp:effectExtent l="0" t="0" r="0" b="6985"/>
          <wp:wrapNone/>
          <wp:docPr id="171"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DEBE6" w14:textId="6EA9ED7F" w:rsidR="00FA4FCC" w:rsidRDefault="00FA4FCC" w:rsidP="003322F2">
    <w:pPr>
      <w:pStyle w:val="CfDFooter"/>
      <w:rPr>
        <w:lang w:val="en-AU"/>
      </w:rPr>
    </w:pPr>
    <w:r w:rsidRPr="003322F2">
      <w:t>LCA of Kerbside Recyc</w:t>
    </w:r>
    <w:r>
      <w:rPr>
        <w:lang w:val="en-AU"/>
      </w:rPr>
      <w:t>ling</w:t>
    </w:r>
    <w:r w:rsidRPr="003322F2">
      <w:t xml:space="preserve"> in Victoria</w:t>
    </w:r>
  </w:p>
  <w:p w14:paraId="486FD0D6" w14:textId="5D6600A2" w:rsidR="00FA4FCC" w:rsidRPr="00D5076F" w:rsidRDefault="00FA4FCC" w:rsidP="00FF5764">
    <w:pPr>
      <w:pStyle w:val="CfDFooter"/>
    </w:pPr>
    <w:r>
      <w:t xml:space="preserve">Page </w:t>
    </w:r>
    <w:r>
      <w:fldChar w:fldCharType="begin"/>
    </w:r>
    <w:r>
      <w:instrText xml:space="preserve"> PAGE   \* MERGEFORMAT </w:instrText>
    </w:r>
    <w:r>
      <w:fldChar w:fldCharType="separate"/>
    </w:r>
    <w:r w:rsidR="00564E5C">
      <w:t>33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E3C7" w14:textId="60361614" w:rsidR="00FA4FCC" w:rsidRPr="00252613" w:rsidRDefault="00FA4FCC" w:rsidP="000D686E">
    <w:pPr>
      <w:pStyle w:val="CfDFooter"/>
      <w:rPr>
        <w:b/>
      </w:rPr>
    </w:pPr>
    <w:r>
      <w:rPr>
        <w:lang w:val="en-AU" w:eastAsia="en-AU"/>
      </w:rPr>
      <w:drawing>
        <wp:anchor distT="0" distB="0" distL="114300" distR="114300" simplePos="0" relativeHeight="251718656" behindDoc="0" locked="0" layoutInCell="1" allowOverlap="1" wp14:anchorId="47C7A30E" wp14:editId="15F9EDA9">
          <wp:simplePos x="0" y="0"/>
          <wp:positionH relativeFrom="column">
            <wp:posOffset>-523875</wp:posOffset>
          </wp:positionH>
          <wp:positionV relativeFrom="paragraph">
            <wp:posOffset>133985</wp:posOffset>
          </wp:positionV>
          <wp:extent cx="881380" cy="393065"/>
          <wp:effectExtent l="0" t="0" r="0" b="6985"/>
          <wp:wrapNone/>
          <wp:docPr id="173"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308C1" w14:textId="5F1D71B3" w:rsidR="00FA4FCC" w:rsidRDefault="00FA4FCC" w:rsidP="003322F2">
    <w:pPr>
      <w:pStyle w:val="CfDFooter"/>
      <w:rPr>
        <w:lang w:val="en-AU"/>
      </w:rPr>
    </w:pPr>
    <w:r w:rsidRPr="003322F2">
      <w:t>LCA of Kerbside Recyc</w:t>
    </w:r>
    <w:r>
      <w:rPr>
        <w:lang w:val="en-AU"/>
      </w:rPr>
      <w:t>ling</w:t>
    </w:r>
    <w:r w:rsidRPr="003322F2">
      <w:t xml:space="preserve"> in Victoria</w:t>
    </w:r>
  </w:p>
  <w:p w14:paraId="7A73CE8B" w14:textId="77777777" w:rsidR="00FA4FCC" w:rsidRPr="00D5076F" w:rsidRDefault="00FA4FCC" w:rsidP="00FF5764">
    <w:pPr>
      <w:pStyle w:val="CfDFooter"/>
    </w:pPr>
    <w:r>
      <w:rPr>
        <w:lang w:val="en-AU" w:eastAsia="en-AU"/>
      </w:rPr>
      <w:drawing>
        <wp:anchor distT="0" distB="0" distL="114300" distR="114300" simplePos="0" relativeHeight="251704320" behindDoc="0" locked="0" layoutInCell="1" allowOverlap="1" wp14:anchorId="05216972" wp14:editId="6DD6DE4D">
          <wp:simplePos x="0" y="0"/>
          <wp:positionH relativeFrom="column">
            <wp:posOffset>7865110</wp:posOffset>
          </wp:positionH>
          <wp:positionV relativeFrom="paragraph">
            <wp:posOffset>-200660</wp:posOffset>
          </wp:positionV>
          <wp:extent cx="1644015" cy="395605"/>
          <wp:effectExtent l="0" t="0" r="0" b="4445"/>
          <wp:wrapNone/>
          <wp:docPr id="174" name="Picture 6" descr="Description: Centre for Design muse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entre for Design museo 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rsidR="00564E5C">
      <w:t>56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A444D" w14:textId="5852C3A6" w:rsidR="00FA4FCC" w:rsidRPr="00252613" w:rsidRDefault="00FA4FCC" w:rsidP="000D686E">
    <w:pPr>
      <w:pStyle w:val="CfDFooter"/>
      <w:rPr>
        <w:b/>
      </w:rPr>
    </w:pPr>
    <w:r>
      <w:rPr>
        <w:lang w:val="en-AU" w:eastAsia="en-AU"/>
      </w:rPr>
      <w:drawing>
        <wp:anchor distT="0" distB="0" distL="114300" distR="114300" simplePos="0" relativeHeight="251771904" behindDoc="0" locked="0" layoutInCell="1" allowOverlap="1" wp14:anchorId="63936A88" wp14:editId="7A8F5A77">
          <wp:simplePos x="0" y="0"/>
          <wp:positionH relativeFrom="column">
            <wp:posOffset>-523875</wp:posOffset>
          </wp:positionH>
          <wp:positionV relativeFrom="paragraph">
            <wp:posOffset>133985</wp:posOffset>
          </wp:positionV>
          <wp:extent cx="881380" cy="393065"/>
          <wp:effectExtent l="0" t="0" r="0" b="6985"/>
          <wp:wrapNone/>
          <wp:docPr id="181"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B065A" w14:textId="16F4DC73" w:rsidR="00FA4FCC" w:rsidRDefault="00FA4FCC" w:rsidP="003322F2">
    <w:pPr>
      <w:pStyle w:val="CfDFooter"/>
      <w:rPr>
        <w:lang w:val="en-AU"/>
      </w:rPr>
    </w:pPr>
    <w:r w:rsidRPr="003322F2">
      <w:t>LCA of Kerbside Recyc</w:t>
    </w:r>
    <w:r>
      <w:rPr>
        <w:lang w:val="en-AU"/>
      </w:rPr>
      <w:t>ling</w:t>
    </w:r>
    <w:r w:rsidRPr="003322F2">
      <w:t xml:space="preserve"> in Victoria</w:t>
    </w:r>
  </w:p>
  <w:p w14:paraId="23FF965F" w14:textId="301F318E" w:rsidR="00FA4FCC" w:rsidRPr="00D5076F" w:rsidRDefault="00FA4FCC" w:rsidP="00FF5764">
    <w:pPr>
      <w:pStyle w:val="CfDFooter"/>
    </w:pPr>
    <w:r>
      <w:t xml:space="preserve">Page </w:t>
    </w:r>
    <w:r>
      <w:fldChar w:fldCharType="begin"/>
    </w:r>
    <w:r>
      <w:instrText xml:space="preserve"> PAGE   \* MERGEFORMAT </w:instrText>
    </w:r>
    <w:r>
      <w:fldChar w:fldCharType="separate"/>
    </w:r>
    <w:r w:rsidR="00564E5C">
      <w:t>59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0C400" w14:textId="5F3697D6" w:rsidR="00FA4FCC" w:rsidRPr="00252613" w:rsidRDefault="00FA4FCC" w:rsidP="000D686E">
    <w:pPr>
      <w:pStyle w:val="CfDFooter"/>
      <w:rPr>
        <w:b/>
      </w:rPr>
    </w:pPr>
    <w:r>
      <w:rPr>
        <w:lang w:val="en-AU" w:eastAsia="en-AU"/>
      </w:rPr>
      <w:drawing>
        <wp:anchor distT="0" distB="0" distL="114300" distR="114300" simplePos="0" relativeHeight="251796480" behindDoc="0" locked="0" layoutInCell="1" allowOverlap="1" wp14:anchorId="5050006F" wp14:editId="4C6BE860">
          <wp:simplePos x="0" y="0"/>
          <wp:positionH relativeFrom="column">
            <wp:posOffset>-523875</wp:posOffset>
          </wp:positionH>
          <wp:positionV relativeFrom="paragraph">
            <wp:posOffset>133985</wp:posOffset>
          </wp:positionV>
          <wp:extent cx="881380" cy="393065"/>
          <wp:effectExtent l="0" t="0" r="0" b="6985"/>
          <wp:wrapNone/>
          <wp:docPr id="183" name="Picture 7"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116F" w14:textId="5AC35441" w:rsidR="00FA4FCC" w:rsidRDefault="00FA4FCC" w:rsidP="003322F2">
    <w:pPr>
      <w:pStyle w:val="CfDFooter"/>
      <w:rPr>
        <w:lang w:val="en-AU"/>
      </w:rPr>
    </w:pPr>
    <w:r w:rsidRPr="003322F2">
      <w:t>LCA of Kerbside Recyc</w:t>
    </w:r>
    <w:r>
      <w:rPr>
        <w:lang w:val="en-AU"/>
      </w:rPr>
      <w:t>ling</w:t>
    </w:r>
    <w:r w:rsidRPr="003322F2">
      <w:t xml:space="preserve"> in Victoria</w:t>
    </w:r>
  </w:p>
  <w:p w14:paraId="4AF5BC92" w14:textId="77777777" w:rsidR="00FA4FCC" w:rsidRPr="00D5076F" w:rsidRDefault="00FA4FCC" w:rsidP="00FF5764">
    <w:pPr>
      <w:pStyle w:val="CfDFooter"/>
    </w:pPr>
    <w:r>
      <w:rPr>
        <w:lang w:val="en-AU" w:eastAsia="en-AU"/>
      </w:rPr>
      <w:drawing>
        <wp:anchor distT="0" distB="0" distL="114300" distR="114300" simplePos="0" relativeHeight="251784192" behindDoc="0" locked="0" layoutInCell="1" allowOverlap="1" wp14:anchorId="74F57DEF" wp14:editId="08ED348F">
          <wp:simplePos x="0" y="0"/>
          <wp:positionH relativeFrom="column">
            <wp:posOffset>7865110</wp:posOffset>
          </wp:positionH>
          <wp:positionV relativeFrom="paragraph">
            <wp:posOffset>-200660</wp:posOffset>
          </wp:positionV>
          <wp:extent cx="1644015" cy="395605"/>
          <wp:effectExtent l="0" t="0" r="0" b="4445"/>
          <wp:wrapNone/>
          <wp:docPr id="184" name="Picture 6" descr="Description: Centre for Design muse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entre for Design museo 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rsidR="00564E5C">
      <w:t>131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E6B62" w14:textId="77777777" w:rsidR="00FA4FCC" w:rsidRDefault="00FA4FCC" w:rsidP="00D5076F">
      <w:r>
        <w:separator/>
      </w:r>
    </w:p>
  </w:footnote>
  <w:footnote w:type="continuationSeparator" w:id="0">
    <w:p w14:paraId="31C10E5C" w14:textId="77777777" w:rsidR="00FA4FCC" w:rsidRDefault="00FA4FCC" w:rsidP="00D5076F">
      <w:r>
        <w:continuationSeparator/>
      </w:r>
    </w:p>
  </w:footnote>
  <w:footnote w:id="1">
    <w:p w14:paraId="68D81060" w14:textId="77777777" w:rsidR="00FA4FCC" w:rsidRPr="00E30FD6" w:rsidRDefault="00FA4FCC" w:rsidP="00E30FD6">
      <w:pPr>
        <w:pStyle w:val="FootnoteText"/>
        <w:rPr>
          <w:lang w:val="en-AU"/>
        </w:rPr>
      </w:pPr>
      <w:r>
        <w:rPr>
          <w:rStyle w:val="FootnoteReference"/>
        </w:rPr>
        <w:footnoteRef/>
      </w:r>
      <w:r>
        <w:t xml:space="preserve"> </w:t>
      </w:r>
      <w:r>
        <w:rPr>
          <w:lang w:val="en-AU"/>
        </w:rPr>
        <w:t>Recyclable materials in this context refers to those materials currently deposited into recycling bins, as opposed to garbage bins, and processed by the recycling system.</w:t>
      </w:r>
    </w:p>
  </w:footnote>
  <w:footnote w:id="2">
    <w:p w14:paraId="0D49475C" w14:textId="76A8DA89" w:rsidR="00FA4FCC" w:rsidRPr="00CC2B77" w:rsidRDefault="00FA4FCC">
      <w:pPr>
        <w:pStyle w:val="FootnoteText"/>
        <w:rPr>
          <w:lang w:val="en-AU"/>
        </w:rPr>
      </w:pPr>
      <w:r>
        <w:rPr>
          <w:rStyle w:val="FootnoteReference"/>
        </w:rPr>
        <w:footnoteRef/>
      </w:r>
      <w:r>
        <w:t xml:space="preserve"> </w:t>
      </w:r>
      <w:r>
        <w:rPr>
          <w:lang w:val="en-AU"/>
        </w:rPr>
        <w:t>The reports considered indicate municipal waste is largely composed of kerbside collected waste, however it also includes waste collected/generated at council depots.</w:t>
      </w:r>
    </w:p>
  </w:footnote>
  <w:footnote w:id="3">
    <w:p w14:paraId="0D49475D" w14:textId="476FD295" w:rsidR="00FA4FCC" w:rsidRPr="003465C4" w:rsidRDefault="00FA4FCC">
      <w:pPr>
        <w:pStyle w:val="FootnoteText"/>
        <w:rPr>
          <w:lang w:val="en-AU"/>
        </w:rPr>
      </w:pPr>
      <w:r>
        <w:rPr>
          <w:rStyle w:val="FootnoteReference"/>
        </w:rPr>
        <w:footnoteRef/>
      </w:r>
      <w:r>
        <w:t xml:space="preserve"> </w:t>
      </w:r>
      <w:r>
        <w:rPr>
          <w:lang w:val="en-AU"/>
        </w:rPr>
        <w:t xml:space="preserve">The stage 1 report </w:t>
      </w:r>
      <w:r>
        <w:rPr>
          <w:lang w:val="en-AU"/>
        </w:rPr>
        <w:fldChar w:fldCharType="begin"/>
      </w:r>
      <w:r>
        <w:rPr>
          <w:lang w:val="en-AU"/>
        </w:rPr>
        <w:instrText xml:space="preserve"> ADDIN EN.CITE &lt;EndNote&gt;&lt;Cite&gt;&lt;Author&gt;Grant&lt;/Author&gt;&lt;Year&gt;1999&lt;/Year&gt;&lt;RecNum&gt;34&lt;/RecNum&gt;&lt;DisplayText&gt;GRANT, T., JAMES, K., DIMOVA, C., SONNEVELD, K., TABOR, A. &amp;amp; LUNDIE, S. 1999. Stage 1 of the National Project on Life Cycle Assessment of Waste Management Systems for Domestic Paper and Packaging.&lt;/DisplayText&gt;&lt;record&gt;&lt;rec-number&gt;34&lt;/rec-number&gt;&lt;foreign-keys&gt;&lt;key app="EN" db-id="tfpv5staxsvs2nexzpp5taewzsvpx0er5fap"&gt;34&lt;/key&gt;&lt;/foreign-keys&gt;&lt;ref-type name="Report"&gt;27&lt;/ref-type&gt;&lt;contributors&gt;&lt;authors&gt;&lt;author&gt;T. Grant&lt;/author&gt;&lt;author&gt;K. James&lt;/author&gt;&lt;author&gt;C. Dimova&lt;/author&gt;&lt;author&gt;K. Sonneveld&lt;/author&gt;&lt;author&gt;A. Tabor&lt;/author&gt;&lt;author&gt;S. Lundie&lt;/author&gt;&lt;/authors&gt;&lt;/contributors&gt;&lt;titles&gt;&lt;title&gt;Stage 1 of the National Project on Life Cycle Assessment of Waste Management Systems for Domestic Paper and Packaging&lt;/title&gt;&lt;/titles&gt;&lt;dates&gt;&lt;year&gt;1999&lt;/year&gt;&lt;/dates&gt;&lt;urls&gt;&lt;/urls&gt;&lt;/record&gt;&lt;/Cite&gt;&lt;/EndNote&gt;</w:instrText>
      </w:r>
      <w:r>
        <w:rPr>
          <w:lang w:val="en-AU"/>
        </w:rPr>
        <w:fldChar w:fldCharType="separate"/>
      </w:r>
      <w:r>
        <w:rPr>
          <w:noProof/>
          <w:lang w:val="en-AU"/>
        </w:rPr>
        <w:t>GRANT, T., JAMES, K., DIMOVA, C., SONNEVELD, K., TABOR, A. &amp; LUNDIE, S. 1999. Stage 1 of the National Project on Life Cycle Assessment of Waste Management Systems for Domestic Paper and Packaging.</w:t>
      </w:r>
      <w:r>
        <w:rPr>
          <w:lang w:val="en-AU"/>
        </w:rPr>
        <w:fldChar w:fldCharType="end"/>
      </w:r>
    </w:p>
  </w:footnote>
  <w:footnote w:id="4">
    <w:p w14:paraId="0D49475E" w14:textId="77777777" w:rsidR="00FA4FCC" w:rsidRDefault="00FA4FCC" w:rsidP="00B453DB">
      <w:pPr>
        <w:pStyle w:val="FootnoteText"/>
      </w:pPr>
      <w:r>
        <w:rPr>
          <w:rStyle w:val="FootnoteReference"/>
        </w:rPr>
        <w:footnoteRef/>
      </w:r>
      <w:r>
        <w:t xml:space="preserve"> Recyclable is defined, as a package/material for which there is an established recycling system (Minutes, Jan 15, 1998).</w:t>
      </w:r>
    </w:p>
  </w:footnote>
  <w:footnote w:id="5">
    <w:p w14:paraId="78D95653" w14:textId="17856D9A" w:rsidR="00FA4FCC" w:rsidRPr="00E30FD6" w:rsidRDefault="00FA4FCC">
      <w:pPr>
        <w:pStyle w:val="FootnoteText"/>
        <w:rPr>
          <w:lang w:val="en-AU"/>
        </w:rPr>
      </w:pPr>
      <w:r>
        <w:rPr>
          <w:rStyle w:val="FootnoteReference"/>
        </w:rPr>
        <w:footnoteRef/>
      </w:r>
      <w:r>
        <w:t xml:space="preserve"> </w:t>
      </w:r>
      <w:r>
        <w:rPr>
          <w:lang w:val="en-AU"/>
        </w:rPr>
        <w:t>Recyclable materials in this context refers to those materials currently deposited into recycling bins, as opposed to garbage bins, and processed by the recycling system.</w:t>
      </w:r>
    </w:p>
  </w:footnote>
  <w:footnote w:id="6">
    <w:p w14:paraId="0D49475F" w14:textId="77777777" w:rsidR="00FA4FCC" w:rsidRPr="00144E30" w:rsidRDefault="00FA4FCC" w:rsidP="00B94188">
      <w:pPr>
        <w:pStyle w:val="FootnoteText"/>
      </w:pPr>
      <w:r>
        <w:rPr>
          <w:rStyle w:val="FootnoteReference"/>
        </w:rPr>
        <w:footnoteRef/>
      </w:r>
      <w:r>
        <w:t xml:space="preserve"> Materials extracted directly from the environment.</w:t>
      </w:r>
    </w:p>
  </w:footnote>
  <w:footnote w:id="7">
    <w:p w14:paraId="2354E1FF" w14:textId="77777777" w:rsidR="00FA4FCC" w:rsidRPr="005F504D" w:rsidRDefault="00FA4FCC" w:rsidP="00FA1E93">
      <w:pPr>
        <w:pStyle w:val="FootnoteText"/>
      </w:pPr>
      <w:r>
        <w:rPr>
          <w:rStyle w:val="FootnoteReference"/>
        </w:rPr>
        <w:footnoteRef/>
      </w:r>
      <w:r>
        <w:t xml:space="preserve"> R</w:t>
      </w:r>
      <w:r>
        <w:rPr>
          <w:vertAlign w:val="subscript"/>
        </w:rPr>
        <w:t>f</w:t>
      </w:r>
      <w:r>
        <w:t xml:space="preserve"> is used to represent the proportion of methane recovered relative to the total amount of methane generated, as distinct from R which represents the total mass of methane recovered.</w:t>
      </w:r>
    </w:p>
  </w:footnote>
  <w:footnote w:id="8">
    <w:p w14:paraId="21E73302" w14:textId="12AC3817" w:rsidR="00FA4FCC" w:rsidRPr="002D2BEF" w:rsidRDefault="00FA4FCC">
      <w:pPr>
        <w:pStyle w:val="FootnoteText"/>
        <w:rPr>
          <w:lang w:val="en-AU"/>
        </w:rPr>
      </w:pPr>
      <w:r>
        <w:rPr>
          <w:rStyle w:val="FootnoteReference"/>
        </w:rPr>
        <w:footnoteRef/>
      </w:r>
      <w:r>
        <w:t xml:space="preserve"> </w:t>
      </w:r>
      <w:r>
        <w:rPr>
          <w:lang w:val="en-AU"/>
        </w:rPr>
        <w:t>Calculation includes energy derived from biomass used to produce paper in the kraft process (integrated pulp and paper mill).</w:t>
      </w:r>
    </w:p>
  </w:footnote>
  <w:footnote w:id="9">
    <w:p w14:paraId="0D494760" w14:textId="77777777" w:rsidR="00FA4FCC" w:rsidRPr="00945D33" w:rsidRDefault="00FA4FCC" w:rsidP="006B07CF">
      <w:pPr>
        <w:pStyle w:val="FootnoteText"/>
        <w:rPr>
          <w:lang w:val="en-AU"/>
        </w:rPr>
      </w:pPr>
      <w:r>
        <w:rPr>
          <w:rStyle w:val="FootnoteReference"/>
        </w:rPr>
        <w:footnoteRef/>
      </w:r>
      <w:r>
        <w:t xml:space="preserve"> </w:t>
      </w:r>
      <w:r w:rsidRPr="007510EE">
        <w:t>Michaud et al. (2010)</w:t>
      </w:r>
      <w:r>
        <w:rPr>
          <w:lang w:val="en-AU"/>
        </w:rPr>
        <w:t xml:space="preserve"> provides an excellent overview of LCA studies that address waste treatment.</w:t>
      </w:r>
    </w:p>
  </w:footnote>
  <w:footnote w:id="10">
    <w:p w14:paraId="5682CBF7" w14:textId="77777777" w:rsidR="00FA4FCC" w:rsidRPr="00570A64" w:rsidRDefault="00FA4FCC" w:rsidP="00FA0207">
      <w:pPr>
        <w:pStyle w:val="FootnoteText"/>
        <w:rPr>
          <w:sz w:val="18"/>
          <w:szCs w:val="18"/>
        </w:rPr>
      </w:pPr>
      <w:r w:rsidRPr="00570A64">
        <w:rPr>
          <w:rStyle w:val="FootnoteReference"/>
          <w:sz w:val="18"/>
          <w:szCs w:val="18"/>
        </w:rPr>
        <w:footnoteRef/>
      </w:r>
      <w:r w:rsidRPr="00570A64">
        <w:rPr>
          <w:sz w:val="18"/>
          <w:szCs w:val="18"/>
        </w:rPr>
        <w:t xml:space="preserve"> Some data on Victorian compost markets is given in the ROU’s 2009 industry statistics, available at: </w:t>
      </w:r>
      <w:hyperlink r:id="rId1" w:anchor="survey" w:history="1">
        <w:r w:rsidRPr="00570A64">
          <w:rPr>
            <w:rStyle w:val="Hyperlink"/>
            <w:sz w:val="18"/>
            <w:szCs w:val="18"/>
          </w:rPr>
          <w:t>http://www.recycledorganics.com/publications/#survey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94741" w14:textId="4E09DDB6" w:rsidR="00FA4FCC" w:rsidRPr="00924382" w:rsidRDefault="00FA4FCC" w:rsidP="00D5076F">
    <w:r w:rsidRPr="00924382">
      <w:rPr>
        <w:noProof/>
      </w:rPr>
      <mc:AlternateContent>
        <mc:Choice Requires="wps">
          <w:drawing>
            <wp:anchor distT="0" distB="0" distL="114300" distR="114300" simplePos="0" relativeHeight="251566080" behindDoc="0" locked="0" layoutInCell="1" allowOverlap="1" wp14:anchorId="0D49474E" wp14:editId="6B8B649C">
              <wp:simplePos x="0" y="0"/>
              <wp:positionH relativeFrom="column">
                <wp:posOffset>-1060450</wp:posOffset>
              </wp:positionH>
              <wp:positionV relativeFrom="paragraph">
                <wp:posOffset>295910</wp:posOffset>
              </wp:positionV>
              <wp:extent cx="7425055" cy="998220"/>
              <wp:effectExtent l="0" t="0" r="4445"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5055" cy="998220"/>
                      </a:xfrm>
                      <a:prstGeom prst="straightConnector1">
                        <a:avLst/>
                      </a:prstGeom>
                      <a:noFill/>
                      <a:ln w="22225">
                        <a:solidFill>
                          <a:srgbClr val="DC24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3.5pt;margin-top:23.3pt;width:584.65pt;height:78.6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0/LQIAAEsEAAAOAAAAZHJzL2Uyb0RvYy54bWysVE2P2jAQvVfqf7B8h3w0s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" strokecolor="#dc241f" strokeweight="1.75pt"/>
          </w:pict>
        </mc:Fallback>
      </mc:AlternateContent>
    </w:r>
    <w:r w:rsidRPr="00924382">
      <w:rPr>
        <w:noProof/>
      </w:rPr>
      <w:drawing>
        <wp:anchor distT="0" distB="0" distL="114300" distR="114300" simplePos="0" relativeHeight="251564032" behindDoc="0" locked="0" layoutInCell="1" allowOverlap="1" wp14:anchorId="0D494750" wp14:editId="0D494751">
          <wp:simplePos x="0" y="0"/>
          <wp:positionH relativeFrom="column">
            <wp:posOffset>-795020</wp:posOffset>
          </wp:positionH>
          <wp:positionV relativeFrom="paragraph">
            <wp:posOffset>41910</wp:posOffset>
          </wp:positionV>
          <wp:extent cx="1560195" cy="694690"/>
          <wp:effectExtent l="0" t="0" r="0" b="0"/>
          <wp:wrapNone/>
          <wp:docPr id="6" name="Picture 5" descr="Description: Description: RM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RM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694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D4F76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51E44"/>
    <w:multiLevelType w:val="hybridMultilevel"/>
    <w:tmpl w:val="7C8E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1D1A61"/>
    <w:multiLevelType w:val="hybridMultilevel"/>
    <w:tmpl w:val="705C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B3167"/>
    <w:multiLevelType w:val="hybridMultilevel"/>
    <w:tmpl w:val="E6FCF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E770A3"/>
    <w:multiLevelType w:val="hybridMultilevel"/>
    <w:tmpl w:val="EA74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8A62E5"/>
    <w:multiLevelType w:val="hybridMultilevel"/>
    <w:tmpl w:val="6218B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E5088D"/>
    <w:multiLevelType w:val="hybridMultilevel"/>
    <w:tmpl w:val="80AA60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5056F0"/>
    <w:multiLevelType w:val="hybridMultilevel"/>
    <w:tmpl w:val="EF506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9457CD"/>
    <w:multiLevelType w:val="hybridMultilevel"/>
    <w:tmpl w:val="D86C28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13D60ED"/>
    <w:multiLevelType w:val="hybridMultilevel"/>
    <w:tmpl w:val="823A5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9227FC"/>
    <w:multiLevelType w:val="hybridMultilevel"/>
    <w:tmpl w:val="4C1C1E9E"/>
    <w:lvl w:ilvl="0" w:tplc="0C090017">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5A1DE7"/>
    <w:multiLevelType w:val="hybridMultilevel"/>
    <w:tmpl w:val="A7C22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356694"/>
    <w:multiLevelType w:val="hybridMultilevel"/>
    <w:tmpl w:val="FD04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C66F8D"/>
    <w:multiLevelType w:val="hybridMultilevel"/>
    <w:tmpl w:val="6B98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606284"/>
    <w:multiLevelType w:val="hybridMultilevel"/>
    <w:tmpl w:val="7FC082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703490F"/>
    <w:multiLevelType w:val="hybridMultilevel"/>
    <w:tmpl w:val="76F62DF0"/>
    <w:lvl w:ilvl="0" w:tplc="ED2C72D6">
      <w:start w:val="1"/>
      <w:numFmt w:val="upperLetter"/>
      <w:pStyle w:val="Appendices"/>
      <w:lvlText w:val="Appendix %1."/>
      <w:lvlJc w:val="left"/>
      <w:pPr>
        <w:ind w:left="720" w:hanging="360"/>
      </w:pPr>
      <w:rPr>
        <w:rFonts w:hint="default"/>
      </w:rPr>
    </w:lvl>
    <w:lvl w:ilvl="1" w:tplc="D6A87BB6">
      <w:start w:val="1"/>
      <w:numFmt w:val="lowerLetter"/>
      <w:lvlText w:val="%2."/>
      <w:lvlJc w:val="left"/>
      <w:pPr>
        <w:ind w:left="1440" w:hanging="360"/>
      </w:pPr>
    </w:lvl>
    <w:lvl w:ilvl="2" w:tplc="8624BC82" w:tentative="1">
      <w:start w:val="1"/>
      <w:numFmt w:val="lowerRoman"/>
      <w:lvlText w:val="%3."/>
      <w:lvlJc w:val="right"/>
      <w:pPr>
        <w:ind w:left="2160" w:hanging="180"/>
      </w:pPr>
    </w:lvl>
    <w:lvl w:ilvl="3" w:tplc="41386300" w:tentative="1">
      <w:start w:val="1"/>
      <w:numFmt w:val="decimal"/>
      <w:lvlText w:val="%4."/>
      <w:lvlJc w:val="left"/>
      <w:pPr>
        <w:ind w:left="2880" w:hanging="360"/>
      </w:pPr>
    </w:lvl>
    <w:lvl w:ilvl="4" w:tplc="52364FA8" w:tentative="1">
      <w:start w:val="1"/>
      <w:numFmt w:val="lowerLetter"/>
      <w:lvlText w:val="%5."/>
      <w:lvlJc w:val="left"/>
      <w:pPr>
        <w:ind w:left="3600" w:hanging="360"/>
      </w:pPr>
    </w:lvl>
    <w:lvl w:ilvl="5" w:tplc="330839C0" w:tentative="1">
      <w:start w:val="1"/>
      <w:numFmt w:val="lowerRoman"/>
      <w:lvlText w:val="%6."/>
      <w:lvlJc w:val="right"/>
      <w:pPr>
        <w:ind w:left="4320" w:hanging="180"/>
      </w:pPr>
    </w:lvl>
    <w:lvl w:ilvl="6" w:tplc="EA2C455A" w:tentative="1">
      <w:start w:val="1"/>
      <w:numFmt w:val="decimal"/>
      <w:lvlText w:val="%7."/>
      <w:lvlJc w:val="left"/>
      <w:pPr>
        <w:ind w:left="5040" w:hanging="360"/>
      </w:pPr>
    </w:lvl>
    <w:lvl w:ilvl="7" w:tplc="DE6EC742" w:tentative="1">
      <w:start w:val="1"/>
      <w:numFmt w:val="lowerLetter"/>
      <w:lvlText w:val="%8."/>
      <w:lvlJc w:val="left"/>
      <w:pPr>
        <w:ind w:left="5760" w:hanging="360"/>
      </w:pPr>
    </w:lvl>
    <w:lvl w:ilvl="8" w:tplc="E6FABF3E" w:tentative="1">
      <w:start w:val="1"/>
      <w:numFmt w:val="lowerRoman"/>
      <w:lvlText w:val="%9."/>
      <w:lvlJc w:val="right"/>
      <w:pPr>
        <w:ind w:left="6480" w:hanging="180"/>
      </w:pPr>
    </w:lvl>
  </w:abstractNum>
  <w:abstractNum w:abstractNumId="16">
    <w:nsid w:val="2B5354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627EF1"/>
    <w:multiLevelType w:val="hybridMultilevel"/>
    <w:tmpl w:val="81F40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C271DB9"/>
    <w:multiLevelType w:val="hybridMultilevel"/>
    <w:tmpl w:val="FF5896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2A220E9"/>
    <w:multiLevelType w:val="hybridMultilevel"/>
    <w:tmpl w:val="64A0C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A86F50"/>
    <w:multiLevelType w:val="hybridMultilevel"/>
    <w:tmpl w:val="28EC6FAE"/>
    <w:lvl w:ilvl="0" w:tplc="0C090001">
      <w:start w:val="1"/>
      <w:numFmt w:val="bullet"/>
      <w:lvlText w:val=""/>
      <w:lvlJc w:val="left"/>
      <w:pPr>
        <w:ind w:left="2770" w:hanging="360"/>
      </w:pPr>
      <w:rPr>
        <w:rFonts w:ascii="Symbol" w:hAnsi="Symbol" w:hint="default"/>
      </w:rPr>
    </w:lvl>
    <w:lvl w:ilvl="1" w:tplc="0C090003" w:tentative="1">
      <w:start w:val="1"/>
      <w:numFmt w:val="bullet"/>
      <w:lvlText w:val="o"/>
      <w:lvlJc w:val="left"/>
      <w:pPr>
        <w:ind w:left="3490" w:hanging="360"/>
      </w:pPr>
      <w:rPr>
        <w:rFonts w:ascii="Courier New" w:hAnsi="Courier New" w:cs="Courier New" w:hint="default"/>
      </w:rPr>
    </w:lvl>
    <w:lvl w:ilvl="2" w:tplc="0C090005" w:tentative="1">
      <w:start w:val="1"/>
      <w:numFmt w:val="bullet"/>
      <w:lvlText w:val=""/>
      <w:lvlJc w:val="left"/>
      <w:pPr>
        <w:ind w:left="4210" w:hanging="360"/>
      </w:pPr>
      <w:rPr>
        <w:rFonts w:ascii="Wingdings" w:hAnsi="Wingdings" w:hint="default"/>
      </w:rPr>
    </w:lvl>
    <w:lvl w:ilvl="3" w:tplc="0C090001" w:tentative="1">
      <w:start w:val="1"/>
      <w:numFmt w:val="bullet"/>
      <w:lvlText w:val=""/>
      <w:lvlJc w:val="left"/>
      <w:pPr>
        <w:ind w:left="4930" w:hanging="360"/>
      </w:pPr>
      <w:rPr>
        <w:rFonts w:ascii="Symbol" w:hAnsi="Symbol" w:hint="default"/>
      </w:rPr>
    </w:lvl>
    <w:lvl w:ilvl="4" w:tplc="0C090003" w:tentative="1">
      <w:start w:val="1"/>
      <w:numFmt w:val="bullet"/>
      <w:lvlText w:val="o"/>
      <w:lvlJc w:val="left"/>
      <w:pPr>
        <w:ind w:left="5650" w:hanging="360"/>
      </w:pPr>
      <w:rPr>
        <w:rFonts w:ascii="Courier New" w:hAnsi="Courier New" w:cs="Courier New" w:hint="default"/>
      </w:rPr>
    </w:lvl>
    <w:lvl w:ilvl="5" w:tplc="0C090005" w:tentative="1">
      <w:start w:val="1"/>
      <w:numFmt w:val="bullet"/>
      <w:lvlText w:val=""/>
      <w:lvlJc w:val="left"/>
      <w:pPr>
        <w:ind w:left="6370" w:hanging="360"/>
      </w:pPr>
      <w:rPr>
        <w:rFonts w:ascii="Wingdings" w:hAnsi="Wingdings" w:hint="default"/>
      </w:rPr>
    </w:lvl>
    <w:lvl w:ilvl="6" w:tplc="0C090001" w:tentative="1">
      <w:start w:val="1"/>
      <w:numFmt w:val="bullet"/>
      <w:lvlText w:val=""/>
      <w:lvlJc w:val="left"/>
      <w:pPr>
        <w:ind w:left="7090" w:hanging="360"/>
      </w:pPr>
      <w:rPr>
        <w:rFonts w:ascii="Symbol" w:hAnsi="Symbol" w:hint="default"/>
      </w:rPr>
    </w:lvl>
    <w:lvl w:ilvl="7" w:tplc="0C090003" w:tentative="1">
      <w:start w:val="1"/>
      <w:numFmt w:val="bullet"/>
      <w:lvlText w:val="o"/>
      <w:lvlJc w:val="left"/>
      <w:pPr>
        <w:ind w:left="7810" w:hanging="360"/>
      </w:pPr>
      <w:rPr>
        <w:rFonts w:ascii="Courier New" w:hAnsi="Courier New" w:cs="Courier New" w:hint="default"/>
      </w:rPr>
    </w:lvl>
    <w:lvl w:ilvl="8" w:tplc="0C090005" w:tentative="1">
      <w:start w:val="1"/>
      <w:numFmt w:val="bullet"/>
      <w:lvlText w:val=""/>
      <w:lvlJc w:val="left"/>
      <w:pPr>
        <w:ind w:left="8530" w:hanging="360"/>
      </w:pPr>
      <w:rPr>
        <w:rFonts w:ascii="Wingdings" w:hAnsi="Wingdings" w:hint="default"/>
      </w:rPr>
    </w:lvl>
  </w:abstractNum>
  <w:abstractNum w:abstractNumId="21">
    <w:nsid w:val="409273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3F2599C"/>
    <w:multiLevelType w:val="multilevel"/>
    <w:tmpl w:val="F1282DD8"/>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702" w:hanging="1134"/>
      </w:pPr>
      <w:rPr>
        <w:rFonts w:hint="default"/>
        <w:i w:val="0"/>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23">
    <w:nsid w:val="44873A39"/>
    <w:multiLevelType w:val="hybridMultilevel"/>
    <w:tmpl w:val="D304E3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44C03D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6B72C1E"/>
    <w:multiLevelType w:val="multilevel"/>
    <w:tmpl w:val="D02A5E5C"/>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7FF3F42"/>
    <w:multiLevelType w:val="hybridMultilevel"/>
    <w:tmpl w:val="E5B2755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725A40"/>
    <w:multiLevelType w:val="multilevel"/>
    <w:tmpl w:val="7CA89DFC"/>
    <w:lvl w:ilvl="0">
      <w:start w:val="1"/>
      <w:numFmt w:val="lowerLetter"/>
      <w:lvlText w:val="%1)"/>
      <w:lvlJc w:val="left"/>
      <w:pPr>
        <w:ind w:left="360" w:hanging="360"/>
      </w:pPr>
      <w:rPr>
        <w:rFonts w:ascii="Arial" w:eastAsia="Calibri"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23209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8CE1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A4E317D"/>
    <w:multiLevelType w:val="hybridMultilevel"/>
    <w:tmpl w:val="AE1E42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D915729"/>
    <w:multiLevelType w:val="hybridMultilevel"/>
    <w:tmpl w:val="32D8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2F313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7451631"/>
    <w:multiLevelType w:val="hybridMultilevel"/>
    <w:tmpl w:val="14AC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F23070"/>
    <w:multiLevelType w:val="hybridMultilevel"/>
    <w:tmpl w:val="1032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36F4313"/>
    <w:multiLevelType w:val="hybridMultilevel"/>
    <w:tmpl w:val="D8BC344C"/>
    <w:lvl w:ilvl="0" w:tplc="0C09000F">
      <w:start w:val="1"/>
      <w:numFmt w:val="bullet"/>
      <w:pStyle w:val="ListParagraph"/>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nsid w:val="73B94496"/>
    <w:multiLevelType w:val="hybridMultilevel"/>
    <w:tmpl w:val="EAE85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ED681A"/>
    <w:multiLevelType w:val="hybridMultilevel"/>
    <w:tmpl w:val="97483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0B4F7E"/>
    <w:multiLevelType w:val="hybridMultilevel"/>
    <w:tmpl w:val="7F52EC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71645C7"/>
    <w:multiLevelType w:val="hybridMultilevel"/>
    <w:tmpl w:val="5E7AC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7FA1167"/>
    <w:multiLevelType w:val="hybridMultilevel"/>
    <w:tmpl w:val="B1BE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9365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C052E5E"/>
    <w:multiLevelType w:val="hybridMultilevel"/>
    <w:tmpl w:val="F57C2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35"/>
  </w:num>
  <w:num w:numId="4">
    <w:abstractNumId w:val="25"/>
  </w:num>
  <w:num w:numId="5">
    <w:abstractNumId w:val="15"/>
  </w:num>
  <w:num w:numId="6">
    <w:abstractNumId w:val="27"/>
  </w:num>
  <w:num w:numId="7">
    <w:abstractNumId w:val="16"/>
  </w:num>
  <w:num w:numId="8">
    <w:abstractNumId w:val="28"/>
  </w:num>
  <w:num w:numId="9">
    <w:abstractNumId w:val="21"/>
  </w:num>
  <w:num w:numId="10">
    <w:abstractNumId w:val="29"/>
  </w:num>
  <w:num w:numId="11">
    <w:abstractNumId w:val="41"/>
  </w:num>
  <w:num w:numId="12">
    <w:abstractNumId w:val="24"/>
  </w:num>
  <w:num w:numId="13">
    <w:abstractNumId w:val="13"/>
  </w:num>
  <w:num w:numId="14">
    <w:abstractNumId w:val="7"/>
  </w:num>
  <w:num w:numId="15">
    <w:abstractNumId w:val="34"/>
  </w:num>
  <w:num w:numId="16">
    <w:abstractNumId w:val="2"/>
  </w:num>
  <w:num w:numId="17">
    <w:abstractNumId w:val="39"/>
  </w:num>
  <w:num w:numId="18">
    <w:abstractNumId w:val="18"/>
  </w:num>
  <w:num w:numId="19">
    <w:abstractNumId w:val="38"/>
  </w:num>
  <w:num w:numId="20">
    <w:abstractNumId w:val="42"/>
  </w:num>
  <w:num w:numId="21">
    <w:abstractNumId w:val="26"/>
  </w:num>
  <w:num w:numId="22">
    <w:abstractNumId w:val="36"/>
  </w:num>
  <w:num w:numId="23">
    <w:abstractNumId w:val="14"/>
  </w:num>
  <w:num w:numId="24">
    <w:abstractNumId w:val="37"/>
  </w:num>
  <w:num w:numId="25">
    <w:abstractNumId w:val="19"/>
  </w:num>
  <w:num w:numId="26">
    <w:abstractNumId w:val="30"/>
  </w:num>
  <w:num w:numId="27">
    <w:abstractNumId w:val="40"/>
  </w:num>
  <w:num w:numId="28">
    <w:abstractNumId w:val="33"/>
  </w:num>
  <w:num w:numId="29">
    <w:abstractNumId w:val="1"/>
  </w:num>
  <w:num w:numId="30">
    <w:abstractNumId w:val="31"/>
  </w:num>
  <w:num w:numId="31">
    <w:abstractNumId w:val="32"/>
  </w:num>
  <w:num w:numId="32">
    <w:abstractNumId w:val="6"/>
  </w:num>
  <w:num w:numId="33">
    <w:abstractNumId w:val="20"/>
  </w:num>
  <w:num w:numId="34">
    <w:abstractNumId w:val="3"/>
  </w:num>
  <w:num w:numId="35">
    <w:abstractNumId w:val="12"/>
  </w:num>
  <w:num w:numId="36">
    <w:abstractNumId w:val="4"/>
  </w:num>
  <w:num w:numId="37">
    <w:abstractNumId w:val="5"/>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1"/>
  </w:num>
  <w:num w:numId="41">
    <w:abstractNumId w:val="10"/>
  </w:num>
  <w:num w:numId="42">
    <w:abstractNumId w:val="9"/>
  </w:num>
  <w:num w:numId="43">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fpv5staxsvs2nexzpp5taewzsvpx0er5fap&quot;&gt;My EndNote Library&lt;record-ids&gt;&lt;item&gt;25&lt;/item&gt;&lt;item&gt;29&lt;/item&gt;&lt;item&gt;34&lt;/item&gt;&lt;item&gt;35&lt;/item&gt;&lt;item&gt;36&lt;/item&gt;&lt;item&gt;37&lt;/item&gt;&lt;item&gt;38&lt;/item&gt;&lt;item&gt;39&lt;/item&gt;&lt;item&gt;42&lt;/item&gt;&lt;item&gt;44&lt;/item&gt;&lt;item&gt;45&lt;/item&gt;&lt;item&gt;46&lt;/item&gt;&lt;item&gt;47&lt;/item&gt;&lt;item&gt;48&lt;/item&gt;&lt;item&gt;51&lt;/item&gt;&lt;item&gt;208&lt;/item&gt;&lt;item&gt;241&lt;/item&gt;&lt;item&gt;260&lt;/item&gt;&lt;item&gt;262&lt;/item&gt;&lt;item&gt;276&lt;/item&gt;&lt;item&gt;277&lt;/item&gt;&lt;item&gt;284&lt;/item&gt;&lt;item&gt;286&lt;/item&gt;&lt;item&gt;292&lt;/item&gt;&lt;item&gt;296&lt;/item&gt;&lt;item&gt;297&lt;/item&gt;&lt;item&gt;299&lt;/item&gt;&lt;item&gt;300&lt;/item&gt;&lt;item&gt;301&lt;/item&gt;&lt;item&gt;302&lt;/item&gt;&lt;item&gt;303&lt;/item&gt;&lt;item&gt;333&lt;/item&gt;&lt;item&gt;379&lt;/item&gt;&lt;item&gt;380&lt;/item&gt;&lt;item&gt;381&lt;/item&gt;&lt;item&gt;382&lt;/item&gt;&lt;item&gt;383&lt;/item&gt;&lt;item&gt;559&lt;/item&gt;&lt;item&gt;566&lt;/item&gt;&lt;item&gt;573&lt;/item&gt;&lt;item&gt;574&lt;/item&gt;&lt;item&gt;577&lt;/item&gt;&lt;item&gt;586&lt;/item&gt;&lt;item&gt;593&lt;/item&gt;&lt;item&gt;611&lt;/item&gt;&lt;item&gt;618&lt;/item&gt;&lt;item&gt;619&lt;/item&gt;&lt;item&gt;624&lt;/item&gt;&lt;item&gt;633&lt;/item&gt;&lt;item&gt;640&lt;/item&gt;&lt;item&gt;643&lt;/item&gt;&lt;item&gt;647&lt;/item&gt;&lt;item&gt;651&lt;/item&gt;&lt;item&gt;655&lt;/item&gt;&lt;item&gt;656&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item&gt;686&lt;/item&gt;&lt;item&gt;690&lt;/item&gt;&lt;item&gt;691&lt;/item&gt;&lt;item&gt;692&lt;/item&gt;&lt;item&gt;693&lt;/item&gt;&lt;item&gt;694&lt;/item&gt;&lt;item&gt;695&lt;/item&gt;&lt;item&gt;696&lt;/item&gt;&lt;item&gt;697&lt;/item&gt;&lt;item&gt;698&lt;/item&gt;&lt;item&gt;699&lt;/item&gt;&lt;item&gt;711&lt;/item&gt;&lt;item&gt;713&lt;/item&gt;&lt;/record-ids&gt;&lt;/item&gt;&lt;/Libraries&gt;"/>
  </w:docVars>
  <w:rsids>
    <w:rsidRoot w:val="00E07CC3"/>
    <w:rsid w:val="00001ED2"/>
    <w:rsid w:val="000028D3"/>
    <w:rsid w:val="00002EF8"/>
    <w:rsid w:val="00003B95"/>
    <w:rsid w:val="000044BE"/>
    <w:rsid w:val="00007EEA"/>
    <w:rsid w:val="00011B05"/>
    <w:rsid w:val="00012455"/>
    <w:rsid w:val="00013E66"/>
    <w:rsid w:val="00017FF2"/>
    <w:rsid w:val="00021DEE"/>
    <w:rsid w:val="000250A7"/>
    <w:rsid w:val="0003295F"/>
    <w:rsid w:val="00033DA8"/>
    <w:rsid w:val="0003556F"/>
    <w:rsid w:val="000365FB"/>
    <w:rsid w:val="00037198"/>
    <w:rsid w:val="00041296"/>
    <w:rsid w:val="00043C8D"/>
    <w:rsid w:val="00053551"/>
    <w:rsid w:val="00053F22"/>
    <w:rsid w:val="00062CFD"/>
    <w:rsid w:val="00062E59"/>
    <w:rsid w:val="000631F3"/>
    <w:rsid w:val="0006594C"/>
    <w:rsid w:val="00067334"/>
    <w:rsid w:val="00067356"/>
    <w:rsid w:val="00067945"/>
    <w:rsid w:val="00070EB9"/>
    <w:rsid w:val="000811F4"/>
    <w:rsid w:val="00082DE7"/>
    <w:rsid w:val="00092CE5"/>
    <w:rsid w:val="0009657A"/>
    <w:rsid w:val="00097E5D"/>
    <w:rsid w:val="000A204E"/>
    <w:rsid w:val="000A473A"/>
    <w:rsid w:val="000A55BE"/>
    <w:rsid w:val="000A72EE"/>
    <w:rsid w:val="000B0ED1"/>
    <w:rsid w:val="000B71F6"/>
    <w:rsid w:val="000B7D2B"/>
    <w:rsid w:val="000C2364"/>
    <w:rsid w:val="000C3558"/>
    <w:rsid w:val="000C35F5"/>
    <w:rsid w:val="000C3801"/>
    <w:rsid w:val="000C43DB"/>
    <w:rsid w:val="000C6F2E"/>
    <w:rsid w:val="000D0911"/>
    <w:rsid w:val="000D57D7"/>
    <w:rsid w:val="000D6736"/>
    <w:rsid w:val="000D686E"/>
    <w:rsid w:val="000D6AC5"/>
    <w:rsid w:val="000D76D0"/>
    <w:rsid w:val="000E1431"/>
    <w:rsid w:val="000E1CF7"/>
    <w:rsid w:val="000E3E33"/>
    <w:rsid w:val="000E4BD8"/>
    <w:rsid w:val="000E574A"/>
    <w:rsid w:val="000E70FE"/>
    <w:rsid w:val="000F0CDD"/>
    <w:rsid w:val="000F2646"/>
    <w:rsid w:val="000F3269"/>
    <w:rsid w:val="0010335E"/>
    <w:rsid w:val="00106F6C"/>
    <w:rsid w:val="001073F7"/>
    <w:rsid w:val="001076FC"/>
    <w:rsid w:val="0011310D"/>
    <w:rsid w:val="0011459E"/>
    <w:rsid w:val="00115C42"/>
    <w:rsid w:val="0011689D"/>
    <w:rsid w:val="00116F09"/>
    <w:rsid w:val="0012168C"/>
    <w:rsid w:val="0012611D"/>
    <w:rsid w:val="00127426"/>
    <w:rsid w:val="00131CA7"/>
    <w:rsid w:val="0013255F"/>
    <w:rsid w:val="001335D0"/>
    <w:rsid w:val="0013389B"/>
    <w:rsid w:val="00136D12"/>
    <w:rsid w:val="001420B6"/>
    <w:rsid w:val="001436D1"/>
    <w:rsid w:val="00144E30"/>
    <w:rsid w:val="00151D4E"/>
    <w:rsid w:val="00154251"/>
    <w:rsid w:val="001554D2"/>
    <w:rsid w:val="00156AC3"/>
    <w:rsid w:val="00160D3F"/>
    <w:rsid w:val="00166620"/>
    <w:rsid w:val="001668BE"/>
    <w:rsid w:val="00166AE8"/>
    <w:rsid w:val="00167F32"/>
    <w:rsid w:val="001739B1"/>
    <w:rsid w:val="00173F9D"/>
    <w:rsid w:val="001763C6"/>
    <w:rsid w:val="001811B9"/>
    <w:rsid w:val="001821A7"/>
    <w:rsid w:val="001824D5"/>
    <w:rsid w:val="001828B4"/>
    <w:rsid w:val="001875F4"/>
    <w:rsid w:val="001900D8"/>
    <w:rsid w:val="0019097B"/>
    <w:rsid w:val="00190E14"/>
    <w:rsid w:val="0019426C"/>
    <w:rsid w:val="00197624"/>
    <w:rsid w:val="001A2EC5"/>
    <w:rsid w:val="001A782A"/>
    <w:rsid w:val="001A7891"/>
    <w:rsid w:val="001A7EC4"/>
    <w:rsid w:val="001B360E"/>
    <w:rsid w:val="001B562E"/>
    <w:rsid w:val="001B6447"/>
    <w:rsid w:val="001C0EA2"/>
    <w:rsid w:val="001C1FA1"/>
    <w:rsid w:val="001C553D"/>
    <w:rsid w:val="001C799F"/>
    <w:rsid w:val="001D0F83"/>
    <w:rsid w:val="001D1124"/>
    <w:rsid w:val="001D5D71"/>
    <w:rsid w:val="001D611A"/>
    <w:rsid w:val="001D74DD"/>
    <w:rsid w:val="001E07C1"/>
    <w:rsid w:val="001E2C78"/>
    <w:rsid w:val="001F0FBA"/>
    <w:rsid w:val="001F2C52"/>
    <w:rsid w:val="001F4178"/>
    <w:rsid w:val="001F7C61"/>
    <w:rsid w:val="00200B96"/>
    <w:rsid w:val="00200F52"/>
    <w:rsid w:val="00200FCD"/>
    <w:rsid w:val="00202079"/>
    <w:rsid w:val="00202ECC"/>
    <w:rsid w:val="00204BD2"/>
    <w:rsid w:val="00206DB4"/>
    <w:rsid w:val="00206DBA"/>
    <w:rsid w:val="00213D1E"/>
    <w:rsid w:val="002147C9"/>
    <w:rsid w:val="00216134"/>
    <w:rsid w:val="0021657F"/>
    <w:rsid w:val="0022171C"/>
    <w:rsid w:val="00222173"/>
    <w:rsid w:val="002231D0"/>
    <w:rsid w:val="002235A0"/>
    <w:rsid w:val="00223714"/>
    <w:rsid w:val="00231B91"/>
    <w:rsid w:val="00233FD3"/>
    <w:rsid w:val="00235E70"/>
    <w:rsid w:val="00240587"/>
    <w:rsid w:val="00240AE1"/>
    <w:rsid w:val="00241C32"/>
    <w:rsid w:val="00246792"/>
    <w:rsid w:val="002469AA"/>
    <w:rsid w:val="00250C67"/>
    <w:rsid w:val="0025617C"/>
    <w:rsid w:val="002570B6"/>
    <w:rsid w:val="0026200B"/>
    <w:rsid w:val="00262AA6"/>
    <w:rsid w:val="0026427C"/>
    <w:rsid w:val="00270B4A"/>
    <w:rsid w:val="00271895"/>
    <w:rsid w:val="002723E2"/>
    <w:rsid w:val="002756E4"/>
    <w:rsid w:val="00275C48"/>
    <w:rsid w:val="002765CE"/>
    <w:rsid w:val="0027746E"/>
    <w:rsid w:val="00281965"/>
    <w:rsid w:val="00284E17"/>
    <w:rsid w:val="0028646C"/>
    <w:rsid w:val="00291CBB"/>
    <w:rsid w:val="00295ECE"/>
    <w:rsid w:val="00297852"/>
    <w:rsid w:val="002A0763"/>
    <w:rsid w:val="002B1BCB"/>
    <w:rsid w:val="002B4519"/>
    <w:rsid w:val="002B4962"/>
    <w:rsid w:val="002B5497"/>
    <w:rsid w:val="002B5D93"/>
    <w:rsid w:val="002B67B0"/>
    <w:rsid w:val="002D2BEF"/>
    <w:rsid w:val="002D35CF"/>
    <w:rsid w:val="002D430A"/>
    <w:rsid w:val="002D7982"/>
    <w:rsid w:val="002E0965"/>
    <w:rsid w:val="002E1354"/>
    <w:rsid w:val="002E1C2D"/>
    <w:rsid w:val="002E207A"/>
    <w:rsid w:val="002E3472"/>
    <w:rsid w:val="002E4DD6"/>
    <w:rsid w:val="002F18BF"/>
    <w:rsid w:val="002F28D4"/>
    <w:rsid w:val="002F29C0"/>
    <w:rsid w:val="002F4326"/>
    <w:rsid w:val="002F4865"/>
    <w:rsid w:val="002F4B0D"/>
    <w:rsid w:val="002F6432"/>
    <w:rsid w:val="002F7255"/>
    <w:rsid w:val="00300577"/>
    <w:rsid w:val="00301988"/>
    <w:rsid w:val="0030199B"/>
    <w:rsid w:val="00304D1C"/>
    <w:rsid w:val="00305981"/>
    <w:rsid w:val="003059E7"/>
    <w:rsid w:val="00311D97"/>
    <w:rsid w:val="003143F1"/>
    <w:rsid w:val="00322532"/>
    <w:rsid w:val="0032379C"/>
    <w:rsid w:val="00326999"/>
    <w:rsid w:val="00327A9D"/>
    <w:rsid w:val="00327CD7"/>
    <w:rsid w:val="003301BE"/>
    <w:rsid w:val="003322F2"/>
    <w:rsid w:val="00333372"/>
    <w:rsid w:val="00333F56"/>
    <w:rsid w:val="003372DB"/>
    <w:rsid w:val="003373E8"/>
    <w:rsid w:val="0033742F"/>
    <w:rsid w:val="00337BD6"/>
    <w:rsid w:val="0034007F"/>
    <w:rsid w:val="00344DDD"/>
    <w:rsid w:val="00344F0C"/>
    <w:rsid w:val="00345E7F"/>
    <w:rsid w:val="003465C4"/>
    <w:rsid w:val="00347075"/>
    <w:rsid w:val="00350018"/>
    <w:rsid w:val="00351F51"/>
    <w:rsid w:val="00355297"/>
    <w:rsid w:val="00355ADF"/>
    <w:rsid w:val="00356D3D"/>
    <w:rsid w:val="00362743"/>
    <w:rsid w:val="003632F4"/>
    <w:rsid w:val="00363F49"/>
    <w:rsid w:val="0036663C"/>
    <w:rsid w:val="00366AA7"/>
    <w:rsid w:val="0037084C"/>
    <w:rsid w:val="00371BBF"/>
    <w:rsid w:val="00375F75"/>
    <w:rsid w:val="00383B0E"/>
    <w:rsid w:val="00390ADC"/>
    <w:rsid w:val="00393297"/>
    <w:rsid w:val="00393BF2"/>
    <w:rsid w:val="003A0E8E"/>
    <w:rsid w:val="003A2892"/>
    <w:rsid w:val="003A6F2A"/>
    <w:rsid w:val="003B140F"/>
    <w:rsid w:val="003B208B"/>
    <w:rsid w:val="003B29C7"/>
    <w:rsid w:val="003C1D7D"/>
    <w:rsid w:val="003C3620"/>
    <w:rsid w:val="003C6448"/>
    <w:rsid w:val="003C765C"/>
    <w:rsid w:val="003C7ED5"/>
    <w:rsid w:val="003D0662"/>
    <w:rsid w:val="003D1F49"/>
    <w:rsid w:val="003D41E9"/>
    <w:rsid w:val="003E2BC0"/>
    <w:rsid w:val="003E3467"/>
    <w:rsid w:val="003E3E4F"/>
    <w:rsid w:val="003E7755"/>
    <w:rsid w:val="003F2736"/>
    <w:rsid w:val="003F2FA5"/>
    <w:rsid w:val="003F4367"/>
    <w:rsid w:val="003F592B"/>
    <w:rsid w:val="003F6C36"/>
    <w:rsid w:val="0040086E"/>
    <w:rsid w:val="004012D6"/>
    <w:rsid w:val="0040296F"/>
    <w:rsid w:val="004039D8"/>
    <w:rsid w:val="00407C0C"/>
    <w:rsid w:val="004101C1"/>
    <w:rsid w:val="00415117"/>
    <w:rsid w:val="00421164"/>
    <w:rsid w:val="00421922"/>
    <w:rsid w:val="00421A05"/>
    <w:rsid w:val="00433D52"/>
    <w:rsid w:val="00440A4D"/>
    <w:rsid w:val="00445C3A"/>
    <w:rsid w:val="0044773A"/>
    <w:rsid w:val="0045387D"/>
    <w:rsid w:val="004611BE"/>
    <w:rsid w:val="00461D29"/>
    <w:rsid w:val="004645AA"/>
    <w:rsid w:val="00470984"/>
    <w:rsid w:val="00471E82"/>
    <w:rsid w:val="00474D00"/>
    <w:rsid w:val="00475214"/>
    <w:rsid w:val="004755BD"/>
    <w:rsid w:val="0047775A"/>
    <w:rsid w:val="00481F34"/>
    <w:rsid w:val="00482AF0"/>
    <w:rsid w:val="00482ED1"/>
    <w:rsid w:val="00487C1B"/>
    <w:rsid w:val="004928A0"/>
    <w:rsid w:val="00493961"/>
    <w:rsid w:val="00493AF5"/>
    <w:rsid w:val="0049618D"/>
    <w:rsid w:val="004A00ED"/>
    <w:rsid w:val="004A031D"/>
    <w:rsid w:val="004A1208"/>
    <w:rsid w:val="004A1C83"/>
    <w:rsid w:val="004A2D61"/>
    <w:rsid w:val="004A401C"/>
    <w:rsid w:val="004A4766"/>
    <w:rsid w:val="004A63F1"/>
    <w:rsid w:val="004A66FE"/>
    <w:rsid w:val="004B0F92"/>
    <w:rsid w:val="004B1F75"/>
    <w:rsid w:val="004B3525"/>
    <w:rsid w:val="004C10C3"/>
    <w:rsid w:val="004C3A38"/>
    <w:rsid w:val="004C50A0"/>
    <w:rsid w:val="004C6BA6"/>
    <w:rsid w:val="004D1257"/>
    <w:rsid w:val="004D2A14"/>
    <w:rsid w:val="004D49DF"/>
    <w:rsid w:val="004D5C9C"/>
    <w:rsid w:val="004E0BCD"/>
    <w:rsid w:val="004E4CE4"/>
    <w:rsid w:val="004E5744"/>
    <w:rsid w:val="004E5A5E"/>
    <w:rsid w:val="005003C9"/>
    <w:rsid w:val="00500A6C"/>
    <w:rsid w:val="00501818"/>
    <w:rsid w:val="00506D8B"/>
    <w:rsid w:val="00507B37"/>
    <w:rsid w:val="00516E23"/>
    <w:rsid w:val="005174D4"/>
    <w:rsid w:val="00521581"/>
    <w:rsid w:val="00523303"/>
    <w:rsid w:val="00523D20"/>
    <w:rsid w:val="00525F5A"/>
    <w:rsid w:val="0052658B"/>
    <w:rsid w:val="0053401F"/>
    <w:rsid w:val="005343E8"/>
    <w:rsid w:val="00534669"/>
    <w:rsid w:val="005349F2"/>
    <w:rsid w:val="005378D4"/>
    <w:rsid w:val="00543BF1"/>
    <w:rsid w:val="00546217"/>
    <w:rsid w:val="0055198B"/>
    <w:rsid w:val="00553188"/>
    <w:rsid w:val="00553C56"/>
    <w:rsid w:val="00555F0A"/>
    <w:rsid w:val="0056358C"/>
    <w:rsid w:val="00564256"/>
    <w:rsid w:val="00564E5C"/>
    <w:rsid w:val="00570286"/>
    <w:rsid w:val="00574363"/>
    <w:rsid w:val="00577344"/>
    <w:rsid w:val="00577613"/>
    <w:rsid w:val="00577712"/>
    <w:rsid w:val="005840CC"/>
    <w:rsid w:val="00585B38"/>
    <w:rsid w:val="0058734F"/>
    <w:rsid w:val="00590F81"/>
    <w:rsid w:val="005951A0"/>
    <w:rsid w:val="005953B5"/>
    <w:rsid w:val="0059739C"/>
    <w:rsid w:val="005A045C"/>
    <w:rsid w:val="005A1897"/>
    <w:rsid w:val="005A7438"/>
    <w:rsid w:val="005B2B88"/>
    <w:rsid w:val="005B414E"/>
    <w:rsid w:val="005B58B6"/>
    <w:rsid w:val="005B66CF"/>
    <w:rsid w:val="005C0B04"/>
    <w:rsid w:val="005D1A8D"/>
    <w:rsid w:val="005D2BF4"/>
    <w:rsid w:val="005D2C88"/>
    <w:rsid w:val="005D6956"/>
    <w:rsid w:val="005D72AF"/>
    <w:rsid w:val="005D7F2E"/>
    <w:rsid w:val="005E2536"/>
    <w:rsid w:val="005E2779"/>
    <w:rsid w:val="005E65A9"/>
    <w:rsid w:val="005F1487"/>
    <w:rsid w:val="005F283C"/>
    <w:rsid w:val="005F2862"/>
    <w:rsid w:val="005F3C7F"/>
    <w:rsid w:val="005F6423"/>
    <w:rsid w:val="0060180A"/>
    <w:rsid w:val="00602C02"/>
    <w:rsid w:val="00603624"/>
    <w:rsid w:val="0060563A"/>
    <w:rsid w:val="00606E33"/>
    <w:rsid w:val="00607388"/>
    <w:rsid w:val="00610D4F"/>
    <w:rsid w:val="0061520F"/>
    <w:rsid w:val="00616091"/>
    <w:rsid w:val="00620F74"/>
    <w:rsid w:val="0062595D"/>
    <w:rsid w:val="006266FC"/>
    <w:rsid w:val="006323FC"/>
    <w:rsid w:val="006348D2"/>
    <w:rsid w:val="00635F8C"/>
    <w:rsid w:val="00636311"/>
    <w:rsid w:val="00636D1B"/>
    <w:rsid w:val="00641980"/>
    <w:rsid w:val="006428A8"/>
    <w:rsid w:val="00644A18"/>
    <w:rsid w:val="00645FB7"/>
    <w:rsid w:val="006538DB"/>
    <w:rsid w:val="00654BFD"/>
    <w:rsid w:val="006555B4"/>
    <w:rsid w:val="00656946"/>
    <w:rsid w:val="00657639"/>
    <w:rsid w:val="00660C49"/>
    <w:rsid w:val="00662256"/>
    <w:rsid w:val="006659B4"/>
    <w:rsid w:val="00671718"/>
    <w:rsid w:val="00671F98"/>
    <w:rsid w:val="006740BE"/>
    <w:rsid w:val="00675002"/>
    <w:rsid w:val="00677995"/>
    <w:rsid w:val="00680AF5"/>
    <w:rsid w:val="00690CD3"/>
    <w:rsid w:val="00692E7F"/>
    <w:rsid w:val="00694F4E"/>
    <w:rsid w:val="00695D33"/>
    <w:rsid w:val="00696BEB"/>
    <w:rsid w:val="00697022"/>
    <w:rsid w:val="006A0C53"/>
    <w:rsid w:val="006A33A8"/>
    <w:rsid w:val="006A6E6B"/>
    <w:rsid w:val="006A6FA0"/>
    <w:rsid w:val="006A779B"/>
    <w:rsid w:val="006B072F"/>
    <w:rsid w:val="006B07CF"/>
    <w:rsid w:val="006B4150"/>
    <w:rsid w:val="006C00DA"/>
    <w:rsid w:val="006C1830"/>
    <w:rsid w:val="006C2A7E"/>
    <w:rsid w:val="006C3163"/>
    <w:rsid w:val="006C564F"/>
    <w:rsid w:val="006C592F"/>
    <w:rsid w:val="006C63B6"/>
    <w:rsid w:val="006D454C"/>
    <w:rsid w:val="006D587E"/>
    <w:rsid w:val="006E04E1"/>
    <w:rsid w:val="006E098B"/>
    <w:rsid w:val="006E29EE"/>
    <w:rsid w:val="006E52FB"/>
    <w:rsid w:val="006E53B5"/>
    <w:rsid w:val="006E561A"/>
    <w:rsid w:val="006E5980"/>
    <w:rsid w:val="006F5789"/>
    <w:rsid w:val="006F6544"/>
    <w:rsid w:val="006F6A8F"/>
    <w:rsid w:val="006F703A"/>
    <w:rsid w:val="00701574"/>
    <w:rsid w:val="00702E46"/>
    <w:rsid w:val="007032EA"/>
    <w:rsid w:val="007045EE"/>
    <w:rsid w:val="00706B13"/>
    <w:rsid w:val="00707111"/>
    <w:rsid w:val="00712201"/>
    <w:rsid w:val="007122F4"/>
    <w:rsid w:val="00713BD1"/>
    <w:rsid w:val="00717287"/>
    <w:rsid w:val="0071737E"/>
    <w:rsid w:val="00717541"/>
    <w:rsid w:val="00720053"/>
    <w:rsid w:val="007224D1"/>
    <w:rsid w:val="00726989"/>
    <w:rsid w:val="00734576"/>
    <w:rsid w:val="00734B37"/>
    <w:rsid w:val="00735DB0"/>
    <w:rsid w:val="00736B05"/>
    <w:rsid w:val="00740D72"/>
    <w:rsid w:val="0074166E"/>
    <w:rsid w:val="00745DA3"/>
    <w:rsid w:val="00747751"/>
    <w:rsid w:val="0074781E"/>
    <w:rsid w:val="007505D6"/>
    <w:rsid w:val="00751000"/>
    <w:rsid w:val="007510EE"/>
    <w:rsid w:val="00751F5E"/>
    <w:rsid w:val="007579BC"/>
    <w:rsid w:val="00757E8F"/>
    <w:rsid w:val="007625F3"/>
    <w:rsid w:val="0076276D"/>
    <w:rsid w:val="0076498F"/>
    <w:rsid w:val="00770B88"/>
    <w:rsid w:val="00770FB0"/>
    <w:rsid w:val="0077229C"/>
    <w:rsid w:val="00773134"/>
    <w:rsid w:val="00774E9A"/>
    <w:rsid w:val="00777348"/>
    <w:rsid w:val="00780031"/>
    <w:rsid w:val="007856A9"/>
    <w:rsid w:val="007915FC"/>
    <w:rsid w:val="0079392D"/>
    <w:rsid w:val="00793AC8"/>
    <w:rsid w:val="00794F1E"/>
    <w:rsid w:val="007956F4"/>
    <w:rsid w:val="00795D00"/>
    <w:rsid w:val="00796813"/>
    <w:rsid w:val="007A26F2"/>
    <w:rsid w:val="007A2D99"/>
    <w:rsid w:val="007A64EA"/>
    <w:rsid w:val="007A6EF5"/>
    <w:rsid w:val="007A75FF"/>
    <w:rsid w:val="007B064B"/>
    <w:rsid w:val="007B171D"/>
    <w:rsid w:val="007B3C4C"/>
    <w:rsid w:val="007B564F"/>
    <w:rsid w:val="007C1555"/>
    <w:rsid w:val="007C164A"/>
    <w:rsid w:val="007C18C2"/>
    <w:rsid w:val="007C1E14"/>
    <w:rsid w:val="007C604A"/>
    <w:rsid w:val="007C6D3F"/>
    <w:rsid w:val="007C73FF"/>
    <w:rsid w:val="007E47FD"/>
    <w:rsid w:val="007E5D03"/>
    <w:rsid w:val="007E72E3"/>
    <w:rsid w:val="007E794E"/>
    <w:rsid w:val="007F0DEA"/>
    <w:rsid w:val="007F2448"/>
    <w:rsid w:val="007F3034"/>
    <w:rsid w:val="007F369F"/>
    <w:rsid w:val="007F6736"/>
    <w:rsid w:val="008032C4"/>
    <w:rsid w:val="008061C9"/>
    <w:rsid w:val="0080693D"/>
    <w:rsid w:val="00806FFF"/>
    <w:rsid w:val="00810132"/>
    <w:rsid w:val="0081241F"/>
    <w:rsid w:val="00822200"/>
    <w:rsid w:val="00822B36"/>
    <w:rsid w:val="00824CEC"/>
    <w:rsid w:val="00825147"/>
    <w:rsid w:val="0083380E"/>
    <w:rsid w:val="00834360"/>
    <w:rsid w:val="008351DF"/>
    <w:rsid w:val="00837F70"/>
    <w:rsid w:val="00841B9C"/>
    <w:rsid w:val="008463DD"/>
    <w:rsid w:val="00852C18"/>
    <w:rsid w:val="00855001"/>
    <w:rsid w:val="00855909"/>
    <w:rsid w:val="00861108"/>
    <w:rsid w:val="00862874"/>
    <w:rsid w:val="00862889"/>
    <w:rsid w:val="008643D8"/>
    <w:rsid w:val="00870666"/>
    <w:rsid w:val="008740B4"/>
    <w:rsid w:val="00884637"/>
    <w:rsid w:val="00885000"/>
    <w:rsid w:val="00887B62"/>
    <w:rsid w:val="00887D26"/>
    <w:rsid w:val="00891BBE"/>
    <w:rsid w:val="00892B4B"/>
    <w:rsid w:val="00895C57"/>
    <w:rsid w:val="008A15DB"/>
    <w:rsid w:val="008A2023"/>
    <w:rsid w:val="008A2E15"/>
    <w:rsid w:val="008A4D0C"/>
    <w:rsid w:val="008A55AC"/>
    <w:rsid w:val="008B345F"/>
    <w:rsid w:val="008B3F00"/>
    <w:rsid w:val="008B48D4"/>
    <w:rsid w:val="008C0697"/>
    <w:rsid w:val="008C57CD"/>
    <w:rsid w:val="008D0415"/>
    <w:rsid w:val="008D49C5"/>
    <w:rsid w:val="008E765C"/>
    <w:rsid w:val="008E7F36"/>
    <w:rsid w:val="008F0461"/>
    <w:rsid w:val="008F1ED7"/>
    <w:rsid w:val="008F2FA7"/>
    <w:rsid w:val="008F5DC5"/>
    <w:rsid w:val="008F5F1F"/>
    <w:rsid w:val="008F6C3C"/>
    <w:rsid w:val="0090055E"/>
    <w:rsid w:val="0090187C"/>
    <w:rsid w:val="009073AC"/>
    <w:rsid w:val="00910C97"/>
    <w:rsid w:val="009149B2"/>
    <w:rsid w:val="00915327"/>
    <w:rsid w:val="0091538B"/>
    <w:rsid w:val="0091620E"/>
    <w:rsid w:val="009175F6"/>
    <w:rsid w:val="00921EC5"/>
    <w:rsid w:val="00922789"/>
    <w:rsid w:val="00924382"/>
    <w:rsid w:val="00926114"/>
    <w:rsid w:val="00931FEC"/>
    <w:rsid w:val="009365CD"/>
    <w:rsid w:val="0093716A"/>
    <w:rsid w:val="0094027F"/>
    <w:rsid w:val="00940B82"/>
    <w:rsid w:val="009416FC"/>
    <w:rsid w:val="009422F8"/>
    <w:rsid w:val="009426EF"/>
    <w:rsid w:val="00942B0A"/>
    <w:rsid w:val="00942F73"/>
    <w:rsid w:val="00944B7E"/>
    <w:rsid w:val="00944DCE"/>
    <w:rsid w:val="00945D33"/>
    <w:rsid w:val="00946C93"/>
    <w:rsid w:val="00947CEE"/>
    <w:rsid w:val="00950335"/>
    <w:rsid w:val="00952208"/>
    <w:rsid w:val="00953974"/>
    <w:rsid w:val="009550A4"/>
    <w:rsid w:val="009557CE"/>
    <w:rsid w:val="0096211C"/>
    <w:rsid w:val="00963E55"/>
    <w:rsid w:val="00966D9A"/>
    <w:rsid w:val="0097212D"/>
    <w:rsid w:val="009724A4"/>
    <w:rsid w:val="00973B09"/>
    <w:rsid w:val="009858B7"/>
    <w:rsid w:val="009876E0"/>
    <w:rsid w:val="00992BDD"/>
    <w:rsid w:val="00993A6C"/>
    <w:rsid w:val="00994A0A"/>
    <w:rsid w:val="00996651"/>
    <w:rsid w:val="009967C0"/>
    <w:rsid w:val="00996C91"/>
    <w:rsid w:val="00997E16"/>
    <w:rsid w:val="009A08F4"/>
    <w:rsid w:val="009B2313"/>
    <w:rsid w:val="009B3E2F"/>
    <w:rsid w:val="009B5E5E"/>
    <w:rsid w:val="009B703B"/>
    <w:rsid w:val="009C1ADF"/>
    <w:rsid w:val="009C20CF"/>
    <w:rsid w:val="009C5EB2"/>
    <w:rsid w:val="009C76E6"/>
    <w:rsid w:val="009D3EF0"/>
    <w:rsid w:val="009D4832"/>
    <w:rsid w:val="009D498D"/>
    <w:rsid w:val="009D4A48"/>
    <w:rsid w:val="009E1F67"/>
    <w:rsid w:val="009E6217"/>
    <w:rsid w:val="009E73CF"/>
    <w:rsid w:val="009E74AF"/>
    <w:rsid w:val="009F2681"/>
    <w:rsid w:val="009F32DA"/>
    <w:rsid w:val="009F3535"/>
    <w:rsid w:val="009F3B58"/>
    <w:rsid w:val="009F58E7"/>
    <w:rsid w:val="00A05245"/>
    <w:rsid w:val="00A0536F"/>
    <w:rsid w:val="00A067DF"/>
    <w:rsid w:val="00A07EA2"/>
    <w:rsid w:val="00A16FF9"/>
    <w:rsid w:val="00A176D0"/>
    <w:rsid w:val="00A27771"/>
    <w:rsid w:val="00A27DD8"/>
    <w:rsid w:val="00A3030A"/>
    <w:rsid w:val="00A30BD9"/>
    <w:rsid w:val="00A338F4"/>
    <w:rsid w:val="00A3704E"/>
    <w:rsid w:val="00A42D60"/>
    <w:rsid w:val="00A4708F"/>
    <w:rsid w:val="00A5063E"/>
    <w:rsid w:val="00A556DE"/>
    <w:rsid w:val="00A60375"/>
    <w:rsid w:val="00A61C9D"/>
    <w:rsid w:val="00A61FB8"/>
    <w:rsid w:val="00A62821"/>
    <w:rsid w:val="00A63523"/>
    <w:rsid w:val="00A64B56"/>
    <w:rsid w:val="00A65276"/>
    <w:rsid w:val="00A7063A"/>
    <w:rsid w:val="00A7117E"/>
    <w:rsid w:val="00A72D15"/>
    <w:rsid w:val="00A80551"/>
    <w:rsid w:val="00A85F84"/>
    <w:rsid w:val="00A866D7"/>
    <w:rsid w:val="00A929FC"/>
    <w:rsid w:val="00A93F5B"/>
    <w:rsid w:val="00A94005"/>
    <w:rsid w:val="00A94700"/>
    <w:rsid w:val="00AA427F"/>
    <w:rsid w:val="00AA65B4"/>
    <w:rsid w:val="00AA7C56"/>
    <w:rsid w:val="00AB02D1"/>
    <w:rsid w:val="00AB17BC"/>
    <w:rsid w:val="00AB38A5"/>
    <w:rsid w:val="00AB62B0"/>
    <w:rsid w:val="00AB70A1"/>
    <w:rsid w:val="00AB749F"/>
    <w:rsid w:val="00AB7D56"/>
    <w:rsid w:val="00AD0076"/>
    <w:rsid w:val="00AD2831"/>
    <w:rsid w:val="00AD3973"/>
    <w:rsid w:val="00AD5B76"/>
    <w:rsid w:val="00AD609C"/>
    <w:rsid w:val="00AD6F91"/>
    <w:rsid w:val="00AD7084"/>
    <w:rsid w:val="00AE0E40"/>
    <w:rsid w:val="00AE2071"/>
    <w:rsid w:val="00AE2695"/>
    <w:rsid w:val="00AE31D8"/>
    <w:rsid w:val="00AE3813"/>
    <w:rsid w:val="00AE61E5"/>
    <w:rsid w:val="00AF19D5"/>
    <w:rsid w:val="00AF2A95"/>
    <w:rsid w:val="00AF5A5C"/>
    <w:rsid w:val="00AF6BD5"/>
    <w:rsid w:val="00AF6E60"/>
    <w:rsid w:val="00B032AD"/>
    <w:rsid w:val="00B05001"/>
    <w:rsid w:val="00B057CC"/>
    <w:rsid w:val="00B0603E"/>
    <w:rsid w:val="00B134C0"/>
    <w:rsid w:val="00B142A8"/>
    <w:rsid w:val="00B15337"/>
    <w:rsid w:val="00B15391"/>
    <w:rsid w:val="00B16026"/>
    <w:rsid w:val="00B22D00"/>
    <w:rsid w:val="00B22F44"/>
    <w:rsid w:val="00B22F98"/>
    <w:rsid w:val="00B24801"/>
    <w:rsid w:val="00B25CFA"/>
    <w:rsid w:val="00B2608F"/>
    <w:rsid w:val="00B26795"/>
    <w:rsid w:val="00B27210"/>
    <w:rsid w:val="00B3097E"/>
    <w:rsid w:val="00B30D06"/>
    <w:rsid w:val="00B30FB4"/>
    <w:rsid w:val="00B317FF"/>
    <w:rsid w:val="00B33EE5"/>
    <w:rsid w:val="00B358FF"/>
    <w:rsid w:val="00B35BE0"/>
    <w:rsid w:val="00B37EB2"/>
    <w:rsid w:val="00B40D91"/>
    <w:rsid w:val="00B43EF6"/>
    <w:rsid w:val="00B453DB"/>
    <w:rsid w:val="00B617D5"/>
    <w:rsid w:val="00B64034"/>
    <w:rsid w:val="00B65D21"/>
    <w:rsid w:val="00B73D8A"/>
    <w:rsid w:val="00B74FAC"/>
    <w:rsid w:val="00B7503E"/>
    <w:rsid w:val="00B80219"/>
    <w:rsid w:val="00B826EF"/>
    <w:rsid w:val="00B8299F"/>
    <w:rsid w:val="00B82B1B"/>
    <w:rsid w:val="00B83471"/>
    <w:rsid w:val="00B840EC"/>
    <w:rsid w:val="00B84C97"/>
    <w:rsid w:val="00B92B23"/>
    <w:rsid w:val="00B936A4"/>
    <w:rsid w:val="00B94188"/>
    <w:rsid w:val="00B9597C"/>
    <w:rsid w:val="00BA0E49"/>
    <w:rsid w:val="00BA202B"/>
    <w:rsid w:val="00BA356D"/>
    <w:rsid w:val="00BA491C"/>
    <w:rsid w:val="00BB056D"/>
    <w:rsid w:val="00BB1A1A"/>
    <w:rsid w:val="00BB3054"/>
    <w:rsid w:val="00BC0079"/>
    <w:rsid w:val="00BC1CED"/>
    <w:rsid w:val="00BC2F22"/>
    <w:rsid w:val="00BC40B3"/>
    <w:rsid w:val="00BC452D"/>
    <w:rsid w:val="00BC5C43"/>
    <w:rsid w:val="00BC67AF"/>
    <w:rsid w:val="00BC7619"/>
    <w:rsid w:val="00BD134E"/>
    <w:rsid w:val="00BD140F"/>
    <w:rsid w:val="00BD1F00"/>
    <w:rsid w:val="00BD3D45"/>
    <w:rsid w:val="00BD6217"/>
    <w:rsid w:val="00BD76EA"/>
    <w:rsid w:val="00BD79EE"/>
    <w:rsid w:val="00BE08DC"/>
    <w:rsid w:val="00BE4DDB"/>
    <w:rsid w:val="00BE65A3"/>
    <w:rsid w:val="00BF0BA6"/>
    <w:rsid w:val="00BF452A"/>
    <w:rsid w:val="00C019A9"/>
    <w:rsid w:val="00C026FC"/>
    <w:rsid w:val="00C02CE6"/>
    <w:rsid w:val="00C030B8"/>
    <w:rsid w:val="00C109BF"/>
    <w:rsid w:val="00C129A0"/>
    <w:rsid w:val="00C1462F"/>
    <w:rsid w:val="00C151B0"/>
    <w:rsid w:val="00C1757B"/>
    <w:rsid w:val="00C20D75"/>
    <w:rsid w:val="00C22784"/>
    <w:rsid w:val="00C23C0C"/>
    <w:rsid w:val="00C24DC4"/>
    <w:rsid w:val="00C257D1"/>
    <w:rsid w:val="00C31719"/>
    <w:rsid w:val="00C31AAF"/>
    <w:rsid w:val="00C3240B"/>
    <w:rsid w:val="00C33385"/>
    <w:rsid w:val="00C3409E"/>
    <w:rsid w:val="00C345A2"/>
    <w:rsid w:val="00C35504"/>
    <w:rsid w:val="00C35896"/>
    <w:rsid w:val="00C3622B"/>
    <w:rsid w:val="00C365DE"/>
    <w:rsid w:val="00C37626"/>
    <w:rsid w:val="00C450DC"/>
    <w:rsid w:val="00C47A1B"/>
    <w:rsid w:val="00C51A09"/>
    <w:rsid w:val="00C52F14"/>
    <w:rsid w:val="00C534DF"/>
    <w:rsid w:val="00C53782"/>
    <w:rsid w:val="00C56AAD"/>
    <w:rsid w:val="00C5707D"/>
    <w:rsid w:val="00C57294"/>
    <w:rsid w:val="00C640DC"/>
    <w:rsid w:val="00C73D26"/>
    <w:rsid w:val="00C818EE"/>
    <w:rsid w:val="00C84747"/>
    <w:rsid w:val="00C868A7"/>
    <w:rsid w:val="00C93520"/>
    <w:rsid w:val="00C93BE6"/>
    <w:rsid w:val="00C94A1E"/>
    <w:rsid w:val="00C9511E"/>
    <w:rsid w:val="00CA058C"/>
    <w:rsid w:val="00CA29A2"/>
    <w:rsid w:val="00CB0236"/>
    <w:rsid w:val="00CB0AA7"/>
    <w:rsid w:val="00CB0F63"/>
    <w:rsid w:val="00CB29BC"/>
    <w:rsid w:val="00CB2F1B"/>
    <w:rsid w:val="00CB49B3"/>
    <w:rsid w:val="00CB6921"/>
    <w:rsid w:val="00CC08D7"/>
    <w:rsid w:val="00CC126A"/>
    <w:rsid w:val="00CC2475"/>
    <w:rsid w:val="00CC2778"/>
    <w:rsid w:val="00CC2AB7"/>
    <w:rsid w:val="00CC2B77"/>
    <w:rsid w:val="00CC3651"/>
    <w:rsid w:val="00CC4235"/>
    <w:rsid w:val="00CC44C2"/>
    <w:rsid w:val="00CC61A9"/>
    <w:rsid w:val="00CC76E4"/>
    <w:rsid w:val="00CE3294"/>
    <w:rsid w:val="00CE35B6"/>
    <w:rsid w:val="00CE4966"/>
    <w:rsid w:val="00CE4BC2"/>
    <w:rsid w:val="00CE6767"/>
    <w:rsid w:val="00CF4347"/>
    <w:rsid w:val="00CF4841"/>
    <w:rsid w:val="00CF56F7"/>
    <w:rsid w:val="00CF6B21"/>
    <w:rsid w:val="00D00266"/>
    <w:rsid w:val="00D0270A"/>
    <w:rsid w:val="00D07733"/>
    <w:rsid w:val="00D1090A"/>
    <w:rsid w:val="00D1303D"/>
    <w:rsid w:val="00D22397"/>
    <w:rsid w:val="00D22518"/>
    <w:rsid w:val="00D235EC"/>
    <w:rsid w:val="00D3025B"/>
    <w:rsid w:val="00D341A6"/>
    <w:rsid w:val="00D37956"/>
    <w:rsid w:val="00D41F22"/>
    <w:rsid w:val="00D448C3"/>
    <w:rsid w:val="00D4685E"/>
    <w:rsid w:val="00D5076F"/>
    <w:rsid w:val="00D52412"/>
    <w:rsid w:val="00D5346D"/>
    <w:rsid w:val="00D55074"/>
    <w:rsid w:val="00D55090"/>
    <w:rsid w:val="00D5610F"/>
    <w:rsid w:val="00D574E1"/>
    <w:rsid w:val="00D57F82"/>
    <w:rsid w:val="00D60B4B"/>
    <w:rsid w:val="00D61D75"/>
    <w:rsid w:val="00D67857"/>
    <w:rsid w:val="00D7133A"/>
    <w:rsid w:val="00D739E6"/>
    <w:rsid w:val="00D7489B"/>
    <w:rsid w:val="00D83768"/>
    <w:rsid w:val="00D86A5F"/>
    <w:rsid w:val="00D871BA"/>
    <w:rsid w:val="00D900D5"/>
    <w:rsid w:val="00D90C0C"/>
    <w:rsid w:val="00D922C2"/>
    <w:rsid w:val="00D93C74"/>
    <w:rsid w:val="00D93D0B"/>
    <w:rsid w:val="00D95031"/>
    <w:rsid w:val="00DA0010"/>
    <w:rsid w:val="00DA2486"/>
    <w:rsid w:val="00DA4C38"/>
    <w:rsid w:val="00DA53DE"/>
    <w:rsid w:val="00DB06F9"/>
    <w:rsid w:val="00DB10B0"/>
    <w:rsid w:val="00DB7138"/>
    <w:rsid w:val="00DC1CAE"/>
    <w:rsid w:val="00DC2C2D"/>
    <w:rsid w:val="00DC3F9D"/>
    <w:rsid w:val="00DC6F8B"/>
    <w:rsid w:val="00DC7037"/>
    <w:rsid w:val="00DD0050"/>
    <w:rsid w:val="00DD3470"/>
    <w:rsid w:val="00DD3B24"/>
    <w:rsid w:val="00DD3FA9"/>
    <w:rsid w:val="00DD7E0D"/>
    <w:rsid w:val="00DE4755"/>
    <w:rsid w:val="00DE56EE"/>
    <w:rsid w:val="00DE5D19"/>
    <w:rsid w:val="00DF2B34"/>
    <w:rsid w:val="00DF499E"/>
    <w:rsid w:val="00DF732A"/>
    <w:rsid w:val="00E012CE"/>
    <w:rsid w:val="00E01343"/>
    <w:rsid w:val="00E015A3"/>
    <w:rsid w:val="00E03453"/>
    <w:rsid w:val="00E0405C"/>
    <w:rsid w:val="00E043C4"/>
    <w:rsid w:val="00E0584C"/>
    <w:rsid w:val="00E05C36"/>
    <w:rsid w:val="00E05C72"/>
    <w:rsid w:val="00E076B3"/>
    <w:rsid w:val="00E07CC3"/>
    <w:rsid w:val="00E139FB"/>
    <w:rsid w:val="00E14C8D"/>
    <w:rsid w:val="00E17484"/>
    <w:rsid w:val="00E2185B"/>
    <w:rsid w:val="00E30B2A"/>
    <w:rsid w:val="00E30FD6"/>
    <w:rsid w:val="00E345B0"/>
    <w:rsid w:val="00E35C19"/>
    <w:rsid w:val="00E432B9"/>
    <w:rsid w:val="00E43759"/>
    <w:rsid w:val="00E43C09"/>
    <w:rsid w:val="00E47590"/>
    <w:rsid w:val="00E47BEC"/>
    <w:rsid w:val="00E50860"/>
    <w:rsid w:val="00E53201"/>
    <w:rsid w:val="00E545F8"/>
    <w:rsid w:val="00E567E0"/>
    <w:rsid w:val="00E61484"/>
    <w:rsid w:val="00E62E3D"/>
    <w:rsid w:val="00E63369"/>
    <w:rsid w:val="00E6378F"/>
    <w:rsid w:val="00E66369"/>
    <w:rsid w:val="00E667E7"/>
    <w:rsid w:val="00E66EC8"/>
    <w:rsid w:val="00E76876"/>
    <w:rsid w:val="00E77155"/>
    <w:rsid w:val="00E81F81"/>
    <w:rsid w:val="00E82F90"/>
    <w:rsid w:val="00E85758"/>
    <w:rsid w:val="00E85894"/>
    <w:rsid w:val="00E878CF"/>
    <w:rsid w:val="00E901EC"/>
    <w:rsid w:val="00E91AFE"/>
    <w:rsid w:val="00E97488"/>
    <w:rsid w:val="00EA0C17"/>
    <w:rsid w:val="00EA17E2"/>
    <w:rsid w:val="00EA2BA7"/>
    <w:rsid w:val="00EA3E8C"/>
    <w:rsid w:val="00EA55CB"/>
    <w:rsid w:val="00EA688E"/>
    <w:rsid w:val="00EB122D"/>
    <w:rsid w:val="00EB23FA"/>
    <w:rsid w:val="00EB5E76"/>
    <w:rsid w:val="00EB636D"/>
    <w:rsid w:val="00EC4E56"/>
    <w:rsid w:val="00EC5603"/>
    <w:rsid w:val="00EC61B6"/>
    <w:rsid w:val="00EC751F"/>
    <w:rsid w:val="00EC7AAE"/>
    <w:rsid w:val="00EC7CF7"/>
    <w:rsid w:val="00ED1462"/>
    <w:rsid w:val="00ED2D2A"/>
    <w:rsid w:val="00ED3A76"/>
    <w:rsid w:val="00ED5DB1"/>
    <w:rsid w:val="00ED6F24"/>
    <w:rsid w:val="00ED7F38"/>
    <w:rsid w:val="00EE2F2F"/>
    <w:rsid w:val="00EE2F84"/>
    <w:rsid w:val="00EE5229"/>
    <w:rsid w:val="00EE634B"/>
    <w:rsid w:val="00EF0518"/>
    <w:rsid w:val="00EF4BCD"/>
    <w:rsid w:val="00EF4D4C"/>
    <w:rsid w:val="00F069DF"/>
    <w:rsid w:val="00F109EB"/>
    <w:rsid w:val="00F129EC"/>
    <w:rsid w:val="00F13A4B"/>
    <w:rsid w:val="00F15D16"/>
    <w:rsid w:val="00F15EEC"/>
    <w:rsid w:val="00F16C05"/>
    <w:rsid w:val="00F17CF5"/>
    <w:rsid w:val="00F20380"/>
    <w:rsid w:val="00F20C10"/>
    <w:rsid w:val="00F25A04"/>
    <w:rsid w:val="00F270DF"/>
    <w:rsid w:val="00F35C13"/>
    <w:rsid w:val="00F36427"/>
    <w:rsid w:val="00F37B12"/>
    <w:rsid w:val="00F37C00"/>
    <w:rsid w:val="00F402EB"/>
    <w:rsid w:val="00F40CE2"/>
    <w:rsid w:val="00F4226B"/>
    <w:rsid w:val="00F4294D"/>
    <w:rsid w:val="00F47716"/>
    <w:rsid w:val="00F50661"/>
    <w:rsid w:val="00F514E5"/>
    <w:rsid w:val="00F5308F"/>
    <w:rsid w:val="00F53454"/>
    <w:rsid w:val="00F5386A"/>
    <w:rsid w:val="00F55865"/>
    <w:rsid w:val="00F61C11"/>
    <w:rsid w:val="00F64CF8"/>
    <w:rsid w:val="00F77894"/>
    <w:rsid w:val="00F77C7F"/>
    <w:rsid w:val="00F80539"/>
    <w:rsid w:val="00F81932"/>
    <w:rsid w:val="00F819E1"/>
    <w:rsid w:val="00F82573"/>
    <w:rsid w:val="00F82B67"/>
    <w:rsid w:val="00F837BE"/>
    <w:rsid w:val="00F84B84"/>
    <w:rsid w:val="00F87341"/>
    <w:rsid w:val="00F91AF6"/>
    <w:rsid w:val="00F91EBC"/>
    <w:rsid w:val="00F9282A"/>
    <w:rsid w:val="00F93D14"/>
    <w:rsid w:val="00FA0207"/>
    <w:rsid w:val="00FA1D74"/>
    <w:rsid w:val="00FA1E93"/>
    <w:rsid w:val="00FA2A78"/>
    <w:rsid w:val="00FA384D"/>
    <w:rsid w:val="00FA4654"/>
    <w:rsid w:val="00FA4FCC"/>
    <w:rsid w:val="00FA6B8B"/>
    <w:rsid w:val="00FA714D"/>
    <w:rsid w:val="00FB0CAB"/>
    <w:rsid w:val="00FB2843"/>
    <w:rsid w:val="00FB4581"/>
    <w:rsid w:val="00FB4F3D"/>
    <w:rsid w:val="00FC0191"/>
    <w:rsid w:val="00FC130F"/>
    <w:rsid w:val="00FC18E4"/>
    <w:rsid w:val="00FC60D8"/>
    <w:rsid w:val="00FC733F"/>
    <w:rsid w:val="00FC7DE2"/>
    <w:rsid w:val="00FD07B0"/>
    <w:rsid w:val="00FD2161"/>
    <w:rsid w:val="00FD7BB3"/>
    <w:rsid w:val="00FE08D6"/>
    <w:rsid w:val="00FE301A"/>
    <w:rsid w:val="00FE4D3A"/>
    <w:rsid w:val="00FE74B8"/>
    <w:rsid w:val="00FF350E"/>
    <w:rsid w:val="00FF3CF6"/>
    <w:rsid w:val="00FF5764"/>
    <w:rsid w:val="00FF5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D49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5A5C"/>
    <w:pPr>
      <w:widowControl w:val="0"/>
      <w:spacing w:after="240"/>
      <w:jc w:val="both"/>
    </w:pPr>
    <w:rPr>
      <w:rFonts w:cs="Arial"/>
    </w:rPr>
  </w:style>
  <w:style w:type="paragraph" w:styleId="Heading1">
    <w:name w:val="heading 1"/>
    <w:basedOn w:val="Normal"/>
    <w:next w:val="Normal"/>
    <w:link w:val="Heading1Char"/>
    <w:uiPriority w:val="9"/>
    <w:qFormat/>
    <w:rsid w:val="006740BE"/>
    <w:pPr>
      <w:keepNext/>
      <w:pageBreakBefore/>
      <w:numPr>
        <w:numId w:val="1"/>
      </w:numPr>
      <w:tabs>
        <w:tab w:val="left" w:pos="567"/>
      </w:tabs>
      <w:outlineLvl w:val="0"/>
    </w:pPr>
    <w:rPr>
      <w:rFonts w:eastAsia="Times New Roman" w:cs="Times New Roman"/>
      <w:b/>
      <w:bCs/>
      <w:kern w:val="32"/>
      <w:sz w:val="32"/>
      <w:szCs w:val="32"/>
      <w:lang w:val="x-none" w:eastAsia="x-none"/>
    </w:rPr>
  </w:style>
  <w:style w:type="paragraph" w:styleId="Heading2">
    <w:name w:val="heading 2"/>
    <w:basedOn w:val="Heading1"/>
    <w:next w:val="Normal"/>
    <w:link w:val="Heading2Char"/>
    <w:uiPriority w:val="9"/>
    <w:unhideWhenUsed/>
    <w:qFormat/>
    <w:rsid w:val="00C9511E"/>
    <w:pPr>
      <w:keepNext w:val="0"/>
      <w:pageBreakBefore w:val="0"/>
      <w:numPr>
        <w:ilvl w:val="1"/>
      </w:numPr>
      <w:tabs>
        <w:tab w:val="clear" w:pos="567"/>
        <w:tab w:val="left" w:pos="709"/>
      </w:tabs>
      <w:outlineLvl w:val="1"/>
    </w:pPr>
    <w:rPr>
      <w:bCs w:val="0"/>
      <w:iCs/>
      <w:sz w:val="28"/>
      <w:szCs w:val="28"/>
    </w:rPr>
  </w:style>
  <w:style w:type="paragraph" w:styleId="Heading3">
    <w:name w:val="heading 3"/>
    <w:basedOn w:val="Normal"/>
    <w:next w:val="Normal"/>
    <w:link w:val="Heading3Char"/>
    <w:uiPriority w:val="9"/>
    <w:unhideWhenUsed/>
    <w:qFormat/>
    <w:rsid w:val="00C9511E"/>
    <w:pPr>
      <w:keepNext/>
      <w:numPr>
        <w:ilvl w:val="2"/>
        <w:numId w:val="1"/>
      </w:numPr>
      <w:tabs>
        <w:tab w:val="left" w:pos="851"/>
      </w:tabs>
      <w:outlineLvl w:val="2"/>
    </w:pPr>
    <w:rPr>
      <w:rFonts w:eastAsia="Times New Roman" w:cs="Times New Roman"/>
      <w:b/>
      <w:bCs/>
      <w:sz w:val="26"/>
      <w:szCs w:val="26"/>
      <w:lang w:val="x-none" w:eastAsia="x-none"/>
    </w:rPr>
  </w:style>
  <w:style w:type="paragraph" w:styleId="Heading4">
    <w:name w:val="heading 4"/>
    <w:basedOn w:val="Normal"/>
    <w:next w:val="Normal"/>
    <w:link w:val="Heading4Char"/>
    <w:uiPriority w:val="9"/>
    <w:unhideWhenUsed/>
    <w:qFormat/>
    <w:rsid w:val="00C9511E"/>
    <w:pPr>
      <w:keepNext/>
      <w:numPr>
        <w:ilvl w:val="3"/>
        <w:numId w:val="1"/>
      </w:numPr>
      <w:tabs>
        <w:tab w:val="left" w:pos="993"/>
      </w:tabs>
      <w:outlineLvl w:val="3"/>
    </w:pPr>
    <w:rPr>
      <w:rFonts w:eastAsia="Times New Roman" w:cs="Times New Roman"/>
      <w:b/>
      <w:bCs/>
      <w:sz w:val="24"/>
      <w:lang w:val="x-none" w:eastAsia="x-none"/>
    </w:rPr>
  </w:style>
  <w:style w:type="paragraph" w:styleId="Heading5">
    <w:name w:val="heading 5"/>
    <w:basedOn w:val="Normal"/>
    <w:next w:val="Normal"/>
    <w:link w:val="Heading5Char"/>
    <w:uiPriority w:val="9"/>
    <w:unhideWhenUsed/>
    <w:qFormat/>
    <w:rsid w:val="00C9511E"/>
    <w:pPr>
      <w:numPr>
        <w:ilvl w:val="4"/>
        <w:numId w:val="1"/>
      </w:numPr>
      <w:tabs>
        <w:tab w:val="left" w:pos="1134"/>
      </w:tabs>
      <w:outlineLvl w:val="4"/>
    </w:pPr>
    <w:rPr>
      <w:rFonts w:eastAsia="Times New Roman" w:cs="Times New Roman"/>
      <w:b/>
      <w:bCs/>
      <w:iCs/>
      <w:sz w:val="22"/>
      <w:lang w:val="x-none" w:eastAsia="x-none"/>
    </w:rPr>
  </w:style>
  <w:style w:type="paragraph" w:styleId="Heading6">
    <w:name w:val="heading 6"/>
    <w:basedOn w:val="Normal"/>
    <w:next w:val="Normal"/>
    <w:link w:val="Heading6Char"/>
    <w:uiPriority w:val="9"/>
    <w:semiHidden/>
    <w:unhideWhenUsed/>
    <w:qFormat/>
    <w:rsid w:val="007C18C2"/>
    <w:pPr>
      <w:numPr>
        <w:ilvl w:val="5"/>
        <w:numId w:val="1"/>
      </w:numPr>
      <w:spacing w:before="240" w:after="60"/>
      <w:outlineLvl w:val="5"/>
    </w:pPr>
    <w:rPr>
      <w:rFonts w:eastAsia="Times New Roman" w:cs="Times New Roman"/>
      <w:b/>
      <w:bCs/>
      <w:lang w:val="x-none" w:eastAsia="x-none"/>
    </w:rPr>
  </w:style>
  <w:style w:type="paragraph" w:styleId="Heading7">
    <w:name w:val="heading 7"/>
    <w:basedOn w:val="Normal"/>
    <w:next w:val="Normal"/>
    <w:link w:val="Heading7Char"/>
    <w:uiPriority w:val="9"/>
    <w:semiHidden/>
    <w:unhideWhenUsed/>
    <w:qFormat/>
    <w:rsid w:val="007C18C2"/>
    <w:pPr>
      <w:numPr>
        <w:ilvl w:val="6"/>
        <w:numId w:val="1"/>
      </w:numPr>
      <w:spacing w:before="240" w:after="60"/>
      <w:outlineLvl w:val="6"/>
    </w:pPr>
    <w:rPr>
      <w:rFonts w:eastAsia="Times New Roman" w:cs="Times New Roman"/>
      <w:sz w:val="24"/>
      <w:lang w:val="x-none" w:eastAsia="x-none"/>
    </w:rPr>
  </w:style>
  <w:style w:type="paragraph" w:styleId="Heading8">
    <w:name w:val="heading 8"/>
    <w:basedOn w:val="Normal"/>
    <w:next w:val="Normal"/>
    <w:link w:val="Heading8Char"/>
    <w:uiPriority w:val="9"/>
    <w:semiHidden/>
    <w:unhideWhenUsed/>
    <w:qFormat/>
    <w:rsid w:val="007C18C2"/>
    <w:pPr>
      <w:numPr>
        <w:ilvl w:val="7"/>
        <w:numId w:val="1"/>
      </w:numPr>
      <w:spacing w:before="240" w:after="60"/>
      <w:outlineLvl w:val="7"/>
    </w:pPr>
    <w:rPr>
      <w:rFonts w:eastAsia="Times New Roman" w:cs="Times New Roman"/>
      <w:i/>
      <w:iCs/>
      <w:sz w:val="24"/>
      <w:lang w:val="x-none" w:eastAsia="x-none"/>
    </w:rPr>
  </w:style>
  <w:style w:type="paragraph" w:styleId="Heading9">
    <w:name w:val="heading 9"/>
    <w:basedOn w:val="Normal"/>
    <w:next w:val="Normal"/>
    <w:link w:val="Heading9Char"/>
    <w:uiPriority w:val="9"/>
    <w:semiHidden/>
    <w:unhideWhenUsed/>
    <w:qFormat/>
    <w:rsid w:val="007C18C2"/>
    <w:pPr>
      <w:numPr>
        <w:ilvl w:val="8"/>
        <w:numId w:val="1"/>
      </w:numPr>
      <w:spacing w:before="240" w:after="60"/>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A4B"/>
    <w:pPr>
      <w:tabs>
        <w:tab w:val="center" w:pos="4513"/>
        <w:tab w:val="right" w:pos="9026"/>
      </w:tabs>
    </w:pPr>
    <w:rPr>
      <w:rFonts w:cs="Times New Roman"/>
      <w:sz w:val="22"/>
      <w:szCs w:val="22"/>
      <w:lang w:val="x-none" w:eastAsia="en-US"/>
    </w:rPr>
  </w:style>
  <w:style w:type="character" w:customStyle="1" w:styleId="HeaderChar">
    <w:name w:val="Header Char"/>
    <w:link w:val="Header"/>
    <w:uiPriority w:val="99"/>
    <w:rsid w:val="00F13A4B"/>
    <w:rPr>
      <w:sz w:val="22"/>
      <w:szCs w:val="22"/>
      <w:lang w:eastAsia="en-US"/>
    </w:rPr>
  </w:style>
  <w:style w:type="paragraph" w:styleId="Footer">
    <w:name w:val="footer"/>
    <w:basedOn w:val="Normal"/>
    <w:link w:val="FooterChar"/>
    <w:uiPriority w:val="99"/>
    <w:unhideWhenUsed/>
    <w:rsid w:val="00F13A4B"/>
    <w:pPr>
      <w:tabs>
        <w:tab w:val="center" w:pos="4513"/>
        <w:tab w:val="right" w:pos="9026"/>
      </w:tabs>
    </w:pPr>
    <w:rPr>
      <w:rFonts w:cs="Times New Roman"/>
      <w:sz w:val="22"/>
      <w:szCs w:val="22"/>
      <w:lang w:val="x-none" w:eastAsia="en-US"/>
    </w:rPr>
  </w:style>
  <w:style w:type="character" w:customStyle="1" w:styleId="FooterChar">
    <w:name w:val="Footer Char"/>
    <w:link w:val="Footer"/>
    <w:uiPriority w:val="99"/>
    <w:rsid w:val="00F13A4B"/>
    <w:rPr>
      <w:sz w:val="22"/>
      <w:szCs w:val="22"/>
      <w:lang w:eastAsia="en-US"/>
    </w:rPr>
  </w:style>
  <w:style w:type="paragraph" w:styleId="BalloonText">
    <w:name w:val="Balloon Text"/>
    <w:basedOn w:val="Normal"/>
    <w:link w:val="BalloonTextChar"/>
    <w:uiPriority w:val="99"/>
    <w:semiHidden/>
    <w:unhideWhenUsed/>
    <w:rsid w:val="00F13A4B"/>
    <w:pPr>
      <w:spacing w:after="0"/>
    </w:pPr>
    <w:rPr>
      <w:rFonts w:ascii="Tahoma" w:hAnsi="Tahoma" w:cs="Times New Roman"/>
      <w:sz w:val="16"/>
      <w:szCs w:val="16"/>
      <w:lang w:val="x-none" w:eastAsia="en-US"/>
    </w:rPr>
  </w:style>
  <w:style w:type="character" w:customStyle="1" w:styleId="BalloonTextChar">
    <w:name w:val="Balloon Text Char"/>
    <w:link w:val="BalloonText"/>
    <w:uiPriority w:val="99"/>
    <w:semiHidden/>
    <w:rsid w:val="00F13A4B"/>
    <w:rPr>
      <w:rFonts w:ascii="Tahoma" w:hAnsi="Tahoma" w:cs="Tahoma"/>
      <w:sz w:val="16"/>
      <w:szCs w:val="16"/>
      <w:lang w:eastAsia="en-US"/>
    </w:rPr>
  </w:style>
  <w:style w:type="paragraph" w:styleId="TOC1">
    <w:name w:val="toc 1"/>
    <w:basedOn w:val="Normal"/>
    <w:next w:val="Normal"/>
    <w:autoRedefine/>
    <w:uiPriority w:val="39"/>
    <w:unhideWhenUsed/>
    <w:qFormat/>
    <w:rsid w:val="00B142A8"/>
    <w:pPr>
      <w:tabs>
        <w:tab w:val="left" w:pos="426"/>
        <w:tab w:val="right" w:leader="dot" w:pos="8789"/>
      </w:tabs>
      <w:spacing w:after="0"/>
    </w:pPr>
  </w:style>
  <w:style w:type="paragraph" w:styleId="TOC2">
    <w:name w:val="toc 2"/>
    <w:basedOn w:val="Normal"/>
    <w:next w:val="Normal"/>
    <w:autoRedefine/>
    <w:uiPriority w:val="39"/>
    <w:unhideWhenUsed/>
    <w:qFormat/>
    <w:rsid w:val="00B142A8"/>
    <w:pPr>
      <w:tabs>
        <w:tab w:val="left" w:pos="880"/>
        <w:tab w:val="right" w:leader="dot" w:pos="8789"/>
      </w:tabs>
      <w:spacing w:after="0"/>
      <w:ind w:left="200"/>
    </w:pPr>
  </w:style>
  <w:style w:type="paragraph" w:styleId="TOC3">
    <w:name w:val="toc 3"/>
    <w:basedOn w:val="Normal"/>
    <w:next w:val="Normal"/>
    <w:autoRedefine/>
    <w:uiPriority w:val="39"/>
    <w:unhideWhenUsed/>
    <w:qFormat/>
    <w:rsid w:val="00B142A8"/>
    <w:pPr>
      <w:tabs>
        <w:tab w:val="left" w:pos="1100"/>
        <w:tab w:val="right" w:leader="dot" w:pos="8789"/>
      </w:tabs>
      <w:spacing w:after="0"/>
      <w:ind w:left="400"/>
    </w:pPr>
  </w:style>
  <w:style w:type="character" w:styleId="Hyperlink">
    <w:name w:val="Hyperlink"/>
    <w:uiPriority w:val="99"/>
    <w:unhideWhenUsed/>
    <w:rsid w:val="007C18C2"/>
    <w:rPr>
      <w:color w:val="0000FF"/>
      <w:u w:val="single"/>
    </w:rPr>
  </w:style>
  <w:style w:type="paragraph" w:styleId="TableofFigures">
    <w:name w:val="table of figures"/>
    <w:basedOn w:val="Normal"/>
    <w:next w:val="Normal"/>
    <w:uiPriority w:val="99"/>
    <w:unhideWhenUsed/>
    <w:rsid w:val="007C18C2"/>
    <w:pPr>
      <w:spacing w:after="0"/>
    </w:pPr>
  </w:style>
  <w:style w:type="character" w:customStyle="1" w:styleId="Heading1Char">
    <w:name w:val="Heading 1 Char"/>
    <w:link w:val="Heading1"/>
    <w:uiPriority w:val="9"/>
    <w:rsid w:val="006740BE"/>
    <w:rPr>
      <w:rFonts w:eastAsia="Times New Roman"/>
      <w:b/>
      <w:bCs/>
      <w:kern w:val="32"/>
      <w:sz w:val="32"/>
      <w:szCs w:val="32"/>
      <w:lang w:val="x-none" w:eastAsia="x-none"/>
    </w:rPr>
  </w:style>
  <w:style w:type="character" w:customStyle="1" w:styleId="Heading2Char">
    <w:name w:val="Heading 2 Char"/>
    <w:link w:val="Heading2"/>
    <w:uiPriority w:val="9"/>
    <w:rsid w:val="00C9511E"/>
    <w:rPr>
      <w:rFonts w:eastAsia="Times New Roman"/>
      <w:b/>
      <w:iCs/>
      <w:kern w:val="32"/>
      <w:sz w:val="28"/>
      <w:szCs w:val="28"/>
      <w:lang w:val="x-none" w:eastAsia="x-none"/>
    </w:rPr>
  </w:style>
  <w:style w:type="character" w:customStyle="1" w:styleId="Heading3Char">
    <w:name w:val="Heading 3 Char"/>
    <w:link w:val="Heading3"/>
    <w:uiPriority w:val="9"/>
    <w:rsid w:val="00C9511E"/>
    <w:rPr>
      <w:rFonts w:eastAsia="Times New Roman"/>
      <w:b/>
      <w:bCs/>
      <w:sz w:val="26"/>
      <w:szCs w:val="26"/>
      <w:lang w:val="x-none" w:eastAsia="x-none"/>
    </w:rPr>
  </w:style>
  <w:style w:type="character" w:customStyle="1" w:styleId="Heading6Char">
    <w:name w:val="Heading 6 Char"/>
    <w:link w:val="Heading6"/>
    <w:uiPriority w:val="9"/>
    <w:semiHidden/>
    <w:rsid w:val="007C18C2"/>
    <w:rPr>
      <w:rFonts w:eastAsia="Times New Roman"/>
      <w:b/>
      <w:bCs/>
      <w:lang w:val="x-none" w:eastAsia="x-none"/>
    </w:rPr>
  </w:style>
  <w:style w:type="character" w:customStyle="1" w:styleId="Heading7Char">
    <w:name w:val="Heading 7 Char"/>
    <w:link w:val="Heading7"/>
    <w:uiPriority w:val="9"/>
    <w:semiHidden/>
    <w:rsid w:val="007C18C2"/>
    <w:rPr>
      <w:rFonts w:eastAsia="Times New Roman"/>
      <w:sz w:val="24"/>
      <w:lang w:val="x-none" w:eastAsia="x-none"/>
    </w:rPr>
  </w:style>
  <w:style w:type="character" w:customStyle="1" w:styleId="Heading8Char">
    <w:name w:val="Heading 8 Char"/>
    <w:link w:val="Heading8"/>
    <w:uiPriority w:val="9"/>
    <w:semiHidden/>
    <w:rsid w:val="007C18C2"/>
    <w:rPr>
      <w:rFonts w:eastAsia="Times New Roman"/>
      <w:i/>
      <w:iCs/>
      <w:sz w:val="24"/>
      <w:lang w:val="x-none" w:eastAsia="x-none"/>
    </w:rPr>
  </w:style>
  <w:style w:type="character" w:customStyle="1" w:styleId="Heading9Char">
    <w:name w:val="Heading 9 Char"/>
    <w:link w:val="Heading9"/>
    <w:uiPriority w:val="9"/>
    <w:semiHidden/>
    <w:rsid w:val="007C18C2"/>
    <w:rPr>
      <w:rFonts w:ascii="Cambria" w:eastAsia="Times New Roman" w:hAnsi="Cambria"/>
      <w:lang w:val="x-none" w:eastAsia="x-none"/>
    </w:rPr>
  </w:style>
  <w:style w:type="paragraph" w:styleId="FootnoteText">
    <w:name w:val="footnote text"/>
    <w:aliases w:val="Fußnote"/>
    <w:basedOn w:val="Normal"/>
    <w:link w:val="FootnoteTextChar"/>
    <w:uiPriority w:val="99"/>
    <w:unhideWhenUsed/>
    <w:rsid w:val="007C18C2"/>
    <w:pPr>
      <w:spacing w:after="0"/>
    </w:pPr>
    <w:rPr>
      <w:rFonts w:cs="Times New Roman"/>
      <w:sz w:val="16"/>
      <w:lang w:val="x-none" w:eastAsia="en-US"/>
    </w:rPr>
  </w:style>
  <w:style w:type="character" w:customStyle="1" w:styleId="FootnoteTextChar">
    <w:name w:val="Footnote Text Char"/>
    <w:aliases w:val="Fußnote Char"/>
    <w:link w:val="FootnoteText"/>
    <w:uiPriority w:val="99"/>
    <w:rsid w:val="007C18C2"/>
    <w:rPr>
      <w:rFonts w:ascii="Arial" w:hAnsi="Arial" w:cs="Arial"/>
      <w:sz w:val="16"/>
      <w:lang w:eastAsia="en-US"/>
    </w:rPr>
  </w:style>
  <w:style w:type="character" w:styleId="FootnoteReference">
    <w:name w:val="footnote reference"/>
    <w:uiPriority w:val="99"/>
    <w:unhideWhenUsed/>
    <w:rsid w:val="007C18C2"/>
    <w:rPr>
      <w:vertAlign w:val="superscript"/>
    </w:rPr>
  </w:style>
  <w:style w:type="character" w:customStyle="1" w:styleId="Heading4Char">
    <w:name w:val="Heading 4 Char"/>
    <w:link w:val="Heading4"/>
    <w:uiPriority w:val="9"/>
    <w:rsid w:val="00C9511E"/>
    <w:rPr>
      <w:rFonts w:eastAsia="Times New Roman"/>
      <w:b/>
      <w:bCs/>
      <w:sz w:val="24"/>
      <w:lang w:val="x-none" w:eastAsia="x-none"/>
    </w:rPr>
  </w:style>
  <w:style w:type="character" w:customStyle="1" w:styleId="Heading5Char">
    <w:name w:val="Heading 5 Char"/>
    <w:link w:val="Heading5"/>
    <w:uiPriority w:val="9"/>
    <w:rsid w:val="00C9511E"/>
    <w:rPr>
      <w:rFonts w:eastAsia="Times New Roman"/>
      <w:b/>
      <w:bCs/>
      <w:iCs/>
      <w:sz w:val="22"/>
      <w:lang w:val="x-none" w:eastAsia="x-none"/>
    </w:rPr>
  </w:style>
  <w:style w:type="paragraph" w:styleId="Caption">
    <w:name w:val="caption"/>
    <w:basedOn w:val="Normal"/>
    <w:next w:val="Normal"/>
    <w:link w:val="CaptionChar"/>
    <w:uiPriority w:val="35"/>
    <w:unhideWhenUsed/>
    <w:qFormat/>
    <w:rsid w:val="00745DA3"/>
    <w:pPr>
      <w:spacing w:before="120" w:after="120"/>
    </w:pPr>
    <w:rPr>
      <w:rFonts w:cs="Times New Roman"/>
      <w:b/>
      <w:bCs/>
      <w:szCs w:val="18"/>
      <w:lang w:val="x-none" w:eastAsia="x-none"/>
    </w:rPr>
  </w:style>
  <w:style w:type="character" w:styleId="CommentReference">
    <w:name w:val="annotation reference"/>
    <w:uiPriority w:val="99"/>
    <w:semiHidden/>
    <w:unhideWhenUsed/>
    <w:rsid w:val="006A779B"/>
  </w:style>
  <w:style w:type="character" w:customStyle="1" w:styleId="CaptionChar">
    <w:name w:val="Caption Char"/>
    <w:link w:val="Caption"/>
    <w:uiPriority w:val="35"/>
    <w:rsid w:val="00745DA3"/>
    <w:rPr>
      <w:rFonts w:cs="Arial"/>
      <w:b/>
      <w:bCs/>
      <w:szCs w:val="18"/>
    </w:rPr>
  </w:style>
  <w:style w:type="paragraph" w:customStyle="1" w:styleId="ProjectTitle">
    <w:name w:val="Project Title"/>
    <w:qFormat/>
    <w:rsid w:val="00337BD6"/>
    <w:pPr>
      <w:spacing w:before="240" w:after="240" w:line="360" w:lineRule="auto"/>
    </w:pPr>
    <w:rPr>
      <w:rFonts w:cs="Arial"/>
      <w:b/>
      <w:sz w:val="32"/>
      <w:szCs w:val="32"/>
    </w:rPr>
  </w:style>
  <w:style w:type="paragraph" w:customStyle="1" w:styleId="CfDFooter">
    <w:name w:val="CfDFooter"/>
    <w:basedOn w:val="Footer"/>
    <w:rsid w:val="00D5076F"/>
    <w:pPr>
      <w:spacing w:after="0"/>
      <w:jc w:val="center"/>
    </w:pPr>
    <w:rPr>
      <w:noProof/>
      <w:szCs w:val="24"/>
    </w:rPr>
  </w:style>
  <w:style w:type="paragraph" w:customStyle="1" w:styleId="Equationcaption">
    <w:name w:val="Equationcaption"/>
    <w:next w:val="Normal"/>
    <w:rsid w:val="00D574E1"/>
    <w:pPr>
      <w:tabs>
        <w:tab w:val="right" w:pos="9072"/>
      </w:tabs>
    </w:pPr>
    <w:rPr>
      <w:rFonts w:cs="Arial"/>
      <w:b/>
      <w:bCs/>
      <w:szCs w:val="18"/>
    </w:rPr>
  </w:style>
  <w:style w:type="paragraph" w:customStyle="1" w:styleId="Table">
    <w:name w:val="Table"/>
    <w:basedOn w:val="Normal"/>
    <w:qFormat/>
    <w:rsid w:val="00B73D8A"/>
    <w:pPr>
      <w:spacing w:after="0"/>
      <w:jc w:val="left"/>
    </w:pPr>
    <w:rPr>
      <w:lang w:val="en-US"/>
    </w:rPr>
  </w:style>
  <w:style w:type="paragraph" w:customStyle="1" w:styleId="Abstract">
    <w:name w:val="Abstract"/>
    <w:basedOn w:val="Normal"/>
    <w:next w:val="Normal"/>
    <w:rsid w:val="0060180A"/>
    <w:rPr>
      <w:b/>
      <w:sz w:val="32"/>
      <w:szCs w:val="32"/>
    </w:rPr>
  </w:style>
  <w:style w:type="paragraph" w:customStyle="1" w:styleId="Contact">
    <w:name w:val="Contact"/>
    <w:next w:val="Normal"/>
    <w:qFormat/>
    <w:rsid w:val="00D574E1"/>
    <w:rPr>
      <w:rFonts w:cs="Arial"/>
    </w:rPr>
  </w:style>
  <w:style w:type="paragraph" w:customStyle="1" w:styleId="TableofContents">
    <w:name w:val="Table of Contents"/>
    <w:qFormat/>
    <w:rsid w:val="00166AE8"/>
    <w:pPr>
      <w:spacing w:after="240"/>
    </w:pPr>
    <w:rPr>
      <w:rFonts w:cs="Arial"/>
      <w:b/>
      <w:sz w:val="32"/>
      <w:szCs w:val="32"/>
    </w:rPr>
  </w:style>
  <w:style w:type="paragraph" w:styleId="ListParagraph">
    <w:name w:val="List Paragraph"/>
    <w:basedOn w:val="Normal"/>
    <w:uiPriority w:val="34"/>
    <w:qFormat/>
    <w:rsid w:val="00FC130F"/>
    <w:pPr>
      <w:numPr>
        <w:numId w:val="3"/>
      </w:numPr>
      <w:tabs>
        <w:tab w:val="left" w:pos="567"/>
      </w:tabs>
      <w:contextualSpacing/>
    </w:pPr>
  </w:style>
  <w:style w:type="numbering" w:customStyle="1" w:styleId="Numberedlist">
    <w:name w:val="Numbered list"/>
    <w:basedOn w:val="NoList"/>
    <w:rsid w:val="00FC130F"/>
    <w:pPr>
      <w:numPr>
        <w:numId w:val="4"/>
      </w:numPr>
    </w:pPr>
  </w:style>
  <w:style w:type="paragraph" w:customStyle="1" w:styleId="Figure">
    <w:name w:val="Figure"/>
    <w:basedOn w:val="Normal"/>
    <w:next w:val="Caption"/>
    <w:rsid w:val="00166620"/>
    <w:pPr>
      <w:spacing w:after="0"/>
    </w:pPr>
    <w:rPr>
      <w:noProof/>
    </w:rPr>
  </w:style>
  <w:style w:type="paragraph" w:styleId="ListBullet">
    <w:name w:val="List Bullet"/>
    <w:basedOn w:val="Normal"/>
    <w:uiPriority w:val="99"/>
    <w:unhideWhenUsed/>
    <w:rsid w:val="00D22518"/>
    <w:pPr>
      <w:numPr>
        <w:numId w:val="2"/>
      </w:numPr>
      <w:contextualSpacing/>
    </w:pPr>
  </w:style>
  <w:style w:type="paragraph" w:customStyle="1" w:styleId="Appendices">
    <w:name w:val="Appendices"/>
    <w:basedOn w:val="Heading1"/>
    <w:next w:val="Normal"/>
    <w:link w:val="AppendicesChar"/>
    <w:qFormat/>
    <w:rsid w:val="009C1ADF"/>
    <w:pPr>
      <w:numPr>
        <w:numId w:val="5"/>
      </w:numPr>
      <w:ind w:left="567" w:hanging="567"/>
    </w:pPr>
    <w:rPr>
      <w:bCs w:val="0"/>
      <w:iCs/>
    </w:rPr>
  </w:style>
  <w:style w:type="paragraph" w:customStyle="1" w:styleId="Appendices2">
    <w:name w:val="Appendices 2"/>
    <w:basedOn w:val="Heading2"/>
    <w:next w:val="Normal"/>
    <w:rsid w:val="00D871BA"/>
  </w:style>
  <w:style w:type="character" w:customStyle="1" w:styleId="AppendicesChar">
    <w:name w:val="Appendices Char"/>
    <w:link w:val="Appendices"/>
    <w:rsid w:val="009C1ADF"/>
    <w:rPr>
      <w:rFonts w:eastAsia="Times New Roman"/>
      <w:b/>
      <w:iCs/>
      <w:kern w:val="32"/>
      <w:sz w:val="32"/>
      <w:szCs w:val="32"/>
      <w:lang w:val="x-none" w:eastAsia="x-none"/>
    </w:rPr>
  </w:style>
  <w:style w:type="character" w:customStyle="1" w:styleId="CaptionChar1">
    <w:name w:val="Caption Char1"/>
    <w:locked/>
    <w:rsid w:val="000E3E33"/>
    <w:rPr>
      <w:rFonts w:ascii="Trebuchet MS" w:hAnsi="Trebuchet MS"/>
      <w:b/>
      <w:sz w:val="18"/>
      <w:lang w:val="en-AU" w:eastAsia="en-US"/>
    </w:rPr>
  </w:style>
  <w:style w:type="paragraph" w:styleId="CommentText">
    <w:name w:val="annotation text"/>
    <w:basedOn w:val="Normal"/>
    <w:link w:val="CommentTextChar"/>
    <w:uiPriority w:val="99"/>
    <w:semiHidden/>
    <w:unhideWhenUsed/>
    <w:rsid w:val="001F7C61"/>
    <w:rPr>
      <w:rFonts w:cs="Times New Roman"/>
      <w:lang w:val="x-none" w:eastAsia="x-none"/>
    </w:rPr>
  </w:style>
  <w:style w:type="character" w:customStyle="1" w:styleId="CommentTextChar">
    <w:name w:val="Comment Text Char"/>
    <w:link w:val="CommentText"/>
    <w:uiPriority w:val="99"/>
    <w:semiHidden/>
    <w:rsid w:val="001F7C61"/>
    <w:rPr>
      <w:rFonts w:cs="Arial"/>
    </w:rPr>
  </w:style>
  <w:style w:type="paragraph" w:styleId="CommentSubject">
    <w:name w:val="annotation subject"/>
    <w:basedOn w:val="CommentText"/>
    <w:next w:val="CommentText"/>
    <w:link w:val="CommentSubjectChar"/>
    <w:uiPriority w:val="99"/>
    <w:semiHidden/>
    <w:unhideWhenUsed/>
    <w:rsid w:val="001F7C61"/>
    <w:rPr>
      <w:b/>
      <w:bCs/>
    </w:rPr>
  </w:style>
  <w:style w:type="character" w:customStyle="1" w:styleId="CommentSubjectChar">
    <w:name w:val="Comment Subject Char"/>
    <w:link w:val="CommentSubject"/>
    <w:uiPriority w:val="99"/>
    <w:semiHidden/>
    <w:rsid w:val="001F7C61"/>
    <w:rPr>
      <w:rFonts w:cs="Arial"/>
      <w:b/>
      <w:bCs/>
    </w:rPr>
  </w:style>
  <w:style w:type="paragraph" w:styleId="NoSpacing">
    <w:name w:val="No Spacing"/>
    <w:uiPriority w:val="1"/>
    <w:qFormat/>
    <w:rsid w:val="00B30FB4"/>
    <w:rPr>
      <w:rFonts w:ascii="Calibri" w:eastAsia="Times New Roman" w:hAnsi="Calibri"/>
      <w:sz w:val="22"/>
      <w:szCs w:val="22"/>
    </w:rPr>
  </w:style>
  <w:style w:type="table" w:customStyle="1" w:styleId="Style1">
    <w:name w:val="Style1"/>
    <w:basedOn w:val="TableNormal"/>
    <w:uiPriority w:val="99"/>
    <w:rsid w:val="00A27DD8"/>
    <w:pPr>
      <w:contextualSpacing/>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rPr>
        <w:tblHeader/>
      </w:trPr>
      <w:tcPr>
        <w:shd w:val="clear" w:color="auto" w:fill="BFBFBF"/>
      </w:tcPr>
    </w:tblStylePr>
  </w:style>
  <w:style w:type="character" w:styleId="PlaceholderText">
    <w:name w:val="Placeholder Text"/>
    <w:uiPriority w:val="99"/>
    <w:semiHidden/>
    <w:rsid w:val="003B208B"/>
    <w:rPr>
      <w:color w:val="808080"/>
    </w:rPr>
  </w:style>
  <w:style w:type="paragraph" w:styleId="BodyText">
    <w:name w:val="Body Text"/>
    <w:basedOn w:val="Normal"/>
    <w:link w:val="BodyTextChar"/>
    <w:rsid w:val="00BC452D"/>
    <w:pPr>
      <w:widowControl/>
    </w:pPr>
    <w:rPr>
      <w:rFonts w:eastAsia="SimSun" w:cs="Times New Roman"/>
      <w:bCs/>
      <w:szCs w:val="24"/>
      <w:lang w:val="x-none" w:eastAsia="zh-CN"/>
    </w:rPr>
  </w:style>
  <w:style w:type="character" w:customStyle="1" w:styleId="BodyTextChar">
    <w:name w:val="Body Text Char"/>
    <w:link w:val="BodyText"/>
    <w:rsid w:val="00BC452D"/>
    <w:rPr>
      <w:rFonts w:eastAsia="SimSun"/>
      <w:bCs/>
      <w:szCs w:val="24"/>
      <w:lang w:eastAsia="zh-CN"/>
    </w:rPr>
  </w:style>
  <w:style w:type="paragraph" w:customStyle="1" w:styleId="PTNormalResponse">
    <w:name w:val="PT Normal Response"/>
    <w:basedOn w:val="Normal"/>
    <w:rsid w:val="004039D8"/>
    <w:pPr>
      <w:widowControl/>
      <w:spacing w:before="120" w:after="60"/>
      <w:jc w:val="left"/>
    </w:pPr>
    <w:rPr>
      <w:rFonts w:eastAsia="Times New Roman" w:cs="Times New Roman"/>
      <w:lang w:eastAsia="en-US"/>
    </w:rPr>
  </w:style>
  <w:style w:type="paragraph" w:customStyle="1" w:styleId="TableText">
    <w:name w:val="Table Text"/>
    <w:basedOn w:val="Normal"/>
    <w:link w:val="TableTextChar"/>
    <w:qFormat/>
    <w:rsid w:val="00F50661"/>
    <w:pPr>
      <w:keepNext/>
      <w:keepLines/>
      <w:widowControl/>
      <w:spacing w:after="0"/>
      <w:jc w:val="left"/>
    </w:pPr>
    <w:rPr>
      <w:rFonts w:ascii="Times New Roman" w:eastAsia="Times New Roman" w:hAnsi="Times New Roman" w:cs="Times New Roman"/>
      <w:color w:val="000000"/>
      <w:sz w:val="22"/>
      <w:lang w:val="x-none" w:eastAsia="en-US"/>
    </w:rPr>
  </w:style>
  <w:style w:type="paragraph" w:styleId="EndnoteText">
    <w:name w:val="endnote text"/>
    <w:basedOn w:val="Normal"/>
    <w:link w:val="EndnoteTextChar"/>
    <w:uiPriority w:val="99"/>
    <w:semiHidden/>
    <w:unhideWhenUsed/>
    <w:rsid w:val="003465C4"/>
    <w:rPr>
      <w:rFonts w:cs="Times New Roman"/>
      <w:lang w:val="x-none" w:eastAsia="x-none"/>
    </w:rPr>
  </w:style>
  <w:style w:type="character" w:customStyle="1" w:styleId="EndnoteTextChar">
    <w:name w:val="Endnote Text Char"/>
    <w:link w:val="EndnoteText"/>
    <w:uiPriority w:val="99"/>
    <w:semiHidden/>
    <w:rsid w:val="003465C4"/>
    <w:rPr>
      <w:rFonts w:cs="Arial"/>
    </w:rPr>
  </w:style>
  <w:style w:type="character" w:styleId="EndnoteReference">
    <w:name w:val="endnote reference"/>
    <w:uiPriority w:val="99"/>
    <w:semiHidden/>
    <w:unhideWhenUsed/>
    <w:rsid w:val="003465C4"/>
    <w:rPr>
      <w:vertAlign w:val="superscript"/>
    </w:rPr>
  </w:style>
  <w:style w:type="paragraph" w:customStyle="1" w:styleId="CM50">
    <w:name w:val="CM50"/>
    <w:basedOn w:val="Normal"/>
    <w:next w:val="Normal"/>
    <w:uiPriority w:val="99"/>
    <w:rsid w:val="00AD5B76"/>
    <w:pPr>
      <w:widowControl/>
      <w:autoSpaceDE w:val="0"/>
      <w:autoSpaceDN w:val="0"/>
      <w:adjustRightInd w:val="0"/>
      <w:spacing w:after="0"/>
      <w:jc w:val="left"/>
    </w:pPr>
    <w:rPr>
      <w:sz w:val="24"/>
      <w:szCs w:val="24"/>
    </w:rPr>
  </w:style>
  <w:style w:type="table" w:styleId="TableGrid">
    <w:name w:val="Table Grid"/>
    <w:basedOn w:val="TableNormal"/>
    <w:uiPriority w:val="59"/>
    <w:rsid w:val="00DE4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C3163"/>
    <w:rPr>
      <w:color w:val="800080"/>
      <w:u w:val="single"/>
    </w:rPr>
  </w:style>
  <w:style w:type="character" w:customStyle="1" w:styleId="TableTextChar">
    <w:name w:val="Table Text Char"/>
    <w:link w:val="TableText"/>
    <w:rsid w:val="007B064B"/>
    <w:rPr>
      <w:rFonts w:ascii="Times New Roman" w:eastAsia="Times New Roman" w:hAnsi="Times New Roman"/>
      <w:color w:val="000000"/>
      <w:sz w:val="22"/>
      <w:lang w:eastAsia="en-US"/>
    </w:rPr>
  </w:style>
  <w:style w:type="paragraph" w:styleId="TOC4">
    <w:name w:val="toc 4"/>
    <w:basedOn w:val="Normal"/>
    <w:next w:val="Normal"/>
    <w:autoRedefine/>
    <w:uiPriority w:val="39"/>
    <w:unhideWhenUsed/>
    <w:rsid w:val="00947CEE"/>
    <w:pPr>
      <w:widowControl/>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47CEE"/>
    <w:pPr>
      <w:widowControl/>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47CEE"/>
    <w:pPr>
      <w:widowControl/>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47CEE"/>
    <w:pPr>
      <w:widowControl/>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47CEE"/>
    <w:pPr>
      <w:widowControl/>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47CEE"/>
    <w:pPr>
      <w:widowControl/>
      <w:spacing w:after="100" w:line="276" w:lineRule="auto"/>
      <w:ind w:left="1760"/>
      <w:jc w:val="left"/>
    </w:pPr>
    <w:rPr>
      <w:rFonts w:asciiTheme="minorHAnsi" w:eastAsiaTheme="minorEastAsia" w:hAnsiTheme="minorHAnsi" w:cstheme="minorBidi"/>
      <w:sz w:val="22"/>
      <w:szCs w:val="22"/>
    </w:rPr>
  </w:style>
  <w:style w:type="character" w:customStyle="1" w:styleId="Style10pt">
    <w:name w:val="Style 10 pt"/>
    <w:rsid w:val="008A4D0C"/>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5A5C"/>
    <w:pPr>
      <w:widowControl w:val="0"/>
      <w:spacing w:after="240"/>
      <w:jc w:val="both"/>
    </w:pPr>
    <w:rPr>
      <w:rFonts w:cs="Arial"/>
    </w:rPr>
  </w:style>
  <w:style w:type="paragraph" w:styleId="Heading1">
    <w:name w:val="heading 1"/>
    <w:basedOn w:val="Normal"/>
    <w:next w:val="Normal"/>
    <w:link w:val="Heading1Char"/>
    <w:uiPriority w:val="9"/>
    <w:qFormat/>
    <w:rsid w:val="006740BE"/>
    <w:pPr>
      <w:keepNext/>
      <w:pageBreakBefore/>
      <w:numPr>
        <w:numId w:val="1"/>
      </w:numPr>
      <w:tabs>
        <w:tab w:val="left" w:pos="567"/>
      </w:tabs>
      <w:outlineLvl w:val="0"/>
    </w:pPr>
    <w:rPr>
      <w:rFonts w:eastAsia="Times New Roman" w:cs="Times New Roman"/>
      <w:b/>
      <w:bCs/>
      <w:kern w:val="32"/>
      <w:sz w:val="32"/>
      <w:szCs w:val="32"/>
      <w:lang w:val="x-none" w:eastAsia="x-none"/>
    </w:rPr>
  </w:style>
  <w:style w:type="paragraph" w:styleId="Heading2">
    <w:name w:val="heading 2"/>
    <w:basedOn w:val="Heading1"/>
    <w:next w:val="Normal"/>
    <w:link w:val="Heading2Char"/>
    <w:uiPriority w:val="9"/>
    <w:unhideWhenUsed/>
    <w:qFormat/>
    <w:rsid w:val="00C9511E"/>
    <w:pPr>
      <w:keepNext w:val="0"/>
      <w:pageBreakBefore w:val="0"/>
      <w:numPr>
        <w:ilvl w:val="1"/>
      </w:numPr>
      <w:tabs>
        <w:tab w:val="clear" w:pos="567"/>
        <w:tab w:val="left" w:pos="709"/>
      </w:tabs>
      <w:outlineLvl w:val="1"/>
    </w:pPr>
    <w:rPr>
      <w:bCs w:val="0"/>
      <w:iCs/>
      <w:sz w:val="28"/>
      <w:szCs w:val="28"/>
    </w:rPr>
  </w:style>
  <w:style w:type="paragraph" w:styleId="Heading3">
    <w:name w:val="heading 3"/>
    <w:basedOn w:val="Normal"/>
    <w:next w:val="Normal"/>
    <w:link w:val="Heading3Char"/>
    <w:uiPriority w:val="9"/>
    <w:unhideWhenUsed/>
    <w:qFormat/>
    <w:rsid w:val="00C9511E"/>
    <w:pPr>
      <w:keepNext/>
      <w:numPr>
        <w:ilvl w:val="2"/>
        <w:numId w:val="1"/>
      </w:numPr>
      <w:tabs>
        <w:tab w:val="left" w:pos="851"/>
      </w:tabs>
      <w:outlineLvl w:val="2"/>
    </w:pPr>
    <w:rPr>
      <w:rFonts w:eastAsia="Times New Roman" w:cs="Times New Roman"/>
      <w:b/>
      <w:bCs/>
      <w:sz w:val="26"/>
      <w:szCs w:val="26"/>
      <w:lang w:val="x-none" w:eastAsia="x-none"/>
    </w:rPr>
  </w:style>
  <w:style w:type="paragraph" w:styleId="Heading4">
    <w:name w:val="heading 4"/>
    <w:basedOn w:val="Normal"/>
    <w:next w:val="Normal"/>
    <w:link w:val="Heading4Char"/>
    <w:uiPriority w:val="9"/>
    <w:unhideWhenUsed/>
    <w:qFormat/>
    <w:rsid w:val="00C9511E"/>
    <w:pPr>
      <w:keepNext/>
      <w:numPr>
        <w:ilvl w:val="3"/>
        <w:numId w:val="1"/>
      </w:numPr>
      <w:tabs>
        <w:tab w:val="left" w:pos="993"/>
      </w:tabs>
      <w:outlineLvl w:val="3"/>
    </w:pPr>
    <w:rPr>
      <w:rFonts w:eastAsia="Times New Roman" w:cs="Times New Roman"/>
      <w:b/>
      <w:bCs/>
      <w:sz w:val="24"/>
      <w:lang w:val="x-none" w:eastAsia="x-none"/>
    </w:rPr>
  </w:style>
  <w:style w:type="paragraph" w:styleId="Heading5">
    <w:name w:val="heading 5"/>
    <w:basedOn w:val="Normal"/>
    <w:next w:val="Normal"/>
    <w:link w:val="Heading5Char"/>
    <w:uiPriority w:val="9"/>
    <w:unhideWhenUsed/>
    <w:qFormat/>
    <w:rsid w:val="00C9511E"/>
    <w:pPr>
      <w:numPr>
        <w:ilvl w:val="4"/>
        <w:numId w:val="1"/>
      </w:numPr>
      <w:tabs>
        <w:tab w:val="left" w:pos="1134"/>
      </w:tabs>
      <w:outlineLvl w:val="4"/>
    </w:pPr>
    <w:rPr>
      <w:rFonts w:eastAsia="Times New Roman" w:cs="Times New Roman"/>
      <w:b/>
      <w:bCs/>
      <w:iCs/>
      <w:sz w:val="22"/>
      <w:lang w:val="x-none" w:eastAsia="x-none"/>
    </w:rPr>
  </w:style>
  <w:style w:type="paragraph" w:styleId="Heading6">
    <w:name w:val="heading 6"/>
    <w:basedOn w:val="Normal"/>
    <w:next w:val="Normal"/>
    <w:link w:val="Heading6Char"/>
    <w:uiPriority w:val="9"/>
    <w:semiHidden/>
    <w:unhideWhenUsed/>
    <w:qFormat/>
    <w:rsid w:val="007C18C2"/>
    <w:pPr>
      <w:numPr>
        <w:ilvl w:val="5"/>
        <w:numId w:val="1"/>
      </w:numPr>
      <w:spacing w:before="240" w:after="60"/>
      <w:outlineLvl w:val="5"/>
    </w:pPr>
    <w:rPr>
      <w:rFonts w:eastAsia="Times New Roman" w:cs="Times New Roman"/>
      <w:b/>
      <w:bCs/>
      <w:lang w:val="x-none" w:eastAsia="x-none"/>
    </w:rPr>
  </w:style>
  <w:style w:type="paragraph" w:styleId="Heading7">
    <w:name w:val="heading 7"/>
    <w:basedOn w:val="Normal"/>
    <w:next w:val="Normal"/>
    <w:link w:val="Heading7Char"/>
    <w:uiPriority w:val="9"/>
    <w:semiHidden/>
    <w:unhideWhenUsed/>
    <w:qFormat/>
    <w:rsid w:val="007C18C2"/>
    <w:pPr>
      <w:numPr>
        <w:ilvl w:val="6"/>
        <w:numId w:val="1"/>
      </w:numPr>
      <w:spacing w:before="240" w:after="60"/>
      <w:outlineLvl w:val="6"/>
    </w:pPr>
    <w:rPr>
      <w:rFonts w:eastAsia="Times New Roman" w:cs="Times New Roman"/>
      <w:sz w:val="24"/>
      <w:lang w:val="x-none" w:eastAsia="x-none"/>
    </w:rPr>
  </w:style>
  <w:style w:type="paragraph" w:styleId="Heading8">
    <w:name w:val="heading 8"/>
    <w:basedOn w:val="Normal"/>
    <w:next w:val="Normal"/>
    <w:link w:val="Heading8Char"/>
    <w:uiPriority w:val="9"/>
    <w:semiHidden/>
    <w:unhideWhenUsed/>
    <w:qFormat/>
    <w:rsid w:val="007C18C2"/>
    <w:pPr>
      <w:numPr>
        <w:ilvl w:val="7"/>
        <w:numId w:val="1"/>
      </w:numPr>
      <w:spacing w:before="240" w:after="60"/>
      <w:outlineLvl w:val="7"/>
    </w:pPr>
    <w:rPr>
      <w:rFonts w:eastAsia="Times New Roman" w:cs="Times New Roman"/>
      <w:i/>
      <w:iCs/>
      <w:sz w:val="24"/>
      <w:lang w:val="x-none" w:eastAsia="x-none"/>
    </w:rPr>
  </w:style>
  <w:style w:type="paragraph" w:styleId="Heading9">
    <w:name w:val="heading 9"/>
    <w:basedOn w:val="Normal"/>
    <w:next w:val="Normal"/>
    <w:link w:val="Heading9Char"/>
    <w:uiPriority w:val="9"/>
    <w:semiHidden/>
    <w:unhideWhenUsed/>
    <w:qFormat/>
    <w:rsid w:val="007C18C2"/>
    <w:pPr>
      <w:numPr>
        <w:ilvl w:val="8"/>
        <w:numId w:val="1"/>
      </w:numPr>
      <w:spacing w:before="240" w:after="60"/>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A4B"/>
    <w:pPr>
      <w:tabs>
        <w:tab w:val="center" w:pos="4513"/>
        <w:tab w:val="right" w:pos="9026"/>
      </w:tabs>
    </w:pPr>
    <w:rPr>
      <w:rFonts w:cs="Times New Roman"/>
      <w:sz w:val="22"/>
      <w:szCs w:val="22"/>
      <w:lang w:val="x-none" w:eastAsia="en-US"/>
    </w:rPr>
  </w:style>
  <w:style w:type="character" w:customStyle="1" w:styleId="HeaderChar">
    <w:name w:val="Header Char"/>
    <w:link w:val="Header"/>
    <w:uiPriority w:val="99"/>
    <w:rsid w:val="00F13A4B"/>
    <w:rPr>
      <w:sz w:val="22"/>
      <w:szCs w:val="22"/>
      <w:lang w:eastAsia="en-US"/>
    </w:rPr>
  </w:style>
  <w:style w:type="paragraph" w:styleId="Footer">
    <w:name w:val="footer"/>
    <w:basedOn w:val="Normal"/>
    <w:link w:val="FooterChar"/>
    <w:uiPriority w:val="99"/>
    <w:unhideWhenUsed/>
    <w:rsid w:val="00F13A4B"/>
    <w:pPr>
      <w:tabs>
        <w:tab w:val="center" w:pos="4513"/>
        <w:tab w:val="right" w:pos="9026"/>
      </w:tabs>
    </w:pPr>
    <w:rPr>
      <w:rFonts w:cs="Times New Roman"/>
      <w:sz w:val="22"/>
      <w:szCs w:val="22"/>
      <w:lang w:val="x-none" w:eastAsia="en-US"/>
    </w:rPr>
  </w:style>
  <w:style w:type="character" w:customStyle="1" w:styleId="FooterChar">
    <w:name w:val="Footer Char"/>
    <w:link w:val="Footer"/>
    <w:uiPriority w:val="99"/>
    <w:rsid w:val="00F13A4B"/>
    <w:rPr>
      <w:sz w:val="22"/>
      <w:szCs w:val="22"/>
      <w:lang w:eastAsia="en-US"/>
    </w:rPr>
  </w:style>
  <w:style w:type="paragraph" w:styleId="BalloonText">
    <w:name w:val="Balloon Text"/>
    <w:basedOn w:val="Normal"/>
    <w:link w:val="BalloonTextChar"/>
    <w:uiPriority w:val="99"/>
    <w:semiHidden/>
    <w:unhideWhenUsed/>
    <w:rsid w:val="00F13A4B"/>
    <w:pPr>
      <w:spacing w:after="0"/>
    </w:pPr>
    <w:rPr>
      <w:rFonts w:ascii="Tahoma" w:hAnsi="Tahoma" w:cs="Times New Roman"/>
      <w:sz w:val="16"/>
      <w:szCs w:val="16"/>
      <w:lang w:val="x-none" w:eastAsia="en-US"/>
    </w:rPr>
  </w:style>
  <w:style w:type="character" w:customStyle="1" w:styleId="BalloonTextChar">
    <w:name w:val="Balloon Text Char"/>
    <w:link w:val="BalloonText"/>
    <w:uiPriority w:val="99"/>
    <w:semiHidden/>
    <w:rsid w:val="00F13A4B"/>
    <w:rPr>
      <w:rFonts w:ascii="Tahoma" w:hAnsi="Tahoma" w:cs="Tahoma"/>
      <w:sz w:val="16"/>
      <w:szCs w:val="16"/>
      <w:lang w:eastAsia="en-US"/>
    </w:rPr>
  </w:style>
  <w:style w:type="paragraph" w:styleId="TOC1">
    <w:name w:val="toc 1"/>
    <w:basedOn w:val="Normal"/>
    <w:next w:val="Normal"/>
    <w:autoRedefine/>
    <w:uiPriority w:val="39"/>
    <w:unhideWhenUsed/>
    <w:qFormat/>
    <w:rsid w:val="00B142A8"/>
    <w:pPr>
      <w:tabs>
        <w:tab w:val="left" w:pos="426"/>
        <w:tab w:val="right" w:leader="dot" w:pos="8789"/>
      </w:tabs>
      <w:spacing w:after="0"/>
    </w:pPr>
  </w:style>
  <w:style w:type="paragraph" w:styleId="TOC2">
    <w:name w:val="toc 2"/>
    <w:basedOn w:val="Normal"/>
    <w:next w:val="Normal"/>
    <w:autoRedefine/>
    <w:uiPriority w:val="39"/>
    <w:unhideWhenUsed/>
    <w:qFormat/>
    <w:rsid w:val="00B142A8"/>
    <w:pPr>
      <w:tabs>
        <w:tab w:val="left" w:pos="880"/>
        <w:tab w:val="right" w:leader="dot" w:pos="8789"/>
      </w:tabs>
      <w:spacing w:after="0"/>
      <w:ind w:left="200"/>
    </w:pPr>
  </w:style>
  <w:style w:type="paragraph" w:styleId="TOC3">
    <w:name w:val="toc 3"/>
    <w:basedOn w:val="Normal"/>
    <w:next w:val="Normal"/>
    <w:autoRedefine/>
    <w:uiPriority w:val="39"/>
    <w:unhideWhenUsed/>
    <w:qFormat/>
    <w:rsid w:val="00B142A8"/>
    <w:pPr>
      <w:tabs>
        <w:tab w:val="left" w:pos="1100"/>
        <w:tab w:val="right" w:leader="dot" w:pos="8789"/>
      </w:tabs>
      <w:spacing w:after="0"/>
      <w:ind w:left="400"/>
    </w:pPr>
  </w:style>
  <w:style w:type="character" w:styleId="Hyperlink">
    <w:name w:val="Hyperlink"/>
    <w:uiPriority w:val="99"/>
    <w:unhideWhenUsed/>
    <w:rsid w:val="007C18C2"/>
    <w:rPr>
      <w:color w:val="0000FF"/>
      <w:u w:val="single"/>
    </w:rPr>
  </w:style>
  <w:style w:type="paragraph" w:styleId="TableofFigures">
    <w:name w:val="table of figures"/>
    <w:basedOn w:val="Normal"/>
    <w:next w:val="Normal"/>
    <w:uiPriority w:val="99"/>
    <w:unhideWhenUsed/>
    <w:rsid w:val="007C18C2"/>
    <w:pPr>
      <w:spacing w:after="0"/>
    </w:pPr>
  </w:style>
  <w:style w:type="character" w:customStyle="1" w:styleId="Heading1Char">
    <w:name w:val="Heading 1 Char"/>
    <w:link w:val="Heading1"/>
    <w:uiPriority w:val="9"/>
    <w:rsid w:val="006740BE"/>
    <w:rPr>
      <w:rFonts w:eastAsia="Times New Roman"/>
      <w:b/>
      <w:bCs/>
      <w:kern w:val="32"/>
      <w:sz w:val="32"/>
      <w:szCs w:val="32"/>
      <w:lang w:val="x-none" w:eastAsia="x-none"/>
    </w:rPr>
  </w:style>
  <w:style w:type="character" w:customStyle="1" w:styleId="Heading2Char">
    <w:name w:val="Heading 2 Char"/>
    <w:link w:val="Heading2"/>
    <w:uiPriority w:val="9"/>
    <w:rsid w:val="00C9511E"/>
    <w:rPr>
      <w:rFonts w:eastAsia="Times New Roman"/>
      <w:b/>
      <w:iCs/>
      <w:kern w:val="32"/>
      <w:sz w:val="28"/>
      <w:szCs w:val="28"/>
      <w:lang w:val="x-none" w:eastAsia="x-none"/>
    </w:rPr>
  </w:style>
  <w:style w:type="character" w:customStyle="1" w:styleId="Heading3Char">
    <w:name w:val="Heading 3 Char"/>
    <w:link w:val="Heading3"/>
    <w:uiPriority w:val="9"/>
    <w:rsid w:val="00C9511E"/>
    <w:rPr>
      <w:rFonts w:eastAsia="Times New Roman"/>
      <w:b/>
      <w:bCs/>
      <w:sz w:val="26"/>
      <w:szCs w:val="26"/>
      <w:lang w:val="x-none" w:eastAsia="x-none"/>
    </w:rPr>
  </w:style>
  <w:style w:type="character" w:customStyle="1" w:styleId="Heading6Char">
    <w:name w:val="Heading 6 Char"/>
    <w:link w:val="Heading6"/>
    <w:uiPriority w:val="9"/>
    <w:semiHidden/>
    <w:rsid w:val="007C18C2"/>
    <w:rPr>
      <w:rFonts w:eastAsia="Times New Roman"/>
      <w:b/>
      <w:bCs/>
      <w:lang w:val="x-none" w:eastAsia="x-none"/>
    </w:rPr>
  </w:style>
  <w:style w:type="character" w:customStyle="1" w:styleId="Heading7Char">
    <w:name w:val="Heading 7 Char"/>
    <w:link w:val="Heading7"/>
    <w:uiPriority w:val="9"/>
    <w:semiHidden/>
    <w:rsid w:val="007C18C2"/>
    <w:rPr>
      <w:rFonts w:eastAsia="Times New Roman"/>
      <w:sz w:val="24"/>
      <w:lang w:val="x-none" w:eastAsia="x-none"/>
    </w:rPr>
  </w:style>
  <w:style w:type="character" w:customStyle="1" w:styleId="Heading8Char">
    <w:name w:val="Heading 8 Char"/>
    <w:link w:val="Heading8"/>
    <w:uiPriority w:val="9"/>
    <w:semiHidden/>
    <w:rsid w:val="007C18C2"/>
    <w:rPr>
      <w:rFonts w:eastAsia="Times New Roman"/>
      <w:i/>
      <w:iCs/>
      <w:sz w:val="24"/>
      <w:lang w:val="x-none" w:eastAsia="x-none"/>
    </w:rPr>
  </w:style>
  <w:style w:type="character" w:customStyle="1" w:styleId="Heading9Char">
    <w:name w:val="Heading 9 Char"/>
    <w:link w:val="Heading9"/>
    <w:uiPriority w:val="9"/>
    <w:semiHidden/>
    <w:rsid w:val="007C18C2"/>
    <w:rPr>
      <w:rFonts w:ascii="Cambria" w:eastAsia="Times New Roman" w:hAnsi="Cambria"/>
      <w:lang w:val="x-none" w:eastAsia="x-none"/>
    </w:rPr>
  </w:style>
  <w:style w:type="paragraph" w:styleId="FootnoteText">
    <w:name w:val="footnote text"/>
    <w:aliases w:val="Fußnote"/>
    <w:basedOn w:val="Normal"/>
    <w:link w:val="FootnoteTextChar"/>
    <w:uiPriority w:val="99"/>
    <w:unhideWhenUsed/>
    <w:rsid w:val="007C18C2"/>
    <w:pPr>
      <w:spacing w:after="0"/>
    </w:pPr>
    <w:rPr>
      <w:rFonts w:cs="Times New Roman"/>
      <w:sz w:val="16"/>
      <w:lang w:val="x-none" w:eastAsia="en-US"/>
    </w:rPr>
  </w:style>
  <w:style w:type="character" w:customStyle="1" w:styleId="FootnoteTextChar">
    <w:name w:val="Footnote Text Char"/>
    <w:aliases w:val="Fußnote Char"/>
    <w:link w:val="FootnoteText"/>
    <w:uiPriority w:val="99"/>
    <w:rsid w:val="007C18C2"/>
    <w:rPr>
      <w:rFonts w:ascii="Arial" w:hAnsi="Arial" w:cs="Arial"/>
      <w:sz w:val="16"/>
      <w:lang w:eastAsia="en-US"/>
    </w:rPr>
  </w:style>
  <w:style w:type="character" w:styleId="FootnoteReference">
    <w:name w:val="footnote reference"/>
    <w:uiPriority w:val="99"/>
    <w:unhideWhenUsed/>
    <w:rsid w:val="007C18C2"/>
    <w:rPr>
      <w:vertAlign w:val="superscript"/>
    </w:rPr>
  </w:style>
  <w:style w:type="character" w:customStyle="1" w:styleId="Heading4Char">
    <w:name w:val="Heading 4 Char"/>
    <w:link w:val="Heading4"/>
    <w:uiPriority w:val="9"/>
    <w:rsid w:val="00C9511E"/>
    <w:rPr>
      <w:rFonts w:eastAsia="Times New Roman"/>
      <w:b/>
      <w:bCs/>
      <w:sz w:val="24"/>
      <w:lang w:val="x-none" w:eastAsia="x-none"/>
    </w:rPr>
  </w:style>
  <w:style w:type="character" w:customStyle="1" w:styleId="Heading5Char">
    <w:name w:val="Heading 5 Char"/>
    <w:link w:val="Heading5"/>
    <w:uiPriority w:val="9"/>
    <w:rsid w:val="00C9511E"/>
    <w:rPr>
      <w:rFonts w:eastAsia="Times New Roman"/>
      <w:b/>
      <w:bCs/>
      <w:iCs/>
      <w:sz w:val="22"/>
      <w:lang w:val="x-none" w:eastAsia="x-none"/>
    </w:rPr>
  </w:style>
  <w:style w:type="paragraph" w:styleId="Caption">
    <w:name w:val="caption"/>
    <w:basedOn w:val="Normal"/>
    <w:next w:val="Normal"/>
    <w:link w:val="CaptionChar"/>
    <w:uiPriority w:val="35"/>
    <w:unhideWhenUsed/>
    <w:qFormat/>
    <w:rsid w:val="00745DA3"/>
    <w:pPr>
      <w:spacing w:before="120" w:after="120"/>
    </w:pPr>
    <w:rPr>
      <w:rFonts w:cs="Times New Roman"/>
      <w:b/>
      <w:bCs/>
      <w:szCs w:val="18"/>
      <w:lang w:val="x-none" w:eastAsia="x-none"/>
    </w:rPr>
  </w:style>
  <w:style w:type="character" w:styleId="CommentReference">
    <w:name w:val="annotation reference"/>
    <w:uiPriority w:val="99"/>
    <w:semiHidden/>
    <w:unhideWhenUsed/>
    <w:rsid w:val="006A779B"/>
  </w:style>
  <w:style w:type="character" w:customStyle="1" w:styleId="CaptionChar">
    <w:name w:val="Caption Char"/>
    <w:link w:val="Caption"/>
    <w:uiPriority w:val="35"/>
    <w:rsid w:val="00745DA3"/>
    <w:rPr>
      <w:rFonts w:cs="Arial"/>
      <w:b/>
      <w:bCs/>
      <w:szCs w:val="18"/>
    </w:rPr>
  </w:style>
  <w:style w:type="paragraph" w:customStyle="1" w:styleId="ProjectTitle">
    <w:name w:val="Project Title"/>
    <w:qFormat/>
    <w:rsid w:val="00337BD6"/>
    <w:pPr>
      <w:spacing w:before="240" w:after="240" w:line="360" w:lineRule="auto"/>
    </w:pPr>
    <w:rPr>
      <w:rFonts w:cs="Arial"/>
      <w:b/>
      <w:sz w:val="32"/>
      <w:szCs w:val="32"/>
    </w:rPr>
  </w:style>
  <w:style w:type="paragraph" w:customStyle="1" w:styleId="CfDFooter">
    <w:name w:val="CfDFooter"/>
    <w:basedOn w:val="Footer"/>
    <w:rsid w:val="00D5076F"/>
    <w:pPr>
      <w:spacing w:after="0"/>
      <w:jc w:val="center"/>
    </w:pPr>
    <w:rPr>
      <w:noProof/>
      <w:szCs w:val="24"/>
    </w:rPr>
  </w:style>
  <w:style w:type="paragraph" w:customStyle="1" w:styleId="Equationcaption">
    <w:name w:val="Equationcaption"/>
    <w:next w:val="Normal"/>
    <w:rsid w:val="00D574E1"/>
    <w:pPr>
      <w:tabs>
        <w:tab w:val="right" w:pos="9072"/>
      </w:tabs>
    </w:pPr>
    <w:rPr>
      <w:rFonts w:cs="Arial"/>
      <w:b/>
      <w:bCs/>
      <w:szCs w:val="18"/>
    </w:rPr>
  </w:style>
  <w:style w:type="paragraph" w:customStyle="1" w:styleId="Table">
    <w:name w:val="Table"/>
    <w:basedOn w:val="Normal"/>
    <w:qFormat/>
    <w:rsid w:val="00B73D8A"/>
    <w:pPr>
      <w:spacing w:after="0"/>
      <w:jc w:val="left"/>
    </w:pPr>
    <w:rPr>
      <w:lang w:val="en-US"/>
    </w:rPr>
  </w:style>
  <w:style w:type="paragraph" w:customStyle="1" w:styleId="Abstract">
    <w:name w:val="Abstract"/>
    <w:basedOn w:val="Normal"/>
    <w:next w:val="Normal"/>
    <w:rsid w:val="0060180A"/>
    <w:rPr>
      <w:b/>
      <w:sz w:val="32"/>
      <w:szCs w:val="32"/>
    </w:rPr>
  </w:style>
  <w:style w:type="paragraph" w:customStyle="1" w:styleId="Contact">
    <w:name w:val="Contact"/>
    <w:next w:val="Normal"/>
    <w:qFormat/>
    <w:rsid w:val="00D574E1"/>
    <w:rPr>
      <w:rFonts w:cs="Arial"/>
    </w:rPr>
  </w:style>
  <w:style w:type="paragraph" w:customStyle="1" w:styleId="TableofContents">
    <w:name w:val="Table of Contents"/>
    <w:qFormat/>
    <w:rsid w:val="00166AE8"/>
    <w:pPr>
      <w:spacing w:after="240"/>
    </w:pPr>
    <w:rPr>
      <w:rFonts w:cs="Arial"/>
      <w:b/>
      <w:sz w:val="32"/>
      <w:szCs w:val="32"/>
    </w:rPr>
  </w:style>
  <w:style w:type="paragraph" w:styleId="ListParagraph">
    <w:name w:val="List Paragraph"/>
    <w:basedOn w:val="Normal"/>
    <w:uiPriority w:val="34"/>
    <w:qFormat/>
    <w:rsid w:val="00FC130F"/>
    <w:pPr>
      <w:numPr>
        <w:numId w:val="3"/>
      </w:numPr>
      <w:tabs>
        <w:tab w:val="left" w:pos="567"/>
      </w:tabs>
      <w:contextualSpacing/>
    </w:pPr>
  </w:style>
  <w:style w:type="numbering" w:customStyle="1" w:styleId="Numberedlist">
    <w:name w:val="Numbered list"/>
    <w:basedOn w:val="NoList"/>
    <w:rsid w:val="00FC130F"/>
    <w:pPr>
      <w:numPr>
        <w:numId w:val="4"/>
      </w:numPr>
    </w:pPr>
  </w:style>
  <w:style w:type="paragraph" w:customStyle="1" w:styleId="Figure">
    <w:name w:val="Figure"/>
    <w:basedOn w:val="Normal"/>
    <w:next w:val="Caption"/>
    <w:rsid w:val="00166620"/>
    <w:pPr>
      <w:spacing w:after="0"/>
    </w:pPr>
    <w:rPr>
      <w:noProof/>
    </w:rPr>
  </w:style>
  <w:style w:type="paragraph" w:styleId="ListBullet">
    <w:name w:val="List Bullet"/>
    <w:basedOn w:val="Normal"/>
    <w:uiPriority w:val="99"/>
    <w:unhideWhenUsed/>
    <w:rsid w:val="00D22518"/>
    <w:pPr>
      <w:numPr>
        <w:numId w:val="2"/>
      </w:numPr>
      <w:contextualSpacing/>
    </w:pPr>
  </w:style>
  <w:style w:type="paragraph" w:customStyle="1" w:styleId="Appendices">
    <w:name w:val="Appendices"/>
    <w:basedOn w:val="Heading1"/>
    <w:next w:val="Normal"/>
    <w:link w:val="AppendicesChar"/>
    <w:qFormat/>
    <w:rsid w:val="009C1ADF"/>
    <w:pPr>
      <w:numPr>
        <w:numId w:val="5"/>
      </w:numPr>
      <w:ind w:left="567" w:hanging="567"/>
    </w:pPr>
    <w:rPr>
      <w:bCs w:val="0"/>
      <w:iCs/>
    </w:rPr>
  </w:style>
  <w:style w:type="paragraph" w:customStyle="1" w:styleId="Appendices2">
    <w:name w:val="Appendices 2"/>
    <w:basedOn w:val="Heading2"/>
    <w:next w:val="Normal"/>
    <w:rsid w:val="00D871BA"/>
  </w:style>
  <w:style w:type="character" w:customStyle="1" w:styleId="AppendicesChar">
    <w:name w:val="Appendices Char"/>
    <w:link w:val="Appendices"/>
    <w:rsid w:val="009C1ADF"/>
    <w:rPr>
      <w:rFonts w:eastAsia="Times New Roman"/>
      <w:b/>
      <w:iCs/>
      <w:kern w:val="32"/>
      <w:sz w:val="32"/>
      <w:szCs w:val="32"/>
      <w:lang w:val="x-none" w:eastAsia="x-none"/>
    </w:rPr>
  </w:style>
  <w:style w:type="character" w:customStyle="1" w:styleId="CaptionChar1">
    <w:name w:val="Caption Char1"/>
    <w:locked/>
    <w:rsid w:val="000E3E33"/>
    <w:rPr>
      <w:rFonts w:ascii="Trebuchet MS" w:hAnsi="Trebuchet MS"/>
      <w:b/>
      <w:sz w:val="18"/>
      <w:lang w:val="en-AU" w:eastAsia="en-US"/>
    </w:rPr>
  </w:style>
  <w:style w:type="paragraph" w:styleId="CommentText">
    <w:name w:val="annotation text"/>
    <w:basedOn w:val="Normal"/>
    <w:link w:val="CommentTextChar"/>
    <w:uiPriority w:val="99"/>
    <w:semiHidden/>
    <w:unhideWhenUsed/>
    <w:rsid w:val="001F7C61"/>
    <w:rPr>
      <w:rFonts w:cs="Times New Roman"/>
      <w:lang w:val="x-none" w:eastAsia="x-none"/>
    </w:rPr>
  </w:style>
  <w:style w:type="character" w:customStyle="1" w:styleId="CommentTextChar">
    <w:name w:val="Comment Text Char"/>
    <w:link w:val="CommentText"/>
    <w:uiPriority w:val="99"/>
    <w:semiHidden/>
    <w:rsid w:val="001F7C61"/>
    <w:rPr>
      <w:rFonts w:cs="Arial"/>
    </w:rPr>
  </w:style>
  <w:style w:type="paragraph" w:styleId="CommentSubject">
    <w:name w:val="annotation subject"/>
    <w:basedOn w:val="CommentText"/>
    <w:next w:val="CommentText"/>
    <w:link w:val="CommentSubjectChar"/>
    <w:uiPriority w:val="99"/>
    <w:semiHidden/>
    <w:unhideWhenUsed/>
    <w:rsid w:val="001F7C61"/>
    <w:rPr>
      <w:b/>
      <w:bCs/>
    </w:rPr>
  </w:style>
  <w:style w:type="character" w:customStyle="1" w:styleId="CommentSubjectChar">
    <w:name w:val="Comment Subject Char"/>
    <w:link w:val="CommentSubject"/>
    <w:uiPriority w:val="99"/>
    <w:semiHidden/>
    <w:rsid w:val="001F7C61"/>
    <w:rPr>
      <w:rFonts w:cs="Arial"/>
      <w:b/>
      <w:bCs/>
    </w:rPr>
  </w:style>
  <w:style w:type="paragraph" w:styleId="NoSpacing">
    <w:name w:val="No Spacing"/>
    <w:uiPriority w:val="1"/>
    <w:qFormat/>
    <w:rsid w:val="00B30FB4"/>
    <w:rPr>
      <w:rFonts w:ascii="Calibri" w:eastAsia="Times New Roman" w:hAnsi="Calibri"/>
      <w:sz w:val="22"/>
      <w:szCs w:val="22"/>
    </w:rPr>
  </w:style>
  <w:style w:type="table" w:customStyle="1" w:styleId="Style1">
    <w:name w:val="Style1"/>
    <w:basedOn w:val="TableNormal"/>
    <w:uiPriority w:val="99"/>
    <w:rsid w:val="00A27DD8"/>
    <w:pPr>
      <w:contextualSpacing/>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rPr>
        <w:tblHeader/>
      </w:trPr>
      <w:tcPr>
        <w:shd w:val="clear" w:color="auto" w:fill="BFBFBF"/>
      </w:tcPr>
    </w:tblStylePr>
  </w:style>
  <w:style w:type="character" w:styleId="PlaceholderText">
    <w:name w:val="Placeholder Text"/>
    <w:uiPriority w:val="99"/>
    <w:semiHidden/>
    <w:rsid w:val="003B208B"/>
    <w:rPr>
      <w:color w:val="808080"/>
    </w:rPr>
  </w:style>
  <w:style w:type="paragraph" w:styleId="BodyText">
    <w:name w:val="Body Text"/>
    <w:basedOn w:val="Normal"/>
    <w:link w:val="BodyTextChar"/>
    <w:rsid w:val="00BC452D"/>
    <w:pPr>
      <w:widowControl/>
    </w:pPr>
    <w:rPr>
      <w:rFonts w:eastAsia="SimSun" w:cs="Times New Roman"/>
      <w:bCs/>
      <w:szCs w:val="24"/>
      <w:lang w:val="x-none" w:eastAsia="zh-CN"/>
    </w:rPr>
  </w:style>
  <w:style w:type="character" w:customStyle="1" w:styleId="BodyTextChar">
    <w:name w:val="Body Text Char"/>
    <w:link w:val="BodyText"/>
    <w:rsid w:val="00BC452D"/>
    <w:rPr>
      <w:rFonts w:eastAsia="SimSun"/>
      <w:bCs/>
      <w:szCs w:val="24"/>
      <w:lang w:eastAsia="zh-CN"/>
    </w:rPr>
  </w:style>
  <w:style w:type="paragraph" w:customStyle="1" w:styleId="PTNormalResponse">
    <w:name w:val="PT Normal Response"/>
    <w:basedOn w:val="Normal"/>
    <w:rsid w:val="004039D8"/>
    <w:pPr>
      <w:widowControl/>
      <w:spacing w:before="120" w:after="60"/>
      <w:jc w:val="left"/>
    </w:pPr>
    <w:rPr>
      <w:rFonts w:eastAsia="Times New Roman" w:cs="Times New Roman"/>
      <w:lang w:eastAsia="en-US"/>
    </w:rPr>
  </w:style>
  <w:style w:type="paragraph" w:customStyle="1" w:styleId="TableText">
    <w:name w:val="Table Text"/>
    <w:basedOn w:val="Normal"/>
    <w:link w:val="TableTextChar"/>
    <w:qFormat/>
    <w:rsid w:val="00F50661"/>
    <w:pPr>
      <w:keepNext/>
      <w:keepLines/>
      <w:widowControl/>
      <w:spacing w:after="0"/>
      <w:jc w:val="left"/>
    </w:pPr>
    <w:rPr>
      <w:rFonts w:ascii="Times New Roman" w:eastAsia="Times New Roman" w:hAnsi="Times New Roman" w:cs="Times New Roman"/>
      <w:color w:val="000000"/>
      <w:sz w:val="22"/>
      <w:lang w:val="x-none" w:eastAsia="en-US"/>
    </w:rPr>
  </w:style>
  <w:style w:type="paragraph" w:styleId="EndnoteText">
    <w:name w:val="endnote text"/>
    <w:basedOn w:val="Normal"/>
    <w:link w:val="EndnoteTextChar"/>
    <w:uiPriority w:val="99"/>
    <w:semiHidden/>
    <w:unhideWhenUsed/>
    <w:rsid w:val="003465C4"/>
    <w:rPr>
      <w:rFonts w:cs="Times New Roman"/>
      <w:lang w:val="x-none" w:eastAsia="x-none"/>
    </w:rPr>
  </w:style>
  <w:style w:type="character" w:customStyle="1" w:styleId="EndnoteTextChar">
    <w:name w:val="Endnote Text Char"/>
    <w:link w:val="EndnoteText"/>
    <w:uiPriority w:val="99"/>
    <w:semiHidden/>
    <w:rsid w:val="003465C4"/>
    <w:rPr>
      <w:rFonts w:cs="Arial"/>
    </w:rPr>
  </w:style>
  <w:style w:type="character" w:styleId="EndnoteReference">
    <w:name w:val="endnote reference"/>
    <w:uiPriority w:val="99"/>
    <w:semiHidden/>
    <w:unhideWhenUsed/>
    <w:rsid w:val="003465C4"/>
    <w:rPr>
      <w:vertAlign w:val="superscript"/>
    </w:rPr>
  </w:style>
  <w:style w:type="paragraph" w:customStyle="1" w:styleId="CM50">
    <w:name w:val="CM50"/>
    <w:basedOn w:val="Normal"/>
    <w:next w:val="Normal"/>
    <w:uiPriority w:val="99"/>
    <w:rsid w:val="00AD5B76"/>
    <w:pPr>
      <w:widowControl/>
      <w:autoSpaceDE w:val="0"/>
      <w:autoSpaceDN w:val="0"/>
      <w:adjustRightInd w:val="0"/>
      <w:spacing w:after="0"/>
      <w:jc w:val="left"/>
    </w:pPr>
    <w:rPr>
      <w:sz w:val="24"/>
      <w:szCs w:val="24"/>
    </w:rPr>
  </w:style>
  <w:style w:type="table" w:styleId="TableGrid">
    <w:name w:val="Table Grid"/>
    <w:basedOn w:val="TableNormal"/>
    <w:uiPriority w:val="59"/>
    <w:rsid w:val="00DE4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C3163"/>
    <w:rPr>
      <w:color w:val="800080"/>
      <w:u w:val="single"/>
    </w:rPr>
  </w:style>
  <w:style w:type="character" w:customStyle="1" w:styleId="TableTextChar">
    <w:name w:val="Table Text Char"/>
    <w:link w:val="TableText"/>
    <w:rsid w:val="007B064B"/>
    <w:rPr>
      <w:rFonts w:ascii="Times New Roman" w:eastAsia="Times New Roman" w:hAnsi="Times New Roman"/>
      <w:color w:val="000000"/>
      <w:sz w:val="22"/>
      <w:lang w:eastAsia="en-US"/>
    </w:rPr>
  </w:style>
  <w:style w:type="paragraph" w:styleId="TOC4">
    <w:name w:val="toc 4"/>
    <w:basedOn w:val="Normal"/>
    <w:next w:val="Normal"/>
    <w:autoRedefine/>
    <w:uiPriority w:val="39"/>
    <w:unhideWhenUsed/>
    <w:rsid w:val="00947CEE"/>
    <w:pPr>
      <w:widowControl/>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47CEE"/>
    <w:pPr>
      <w:widowControl/>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47CEE"/>
    <w:pPr>
      <w:widowControl/>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47CEE"/>
    <w:pPr>
      <w:widowControl/>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47CEE"/>
    <w:pPr>
      <w:widowControl/>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47CEE"/>
    <w:pPr>
      <w:widowControl/>
      <w:spacing w:after="100" w:line="276" w:lineRule="auto"/>
      <w:ind w:left="1760"/>
      <w:jc w:val="left"/>
    </w:pPr>
    <w:rPr>
      <w:rFonts w:asciiTheme="minorHAnsi" w:eastAsiaTheme="minorEastAsia" w:hAnsiTheme="minorHAnsi" w:cstheme="minorBidi"/>
      <w:sz w:val="22"/>
      <w:szCs w:val="22"/>
    </w:rPr>
  </w:style>
  <w:style w:type="character" w:customStyle="1" w:styleId="Style10pt">
    <w:name w:val="Style 10 pt"/>
    <w:rsid w:val="008A4D0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36633">
      <w:bodyDiv w:val="1"/>
      <w:marLeft w:val="0"/>
      <w:marRight w:val="0"/>
      <w:marTop w:val="0"/>
      <w:marBottom w:val="0"/>
      <w:divBdr>
        <w:top w:val="none" w:sz="0" w:space="0" w:color="auto"/>
        <w:left w:val="none" w:sz="0" w:space="0" w:color="auto"/>
        <w:bottom w:val="none" w:sz="0" w:space="0" w:color="auto"/>
        <w:right w:val="none" w:sz="0" w:space="0" w:color="auto"/>
      </w:divBdr>
    </w:div>
    <w:div w:id="930771967">
      <w:bodyDiv w:val="1"/>
      <w:marLeft w:val="0"/>
      <w:marRight w:val="0"/>
      <w:marTop w:val="0"/>
      <w:marBottom w:val="0"/>
      <w:divBdr>
        <w:top w:val="none" w:sz="0" w:space="0" w:color="auto"/>
        <w:left w:val="none" w:sz="0" w:space="0" w:color="auto"/>
        <w:bottom w:val="none" w:sz="0" w:space="0" w:color="auto"/>
        <w:right w:val="none" w:sz="0" w:space="0" w:color="auto"/>
      </w:divBdr>
    </w:div>
    <w:div w:id="931014864">
      <w:bodyDiv w:val="1"/>
      <w:marLeft w:val="0"/>
      <w:marRight w:val="0"/>
      <w:marTop w:val="0"/>
      <w:marBottom w:val="0"/>
      <w:divBdr>
        <w:top w:val="none" w:sz="0" w:space="0" w:color="auto"/>
        <w:left w:val="none" w:sz="0" w:space="0" w:color="auto"/>
        <w:bottom w:val="none" w:sz="0" w:space="0" w:color="auto"/>
        <w:right w:val="none" w:sz="0" w:space="0" w:color="auto"/>
      </w:divBdr>
    </w:div>
    <w:div w:id="1269655975">
      <w:bodyDiv w:val="1"/>
      <w:marLeft w:val="0"/>
      <w:marRight w:val="0"/>
      <w:marTop w:val="0"/>
      <w:marBottom w:val="0"/>
      <w:divBdr>
        <w:top w:val="none" w:sz="0" w:space="0" w:color="auto"/>
        <w:left w:val="none" w:sz="0" w:space="0" w:color="auto"/>
        <w:bottom w:val="none" w:sz="0" w:space="0" w:color="auto"/>
        <w:right w:val="none" w:sz="0" w:space="0" w:color="auto"/>
      </w:divBdr>
    </w:div>
    <w:div w:id="145845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73.png"/><Relationship Id="rId21" Type="http://schemas.openxmlformats.org/officeDocument/2006/relationships/image" Target="media/image13.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chart" Target="charts/chart8.xml"/><Relationship Id="rId68" Type="http://schemas.openxmlformats.org/officeDocument/2006/relationships/chart" Target="charts/chart13.xml"/><Relationship Id="rId84" Type="http://schemas.openxmlformats.org/officeDocument/2006/relationships/image" Target="media/image48.emf"/><Relationship Id="rId89" Type="http://schemas.openxmlformats.org/officeDocument/2006/relationships/hyperlink" Target="http://www.cfd.rmit.edu.au)" TargetMode="External"/><Relationship Id="rId112" Type="http://schemas.openxmlformats.org/officeDocument/2006/relationships/image" Target="media/image68.emf"/><Relationship Id="rId16" Type="http://schemas.openxmlformats.org/officeDocument/2006/relationships/image" Target="media/image8.emf"/><Relationship Id="rId107" Type="http://schemas.openxmlformats.org/officeDocument/2006/relationships/image" Target="media/image63.emf"/><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7.xml"/><Relationship Id="rId58" Type="http://schemas.openxmlformats.org/officeDocument/2006/relationships/image" Target="media/image40.emf"/><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image" Target="media/image43.emf"/><Relationship Id="rId87" Type="http://schemas.openxmlformats.org/officeDocument/2006/relationships/image" Target="media/image51.wmf"/><Relationship Id="rId102" Type="http://schemas.openxmlformats.org/officeDocument/2006/relationships/image" Target="media/image58.emf"/><Relationship Id="rId110" Type="http://schemas.openxmlformats.org/officeDocument/2006/relationships/image" Target="media/image66.emf"/><Relationship Id="rId115"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chart" Target="charts/chart6.xml"/><Relationship Id="rId82" Type="http://schemas.openxmlformats.org/officeDocument/2006/relationships/image" Target="media/image46.emf"/><Relationship Id="rId90" Type="http://schemas.openxmlformats.org/officeDocument/2006/relationships/hyperlink" Target="http://www.iea.org/stats/index.asp" TargetMode="External"/><Relationship Id="rId95" Type="http://schemas.openxmlformats.org/officeDocument/2006/relationships/image" Target="media/image52.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38.emf"/><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image" Target="media/image41.emf"/><Relationship Id="rId100" Type="http://schemas.openxmlformats.org/officeDocument/2006/relationships/image" Target="media/image56.emf"/><Relationship Id="rId105" Type="http://schemas.openxmlformats.org/officeDocument/2006/relationships/image" Target="media/image61.emf"/><Relationship Id="rId113" Type="http://schemas.openxmlformats.org/officeDocument/2006/relationships/image" Target="media/image69.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chart" Target="charts/chart17.xml"/><Relationship Id="rId80" Type="http://schemas.openxmlformats.org/officeDocument/2006/relationships/image" Target="media/image44.emf"/><Relationship Id="rId85" Type="http://schemas.openxmlformats.org/officeDocument/2006/relationships/image" Target="media/image49.emf"/><Relationship Id="rId93" Type="http://schemas.openxmlformats.org/officeDocument/2006/relationships/hyperlink" Target="http://www.lca-net.com/publications/critical_review/" TargetMode="External"/><Relationship Id="rId98"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chart" Target="charts/chart4.xml"/><Relationship Id="rId67" Type="http://schemas.openxmlformats.org/officeDocument/2006/relationships/chart" Target="charts/chart12.xml"/><Relationship Id="rId103" Type="http://schemas.openxmlformats.org/officeDocument/2006/relationships/image" Target="media/image59.emf"/><Relationship Id="rId108" Type="http://schemas.openxmlformats.org/officeDocument/2006/relationships/image" Target="media/image64.emf"/><Relationship Id="rId116" Type="http://schemas.openxmlformats.org/officeDocument/2006/relationships/image" Target="media/image72.png"/><Relationship Id="rId20" Type="http://schemas.openxmlformats.org/officeDocument/2006/relationships/image" Target="media/image12.emf"/><Relationship Id="rId41" Type="http://schemas.openxmlformats.org/officeDocument/2006/relationships/image" Target="media/image27.emf"/><Relationship Id="rId54" Type="http://schemas.openxmlformats.org/officeDocument/2006/relationships/image" Target="media/image36.emf"/><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image" Target="media/image47.emf"/><Relationship Id="rId88" Type="http://schemas.openxmlformats.org/officeDocument/2006/relationships/hyperlink" Target="http://www.foodprocessing.com.au/news/53428-China-will-lead-PET-market-by-2-2-says-GBI-Research" TargetMode="External"/><Relationship Id="rId91" Type="http://schemas.openxmlformats.org/officeDocument/2006/relationships/hyperlink" Target="http://www.recyclingtoday.com/novelis-ubc-recycling-south-korea.aspx" TargetMode="External"/><Relationship Id="rId96" Type="http://schemas.openxmlformats.org/officeDocument/2006/relationships/oleObject" Target="embeddings/oleObject4.bin"/><Relationship Id="rId111"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4.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39.emf"/><Relationship Id="rId106" Type="http://schemas.openxmlformats.org/officeDocument/2006/relationships/image" Target="media/image62.emf"/><Relationship Id="rId114" Type="http://schemas.openxmlformats.org/officeDocument/2006/relationships/image" Target="media/image70.pn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0.emf"/><Relationship Id="rId52" Type="http://schemas.openxmlformats.org/officeDocument/2006/relationships/footer" Target="footer6.xml"/><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image" Target="media/image50.emf"/><Relationship Id="rId94" Type="http://schemas.openxmlformats.org/officeDocument/2006/relationships/footer" Target="footer8.xml"/><Relationship Id="rId99" Type="http://schemas.openxmlformats.org/officeDocument/2006/relationships/image" Target="media/image55.emf"/><Relationship Id="rId101"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5.emf"/><Relationship Id="rId109" Type="http://schemas.openxmlformats.org/officeDocument/2006/relationships/image" Target="media/image65.emf"/><Relationship Id="rId34" Type="http://schemas.openxmlformats.org/officeDocument/2006/relationships/chart" Target="charts/chart1.xml"/><Relationship Id="rId50" Type="http://schemas.openxmlformats.org/officeDocument/2006/relationships/chart" Target="charts/chart2.xml"/><Relationship Id="rId55" Type="http://schemas.openxmlformats.org/officeDocument/2006/relationships/image" Target="media/image37.emf"/><Relationship Id="rId76" Type="http://schemas.openxmlformats.org/officeDocument/2006/relationships/chart" Target="charts/chart21.xml"/><Relationship Id="rId97" Type="http://schemas.openxmlformats.org/officeDocument/2006/relationships/image" Target="media/image53.png"/><Relationship Id="rId104"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chart" Target="charts/chart16.xml"/><Relationship Id="rId92" Type="http://schemas.openxmlformats.org/officeDocument/2006/relationships/hyperlink" Target="http://test.visy.com.au/recycling/?id=182" TargetMode="External"/><Relationship Id="rId2" Type="http://schemas.openxmlformats.org/officeDocument/2006/relationships/numbering" Target="numbering.xml"/><Relationship Id="rId29" Type="http://schemas.openxmlformats.org/officeDocument/2006/relationships/image" Target="media/image19.em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recycledorganics.com/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66028\Desktop\Dropbox\2012%20SV%20-%20Waste\Collection\RMIT%20-%20Collection%20Model1.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0a576fa5155e2a7d/Work%20Files/MainReportTables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Model Compared to Actual</a:t>
            </a:r>
          </a:p>
        </c:rich>
      </c:tx>
      <c:layout/>
      <c:overlay val="0"/>
    </c:title>
    <c:autoTitleDeleted val="0"/>
    <c:plotArea>
      <c:layout>
        <c:manualLayout>
          <c:layoutTarget val="inner"/>
          <c:xMode val="edge"/>
          <c:yMode val="edge"/>
          <c:x val="0.1493482520313146"/>
          <c:y val="0.21118556596447932"/>
          <c:w val="0.82627771739035616"/>
          <c:h val="0.42417022187054448"/>
        </c:manualLayout>
      </c:layout>
      <c:barChart>
        <c:barDir val="col"/>
        <c:grouping val="clustered"/>
        <c:varyColors val="0"/>
        <c:ser>
          <c:idx val="0"/>
          <c:order val="0"/>
          <c:tx>
            <c:strRef>
              <c:f>Validation!$B$6</c:f>
              <c:strCache>
                <c:ptCount val="1"/>
                <c:pt idx="0">
                  <c:v>Actual*</c:v>
                </c:pt>
              </c:strCache>
            </c:strRef>
          </c:tx>
          <c:invertIfNegative val="0"/>
          <c:cat>
            <c:strRef>
              <c:f>Validation!$A$7:$A$15</c:f>
              <c:strCache>
                <c:ptCount val="9"/>
                <c:pt idx="0">
                  <c:v>Hume - Recycle</c:v>
                </c:pt>
                <c:pt idx="1">
                  <c:v>Hume - Organics</c:v>
                </c:pt>
                <c:pt idx="2">
                  <c:v>West Wimmera - Recycle*</c:v>
                </c:pt>
                <c:pt idx="3">
                  <c:v>Glen Eira - Recycle</c:v>
                </c:pt>
                <c:pt idx="4">
                  <c:v>Glen Eira - Organics</c:v>
                </c:pt>
                <c:pt idx="5">
                  <c:v>Boroondara - Recycle</c:v>
                </c:pt>
                <c:pt idx="6">
                  <c:v>Boroondara - Organics</c:v>
                </c:pt>
                <c:pt idx="7">
                  <c:v>Hume - Garbage</c:v>
                </c:pt>
                <c:pt idx="8">
                  <c:v>Murrindindi - Recycle</c:v>
                </c:pt>
              </c:strCache>
            </c:strRef>
          </c:cat>
          <c:val>
            <c:numRef>
              <c:f>Validation!$B$7:$B$15</c:f>
              <c:numCache>
                <c:formatCode>0</c:formatCode>
                <c:ptCount val="9"/>
                <c:pt idx="0">
                  <c:v>149349</c:v>
                </c:pt>
                <c:pt idx="1">
                  <c:v>98623</c:v>
                </c:pt>
                <c:pt idx="2">
                  <c:v>3200</c:v>
                </c:pt>
                <c:pt idx="3">
                  <c:v>131300</c:v>
                </c:pt>
                <c:pt idx="4">
                  <c:v>63400</c:v>
                </c:pt>
                <c:pt idx="5">
                  <c:v>172800</c:v>
                </c:pt>
                <c:pt idx="6">
                  <c:v>76800</c:v>
                </c:pt>
                <c:pt idx="7">
                  <c:v>487580</c:v>
                </c:pt>
                <c:pt idx="8">
                  <c:v>43122</c:v>
                </c:pt>
              </c:numCache>
            </c:numRef>
          </c:val>
        </c:ser>
        <c:ser>
          <c:idx val="1"/>
          <c:order val="1"/>
          <c:tx>
            <c:strRef>
              <c:f>Validation!$C$6</c:f>
              <c:strCache>
                <c:ptCount val="1"/>
                <c:pt idx="0">
                  <c:v>Model</c:v>
                </c:pt>
              </c:strCache>
            </c:strRef>
          </c:tx>
          <c:invertIfNegative val="0"/>
          <c:cat>
            <c:strRef>
              <c:f>Validation!$A$7:$A$15</c:f>
              <c:strCache>
                <c:ptCount val="9"/>
                <c:pt idx="0">
                  <c:v>Hume - Recycle</c:v>
                </c:pt>
                <c:pt idx="1">
                  <c:v>Hume - Organics</c:v>
                </c:pt>
                <c:pt idx="2">
                  <c:v>West Wimmera - Recycle*</c:v>
                </c:pt>
                <c:pt idx="3">
                  <c:v>Glen Eira - Recycle</c:v>
                </c:pt>
                <c:pt idx="4">
                  <c:v>Glen Eira - Organics</c:v>
                </c:pt>
                <c:pt idx="5">
                  <c:v>Boroondara - Recycle</c:v>
                </c:pt>
                <c:pt idx="6">
                  <c:v>Boroondara - Organics</c:v>
                </c:pt>
                <c:pt idx="7">
                  <c:v>Hume - Garbage</c:v>
                </c:pt>
                <c:pt idx="8">
                  <c:v>Murrindindi - Recycle</c:v>
                </c:pt>
              </c:strCache>
            </c:strRef>
          </c:cat>
          <c:val>
            <c:numRef>
              <c:f>Validation!$C$7:$C$15</c:f>
              <c:numCache>
                <c:formatCode>0</c:formatCode>
                <c:ptCount val="9"/>
                <c:pt idx="0">
                  <c:v>164815.20394176058</c:v>
                </c:pt>
                <c:pt idx="1">
                  <c:v>146258.68855287076</c:v>
                </c:pt>
                <c:pt idx="2">
                  <c:v>10937.268918203543</c:v>
                </c:pt>
                <c:pt idx="3">
                  <c:v>155239.01099927665</c:v>
                </c:pt>
                <c:pt idx="4">
                  <c:v>166965.82909853369</c:v>
                </c:pt>
                <c:pt idx="5">
                  <c:v>279920.45313053438</c:v>
                </c:pt>
                <c:pt idx="6">
                  <c:v>98915.532345960237</c:v>
                </c:pt>
                <c:pt idx="7">
                  <c:v>366154.34712181386</c:v>
                </c:pt>
                <c:pt idx="8">
                  <c:v>29993.714394379371</c:v>
                </c:pt>
              </c:numCache>
            </c:numRef>
          </c:val>
        </c:ser>
        <c:dLbls>
          <c:showLegendKey val="0"/>
          <c:showVal val="0"/>
          <c:showCatName val="0"/>
          <c:showSerName val="0"/>
          <c:showPercent val="0"/>
          <c:showBubbleSize val="0"/>
        </c:dLbls>
        <c:gapWidth val="150"/>
        <c:axId val="76986624"/>
        <c:axId val="77545856"/>
      </c:barChart>
      <c:catAx>
        <c:axId val="76986624"/>
        <c:scaling>
          <c:orientation val="minMax"/>
        </c:scaling>
        <c:delete val="0"/>
        <c:axPos val="b"/>
        <c:majorTickMark val="none"/>
        <c:minorTickMark val="none"/>
        <c:tickLblPos val="nextTo"/>
        <c:crossAx val="77545856"/>
        <c:crosses val="autoZero"/>
        <c:auto val="1"/>
        <c:lblAlgn val="ctr"/>
        <c:lblOffset val="100"/>
        <c:noMultiLvlLbl val="0"/>
      </c:catAx>
      <c:valAx>
        <c:axId val="77545856"/>
        <c:scaling>
          <c:orientation val="minMax"/>
        </c:scaling>
        <c:delete val="0"/>
        <c:axPos val="l"/>
        <c:majorGridlines/>
        <c:title>
          <c:tx>
            <c:rich>
              <a:bodyPr/>
              <a:lstStyle/>
              <a:p>
                <a:pPr>
                  <a:defRPr/>
                </a:pPr>
                <a:r>
                  <a:rPr lang="en-AU"/>
                  <a:t>litres</a:t>
                </a:r>
                <a:r>
                  <a:rPr lang="en-AU" baseline="0"/>
                  <a:t> diesel p.a.</a:t>
                </a:r>
                <a:endParaRPr lang="en-AU"/>
              </a:p>
            </c:rich>
          </c:tx>
          <c:layout/>
          <c:overlay val="0"/>
        </c:title>
        <c:numFmt formatCode="0" sourceLinked="1"/>
        <c:majorTickMark val="none"/>
        <c:minorTickMark val="none"/>
        <c:tickLblPos val="nextTo"/>
        <c:crossAx val="76986624"/>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Mineral Depletion</a:t>
            </a:r>
          </a:p>
        </c:rich>
      </c:tx>
      <c:layout/>
      <c:overlay val="0"/>
    </c:title>
    <c:autoTitleDeleted val="0"/>
    <c:plotArea>
      <c:layout/>
      <c:barChart>
        <c:barDir val="col"/>
        <c:grouping val="clustered"/>
        <c:varyColors val="0"/>
        <c:ser>
          <c:idx val="0"/>
          <c:order val="0"/>
          <c:tx>
            <c:strRef>
              <c:f>'[MainReportTables3.xlsx]Results Breakdown'!$D$331</c:f>
              <c:strCache>
                <c:ptCount val="1"/>
                <c:pt idx="0">
                  <c:v>MD</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Breakdown'!$E$331:$O$331</c:f>
              <c:numCache>
                <c:formatCode>General</c:formatCode>
                <c:ptCount val="11"/>
                <c:pt idx="0">
                  <c:v>2.0000000000000001E-4</c:v>
                </c:pt>
                <c:pt idx="1">
                  <c:v>4.2000000000000003E-2</c:v>
                </c:pt>
                <c:pt idx="2">
                  <c:v>8.4000000000000005E-2</c:v>
                </c:pt>
                <c:pt idx="3">
                  <c:v>6.3E-2</c:v>
                </c:pt>
                <c:pt idx="4">
                  <c:v>0</c:v>
                </c:pt>
                <c:pt idx="5">
                  <c:v>-0.5</c:v>
                </c:pt>
                <c:pt idx="6">
                  <c:v>-0.62</c:v>
                </c:pt>
                <c:pt idx="7">
                  <c:v>-1.4999999999999999E-4</c:v>
                </c:pt>
                <c:pt idx="8">
                  <c:v>-8.8000000000000005E-3</c:v>
                </c:pt>
                <c:pt idx="9">
                  <c:v>0</c:v>
                </c:pt>
                <c:pt idx="10">
                  <c:v>-0.94</c:v>
                </c:pt>
              </c:numCache>
            </c:numRef>
          </c:val>
        </c:ser>
        <c:dLbls>
          <c:showLegendKey val="0"/>
          <c:showVal val="0"/>
          <c:showCatName val="0"/>
          <c:showSerName val="0"/>
          <c:showPercent val="0"/>
          <c:showBubbleSize val="0"/>
        </c:dLbls>
        <c:gapWidth val="150"/>
        <c:axId val="76939264"/>
        <c:axId val="76940800"/>
      </c:barChart>
      <c:catAx>
        <c:axId val="76939264"/>
        <c:scaling>
          <c:orientation val="minMax"/>
        </c:scaling>
        <c:delete val="0"/>
        <c:axPos val="b"/>
        <c:majorGridlines/>
        <c:majorTickMark val="out"/>
        <c:minorTickMark val="none"/>
        <c:tickLblPos val="low"/>
        <c:crossAx val="76940800"/>
        <c:crosses val="autoZero"/>
        <c:auto val="1"/>
        <c:lblAlgn val="ctr"/>
        <c:lblOffset val="100"/>
        <c:noMultiLvlLbl val="0"/>
      </c:catAx>
      <c:valAx>
        <c:axId val="76940800"/>
        <c:scaling>
          <c:orientation val="minMax"/>
        </c:scaling>
        <c:delete val="0"/>
        <c:axPos val="l"/>
        <c:majorGridlines/>
        <c:title>
          <c:tx>
            <c:rich>
              <a:bodyPr rot="-5400000" vert="horz"/>
              <a:lstStyle/>
              <a:p>
                <a:pPr>
                  <a:defRPr/>
                </a:pPr>
                <a:r>
                  <a:rPr lang="en-US"/>
                  <a:t>$</a:t>
                </a:r>
              </a:p>
            </c:rich>
          </c:tx>
          <c:layout/>
          <c:overlay val="0"/>
        </c:title>
        <c:numFmt formatCode="General" sourceLinked="1"/>
        <c:majorTickMark val="out"/>
        <c:minorTickMark val="none"/>
        <c:tickLblPos val="nextTo"/>
        <c:crossAx val="76939264"/>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Mineral Depletion</a:t>
            </a:r>
          </a:p>
        </c:rich>
      </c:tx>
      <c:layout/>
      <c:overlay val="0"/>
    </c:title>
    <c:autoTitleDeleted val="0"/>
    <c:plotArea>
      <c:layout/>
      <c:barChart>
        <c:barDir val="col"/>
        <c:grouping val="clustered"/>
        <c:varyColors val="0"/>
        <c:ser>
          <c:idx val="0"/>
          <c:order val="0"/>
          <c:tx>
            <c:strRef>
              <c:f>'[MainReportTables3.xlsx]Material contrib'!$R$24</c:f>
              <c:strCache>
                <c:ptCount val="1"/>
                <c:pt idx="0">
                  <c:v>MD</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contrib'!$R$25:$R$36</c:f>
              <c:numCache>
                <c:formatCode>General</c:formatCode>
                <c:ptCount val="12"/>
                <c:pt idx="0">
                  <c:v>9.5999999999999992E-3</c:v>
                </c:pt>
                <c:pt idx="1">
                  <c:v>-0.83</c:v>
                </c:pt>
                <c:pt idx="2">
                  <c:v>-0.06</c:v>
                </c:pt>
                <c:pt idx="3">
                  <c:v>2.5000000000000001E-4</c:v>
                </c:pt>
                <c:pt idx="4">
                  <c:v>2.7E-2</c:v>
                </c:pt>
                <c:pt idx="5">
                  <c:v>1.0999999999999999E-2</c:v>
                </c:pt>
                <c:pt idx="6">
                  <c:v>-0.1</c:v>
                </c:pt>
                <c:pt idx="7">
                  <c:v>1.1000000000000001E-3</c:v>
                </c:pt>
                <c:pt idx="8">
                  <c:v>9.7000000000000005E-4</c:v>
                </c:pt>
                <c:pt idx="9">
                  <c:v>2.7000000000000001E-3</c:v>
                </c:pt>
                <c:pt idx="10">
                  <c:v>-1.5E-3</c:v>
                </c:pt>
                <c:pt idx="11">
                  <c:v>-0.94</c:v>
                </c:pt>
              </c:numCache>
            </c:numRef>
          </c:val>
        </c:ser>
        <c:dLbls>
          <c:showLegendKey val="0"/>
          <c:showVal val="0"/>
          <c:showCatName val="0"/>
          <c:showSerName val="0"/>
          <c:showPercent val="0"/>
          <c:showBubbleSize val="0"/>
        </c:dLbls>
        <c:gapWidth val="150"/>
        <c:axId val="77003776"/>
        <c:axId val="77050624"/>
      </c:barChart>
      <c:catAx>
        <c:axId val="77003776"/>
        <c:scaling>
          <c:orientation val="minMax"/>
        </c:scaling>
        <c:delete val="0"/>
        <c:axPos val="b"/>
        <c:majorGridlines/>
        <c:majorTickMark val="out"/>
        <c:minorTickMark val="none"/>
        <c:tickLblPos val="nextTo"/>
        <c:crossAx val="77050624"/>
        <c:crosses val="autoZero"/>
        <c:auto val="1"/>
        <c:lblAlgn val="ctr"/>
        <c:lblOffset val="100"/>
        <c:noMultiLvlLbl val="0"/>
      </c:catAx>
      <c:valAx>
        <c:axId val="77050624"/>
        <c:scaling>
          <c:orientation val="minMax"/>
        </c:scaling>
        <c:delete val="0"/>
        <c:axPos val="l"/>
        <c:majorGridlines/>
        <c:title>
          <c:tx>
            <c:rich>
              <a:bodyPr rot="-5400000" vert="horz"/>
              <a:lstStyle/>
              <a:p>
                <a:pPr>
                  <a:defRPr/>
                </a:pPr>
                <a:r>
                  <a:rPr lang="en-US"/>
                  <a:t>kg NMVOC</a:t>
                </a:r>
              </a:p>
            </c:rich>
          </c:tx>
          <c:layout/>
          <c:overlay val="0"/>
        </c:title>
        <c:numFmt formatCode="General" sourceLinked="1"/>
        <c:majorTickMark val="out"/>
        <c:minorTickMark val="none"/>
        <c:tickLblPos val="nextTo"/>
        <c:crossAx val="77003776"/>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Fossil Fuels Depletion</a:t>
            </a:r>
          </a:p>
        </c:rich>
      </c:tx>
      <c:layout>
        <c:manualLayout>
          <c:xMode val="edge"/>
          <c:yMode val="edge"/>
          <c:x val="0.36645348637425168"/>
          <c:y val="1.9644045765986308E-2"/>
        </c:manualLayout>
      </c:layout>
      <c:overlay val="0"/>
    </c:title>
    <c:autoTitleDeleted val="0"/>
    <c:plotArea>
      <c:layout/>
      <c:barChart>
        <c:barDir val="col"/>
        <c:grouping val="clustered"/>
        <c:varyColors val="0"/>
        <c:ser>
          <c:idx val="0"/>
          <c:order val="0"/>
          <c:tx>
            <c:strRef>
              <c:f>'[MainReportTables3.xlsx]Results Breakdown'!$D$332</c:f>
              <c:strCache>
                <c:ptCount val="1"/>
                <c:pt idx="0">
                  <c:v>FFD</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Breakdown'!$E$332:$O$332</c:f>
              <c:numCache>
                <c:formatCode>General</c:formatCode>
                <c:ptCount val="11"/>
                <c:pt idx="0">
                  <c:v>0.54</c:v>
                </c:pt>
                <c:pt idx="1">
                  <c:v>0.18</c:v>
                </c:pt>
                <c:pt idx="2">
                  <c:v>1.7</c:v>
                </c:pt>
                <c:pt idx="3">
                  <c:v>1.6</c:v>
                </c:pt>
                <c:pt idx="4">
                  <c:v>0</c:v>
                </c:pt>
                <c:pt idx="5">
                  <c:v>-2.4</c:v>
                </c:pt>
                <c:pt idx="6">
                  <c:v>-2.4</c:v>
                </c:pt>
                <c:pt idx="7">
                  <c:v>-0.54</c:v>
                </c:pt>
                <c:pt idx="8">
                  <c:v>0.6</c:v>
                </c:pt>
                <c:pt idx="9">
                  <c:v>0</c:v>
                </c:pt>
                <c:pt idx="10">
                  <c:v>-0.72</c:v>
                </c:pt>
              </c:numCache>
            </c:numRef>
          </c:val>
        </c:ser>
        <c:dLbls>
          <c:showLegendKey val="0"/>
          <c:showVal val="0"/>
          <c:showCatName val="0"/>
          <c:showSerName val="0"/>
          <c:showPercent val="0"/>
          <c:showBubbleSize val="0"/>
        </c:dLbls>
        <c:gapWidth val="150"/>
        <c:axId val="77249152"/>
        <c:axId val="77255040"/>
      </c:barChart>
      <c:catAx>
        <c:axId val="77249152"/>
        <c:scaling>
          <c:orientation val="minMax"/>
        </c:scaling>
        <c:delete val="0"/>
        <c:axPos val="b"/>
        <c:majorGridlines/>
        <c:majorTickMark val="out"/>
        <c:minorTickMark val="none"/>
        <c:tickLblPos val="low"/>
        <c:crossAx val="77255040"/>
        <c:crosses val="autoZero"/>
        <c:auto val="1"/>
        <c:lblAlgn val="ctr"/>
        <c:lblOffset val="100"/>
        <c:noMultiLvlLbl val="0"/>
      </c:catAx>
      <c:valAx>
        <c:axId val="77255040"/>
        <c:scaling>
          <c:orientation val="minMax"/>
        </c:scaling>
        <c:delete val="0"/>
        <c:axPos val="l"/>
        <c:majorGridlines/>
        <c:title>
          <c:tx>
            <c:rich>
              <a:bodyPr rot="-5400000" vert="horz"/>
              <a:lstStyle/>
              <a:p>
                <a:pPr>
                  <a:defRPr/>
                </a:pPr>
                <a:r>
                  <a:rPr lang="en-US"/>
                  <a:t>$</a:t>
                </a:r>
              </a:p>
            </c:rich>
          </c:tx>
          <c:layout/>
          <c:overlay val="0"/>
        </c:title>
        <c:numFmt formatCode="General" sourceLinked="1"/>
        <c:majorTickMark val="out"/>
        <c:minorTickMark val="none"/>
        <c:tickLblPos val="nextTo"/>
        <c:crossAx val="7724915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Fossil Fuels Depletion</a:t>
            </a:r>
          </a:p>
        </c:rich>
      </c:tx>
      <c:layout/>
      <c:overlay val="0"/>
    </c:title>
    <c:autoTitleDeleted val="0"/>
    <c:plotArea>
      <c:layout/>
      <c:barChart>
        <c:barDir val="col"/>
        <c:grouping val="clustered"/>
        <c:varyColors val="0"/>
        <c:ser>
          <c:idx val="0"/>
          <c:order val="0"/>
          <c:tx>
            <c:strRef>
              <c:f>'[MainReportTables3.xlsx]Material contrib'!$S$24</c:f>
              <c:strCache>
                <c:ptCount val="1"/>
                <c:pt idx="0">
                  <c:v>FFD</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contrib'!$S$25:$S$36</c:f>
              <c:numCache>
                <c:formatCode>General</c:formatCode>
                <c:ptCount val="12"/>
                <c:pt idx="0">
                  <c:v>-0.39</c:v>
                </c:pt>
                <c:pt idx="1">
                  <c:v>-0.14000000000000001</c:v>
                </c:pt>
                <c:pt idx="2">
                  <c:v>-0.69</c:v>
                </c:pt>
                <c:pt idx="3">
                  <c:v>1.2E-2</c:v>
                </c:pt>
                <c:pt idx="4">
                  <c:v>0.97</c:v>
                </c:pt>
                <c:pt idx="5">
                  <c:v>0.38</c:v>
                </c:pt>
                <c:pt idx="6">
                  <c:v>-0.46</c:v>
                </c:pt>
                <c:pt idx="7">
                  <c:v>-0.23</c:v>
                </c:pt>
                <c:pt idx="8">
                  <c:v>-0.17</c:v>
                </c:pt>
                <c:pt idx="9">
                  <c:v>-0.27</c:v>
                </c:pt>
                <c:pt idx="10">
                  <c:v>0.28000000000000003</c:v>
                </c:pt>
                <c:pt idx="11">
                  <c:v>-0.72</c:v>
                </c:pt>
              </c:numCache>
            </c:numRef>
          </c:val>
        </c:ser>
        <c:dLbls>
          <c:showLegendKey val="0"/>
          <c:showVal val="0"/>
          <c:showCatName val="0"/>
          <c:showSerName val="0"/>
          <c:showPercent val="0"/>
          <c:showBubbleSize val="0"/>
        </c:dLbls>
        <c:gapWidth val="150"/>
        <c:axId val="78215040"/>
        <c:axId val="78216576"/>
      </c:barChart>
      <c:catAx>
        <c:axId val="78215040"/>
        <c:scaling>
          <c:orientation val="minMax"/>
        </c:scaling>
        <c:delete val="0"/>
        <c:axPos val="b"/>
        <c:majorGridlines/>
        <c:majorTickMark val="out"/>
        <c:minorTickMark val="none"/>
        <c:tickLblPos val="nextTo"/>
        <c:crossAx val="78216576"/>
        <c:crosses val="autoZero"/>
        <c:auto val="1"/>
        <c:lblAlgn val="ctr"/>
        <c:lblOffset val="100"/>
        <c:noMultiLvlLbl val="0"/>
      </c:catAx>
      <c:valAx>
        <c:axId val="78216576"/>
        <c:scaling>
          <c:orientation val="minMax"/>
        </c:scaling>
        <c:delete val="0"/>
        <c:axPos val="l"/>
        <c:majorGridlines/>
        <c:title>
          <c:tx>
            <c:rich>
              <a:bodyPr rot="-5400000" vert="horz"/>
              <a:lstStyle/>
              <a:p>
                <a:pPr>
                  <a:defRPr/>
                </a:pPr>
                <a:r>
                  <a:rPr lang="en-US"/>
                  <a:t>$</a:t>
                </a:r>
              </a:p>
            </c:rich>
          </c:tx>
          <c:layout/>
          <c:overlay val="0"/>
        </c:title>
        <c:numFmt formatCode="General" sourceLinked="1"/>
        <c:majorTickMark val="out"/>
        <c:minorTickMark val="none"/>
        <c:tickLblPos val="nextTo"/>
        <c:crossAx val="7821504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Land Use</a:t>
            </a:r>
          </a:p>
        </c:rich>
      </c:tx>
      <c:layout/>
      <c:overlay val="0"/>
    </c:title>
    <c:autoTitleDeleted val="0"/>
    <c:plotArea>
      <c:layout/>
      <c:barChart>
        <c:barDir val="col"/>
        <c:grouping val="clustered"/>
        <c:varyColors val="0"/>
        <c:ser>
          <c:idx val="0"/>
          <c:order val="0"/>
          <c:tx>
            <c:strRef>
              <c:f>'[MainReportTables3.xlsx]Results Breakdown'!$D$333</c:f>
              <c:strCache>
                <c:ptCount val="1"/>
                <c:pt idx="0">
                  <c:v>LU</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Breakdown'!$E$333:$O$333</c:f>
              <c:numCache>
                <c:formatCode>0.00</c:formatCode>
                <c:ptCount val="11"/>
                <c:pt idx="0">
                  <c:v>7.7999999999999999E-6</c:v>
                </c:pt>
                <c:pt idx="1">
                  <c:v>7.3999999999999996E-5</c:v>
                </c:pt>
                <c:pt idx="2">
                  <c:v>1.5E-3</c:v>
                </c:pt>
                <c:pt idx="3">
                  <c:v>2.0999999999999999E-3</c:v>
                </c:pt>
                <c:pt idx="4">
                  <c:v>0</c:v>
                </c:pt>
                <c:pt idx="5">
                  <c:v>-1.2E-2</c:v>
                </c:pt>
                <c:pt idx="6">
                  <c:v>-1.4999999999999999E-2</c:v>
                </c:pt>
                <c:pt idx="7">
                  <c:v>-6.0000000000000002E-6</c:v>
                </c:pt>
                <c:pt idx="8">
                  <c:v>2.5000000000000001E-4</c:v>
                </c:pt>
                <c:pt idx="9">
                  <c:v>0</c:v>
                </c:pt>
                <c:pt idx="10" formatCode="General">
                  <c:v>-2.1999999999999999E-2</c:v>
                </c:pt>
              </c:numCache>
            </c:numRef>
          </c:val>
        </c:ser>
        <c:dLbls>
          <c:showLegendKey val="0"/>
          <c:showVal val="0"/>
          <c:showCatName val="0"/>
          <c:showSerName val="0"/>
          <c:showPercent val="0"/>
          <c:showBubbleSize val="0"/>
        </c:dLbls>
        <c:gapWidth val="150"/>
        <c:axId val="78906880"/>
        <c:axId val="78908416"/>
      </c:barChart>
      <c:catAx>
        <c:axId val="78906880"/>
        <c:scaling>
          <c:orientation val="minMax"/>
        </c:scaling>
        <c:delete val="0"/>
        <c:axPos val="b"/>
        <c:majorGridlines/>
        <c:majorTickMark val="out"/>
        <c:minorTickMark val="none"/>
        <c:tickLblPos val="low"/>
        <c:crossAx val="78908416"/>
        <c:crosses val="autoZero"/>
        <c:auto val="1"/>
        <c:lblAlgn val="ctr"/>
        <c:lblOffset val="100"/>
        <c:noMultiLvlLbl val="0"/>
      </c:catAx>
      <c:valAx>
        <c:axId val="78908416"/>
        <c:scaling>
          <c:orientation val="minMax"/>
        </c:scaling>
        <c:delete val="0"/>
        <c:axPos val="l"/>
        <c:majorGridlines/>
        <c:title>
          <c:tx>
            <c:rich>
              <a:bodyPr rot="-5400000" vert="horz"/>
              <a:lstStyle/>
              <a:p>
                <a:pPr>
                  <a:defRPr/>
                </a:pPr>
                <a:r>
                  <a:rPr lang="en-US"/>
                  <a:t>Ha.a</a:t>
                </a:r>
              </a:p>
            </c:rich>
          </c:tx>
          <c:layout/>
          <c:overlay val="0"/>
        </c:title>
        <c:numFmt formatCode="0.00" sourceLinked="1"/>
        <c:majorTickMark val="out"/>
        <c:minorTickMark val="none"/>
        <c:tickLblPos val="nextTo"/>
        <c:crossAx val="7890688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Land Use</a:t>
            </a:r>
          </a:p>
        </c:rich>
      </c:tx>
      <c:layout/>
      <c:overlay val="0"/>
    </c:title>
    <c:autoTitleDeleted val="0"/>
    <c:plotArea>
      <c:layout/>
      <c:barChart>
        <c:barDir val="col"/>
        <c:grouping val="clustered"/>
        <c:varyColors val="0"/>
        <c:ser>
          <c:idx val="0"/>
          <c:order val="0"/>
          <c:tx>
            <c:strRef>
              <c:f>'[MainReportTables3.xlsx]Material contrib'!$T$24</c:f>
              <c:strCache>
                <c:ptCount val="1"/>
                <c:pt idx="0">
                  <c:v>LU</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contrib'!$T$25:$T$36</c:f>
              <c:numCache>
                <c:formatCode>0.00</c:formatCode>
                <c:ptCount val="12"/>
                <c:pt idx="0">
                  <c:v>-2.0999999999999999E-5</c:v>
                </c:pt>
                <c:pt idx="1">
                  <c:v>1.4E-5</c:v>
                </c:pt>
                <c:pt idx="2">
                  <c:v>-2.3000000000000001E-4</c:v>
                </c:pt>
                <c:pt idx="3">
                  <c:v>-1.3999999999999999E-4</c:v>
                </c:pt>
                <c:pt idx="4">
                  <c:v>-1.6E-2</c:v>
                </c:pt>
                <c:pt idx="5">
                  <c:v>-6.4000000000000003E-3</c:v>
                </c:pt>
                <c:pt idx="6">
                  <c:v>-6.8000000000000001E-6</c:v>
                </c:pt>
                <c:pt idx="7">
                  <c:v>1.4E-5</c:v>
                </c:pt>
                <c:pt idx="8">
                  <c:v>1.1E-5</c:v>
                </c:pt>
                <c:pt idx="9">
                  <c:v>2.8E-5</c:v>
                </c:pt>
                <c:pt idx="10">
                  <c:v>6.6000000000000005E-5</c:v>
                </c:pt>
                <c:pt idx="11">
                  <c:v>-2.1999999999999999E-2</c:v>
                </c:pt>
              </c:numCache>
            </c:numRef>
          </c:val>
        </c:ser>
        <c:dLbls>
          <c:showLegendKey val="0"/>
          <c:showVal val="0"/>
          <c:showCatName val="0"/>
          <c:showSerName val="0"/>
          <c:showPercent val="0"/>
          <c:showBubbleSize val="0"/>
        </c:dLbls>
        <c:gapWidth val="150"/>
        <c:axId val="78931072"/>
        <c:axId val="78932608"/>
      </c:barChart>
      <c:catAx>
        <c:axId val="78931072"/>
        <c:scaling>
          <c:orientation val="minMax"/>
        </c:scaling>
        <c:delete val="0"/>
        <c:axPos val="b"/>
        <c:majorGridlines/>
        <c:majorTickMark val="out"/>
        <c:minorTickMark val="none"/>
        <c:tickLblPos val="nextTo"/>
        <c:crossAx val="78932608"/>
        <c:crosses val="autoZero"/>
        <c:auto val="1"/>
        <c:lblAlgn val="ctr"/>
        <c:lblOffset val="100"/>
        <c:noMultiLvlLbl val="0"/>
      </c:catAx>
      <c:valAx>
        <c:axId val="78932608"/>
        <c:scaling>
          <c:orientation val="minMax"/>
        </c:scaling>
        <c:delete val="0"/>
        <c:axPos val="l"/>
        <c:majorGridlines/>
        <c:title>
          <c:tx>
            <c:rich>
              <a:bodyPr rot="-5400000" vert="horz"/>
              <a:lstStyle/>
              <a:p>
                <a:pPr>
                  <a:defRPr/>
                </a:pPr>
                <a:r>
                  <a:rPr lang="en-US"/>
                  <a:t>Ha.a</a:t>
                </a:r>
              </a:p>
            </c:rich>
          </c:tx>
          <c:layout/>
          <c:overlay val="0"/>
        </c:title>
        <c:numFmt formatCode="0.00" sourceLinked="1"/>
        <c:majorTickMark val="out"/>
        <c:minorTickMark val="none"/>
        <c:tickLblPos val="nextTo"/>
        <c:crossAx val="7893107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Water Use</a:t>
            </a:r>
          </a:p>
        </c:rich>
      </c:tx>
      <c:layout/>
      <c:overlay val="0"/>
    </c:title>
    <c:autoTitleDeleted val="0"/>
    <c:plotArea>
      <c:layout/>
      <c:barChart>
        <c:barDir val="col"/>
        <c:grouping val="clustered"/>
        <c:varyColors val="0"/>
        <c:ser>
          <c:idx val="0"/>
          <c:order val="0"/>
          <c:tx>
            <c:strRef>
              <c:f>'[MainReportTables3.xlsx]Results Breakdown'!$D$334</c:f>
              <c:strCache>
                <c:ptCount val="1"/>
                <c:pt idx="0">
                  <c:v>WU</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Breakdown'!$E$334:$O$334</c:f>
              <c:numCache>
                <c:formatCode>General</c:formatCode>
                <c:ptCount val="11"/>
                <c:pt idx="0">
                  <c:v>4.1000000000000002E-2</c:v>
                </c:pt>
                <c:pt idx="1">
                  <c:v>3.5000000000000003E-2</c:v>
                </c:pt>
                <c:pt idx="2">
                  <c:v>0.3</c:v>
                </c:pt>
                <c:pt idx="3">
                  <c:v>1.8</c:v>
                </c:pt>
                <c:pt idx="4">
                  <c:v>0</c:v>
                </c:pt>
                <c:pt idx="5">
                  <c:v>-3.4</c:v>
                </c:pt>
                <c:pt idx="6">
                  <c:v>-3.6</c:v>
                </c:pt>
                <c:pt idx="7">
                  <c:v>-3.1E-2</c:v>
                </c:pt>
                <c:pt idx="8">
                  <c:v>2.9000000000000001E-2</c:v>
                </c:pt>
                <c:pt idx="9">
                  <c:v>0</c:v>
                </c:pt>
                <c:pt idx="10">
                  <c:v>-4.9000000000000004</c:v>
                </c:pt>
              </c:numCache>
            </c:numRef>
          </c:val>
        </c:ser>
        <c:dLbls>
          <c:showLegendKey val="0"/>
          <c:showVal val="0"/>
          <c:showCatName val="0"/>
          <c:showSerName val="0"/>
          <c:showPercent val="0"/>
          <c:showBubbleSize val="0"/>
        </c:dLbls>
        <c:gapWidth val="150"/>
        <c:axId val="81998592"/>
        <c:axId val="82000128"/>
      </c:barChart>
      <c:catAx>
        <c:axId val="81998592"/>
        <c:scaling>
          <c:orientation val="minMax"/>
        </c:scaling>
        <c:delete val="0"/>
        <c:axPos val="b"/>
        <c:majorGridlines/>
        <c:majorTickMark val="out"/>
        <c:minorTickMark val="none"/>
        <c:tickLblPos val="low"/>
        <c:crossAx val="82000128"/>
        <c:crosses val="autoZero"/>
        <c:auto val="1"/>
        <c:lblAlgn val="ctr"/>
        <c:lblOffset val="100"/>
        <c:noMultiLvlLbl val="0"/>
      </c:catAx>
      <c:valAx>
        <c:axId val="82000128"/>
        <c:scaling>
          <c:orientation val="minMax"/>
        </c:scaling>
        <c:delete val="0"/>
        <c:axPos val="l"/>
        <c:majorGridlines/>
        <c:title>
          <c:tx>
            <c:rich>
              <a:bodyPr rot="-5400000" vert="horz"/>
              <a:lstStyle/>
              <a:p>
                <a:pPr>
                  <a:defRPr/>
                </a:pPr>
                <a:r>
                  <a:rPr lang="en-US"/>
                  <a:t>kL H2O</a:t>
                </a:r>
              </a:p>
            </c:rich>
          </c:tx>
          <c:layout/>
          <c:overlay val="0"/>
        </c:title>
        <c:numFmt formatCode="General" sourceLinked="1"/>
        <c:majorTickMark val="out"/>
        <c:minorTickMark val="none"/>
        <c:tickLblPos val="nextTo"/>
        <c:crossAx val="8199859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Water Use</a:t>
            </a:r>
          </a:p>
        </c:rich>
      </c:tx>
      <c:layout/>
      <c:overlay val="0"/>
    </c:title>
    <c:autoTitleDeleted val="0"/>
    <c:plotArea>
      <c:layout/>
      <c:barChart>
        <c:barDir val="col"/>
        <c:grouping val="clustered"/>
        <c:varyColors val="0"/>
        <c:ser>
          <c:idx val="0"/>
          <c:order val="0"/>
          <c:tx>
            <c:strRef>
              <c:f>'[MainReportTables3.xlsx]Material contrib'!$U$24</c:f>
              <c:strCache>
                <c:ptCount val="1"/>
                <c:pt idx="0">
                  <c:v>WU</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contrib'!$U$25:$U$36</c:f>
              <c:numCache>
                <c:formatCode>General</c:formatCode>
                <c:ptCount val="12"/>
                <c:pt idx="0">
                  <c:v>-6.7000000000000004E-2</c:v>
                </c:pt>
                <c:pt idx="1">
                  <c:v>-0.34</c:v>
                </c:pt>
                <c:pt idx="2">
                  <c:v>-8.7999999999999995E-2</c:v>
                </c:pt>
                <c:pt idx="3">
                  <c:v>-1.0999999999999999E-2</c:v>
                </c:pt>
                <c:pt idx="4">
                  <c:v>-1.2</c:v>
                </c:pt>
                <c:pt idx="5">
                  <c:v>-0.5</c:v>
                </c:pt>
                <c:pt idx="6">
                  <c:v>-0.55000000000000004</c:v>
                </c:pt>
                <c:pt idx="7">
                  <c:v>-9.0999999999999998E-2</c:v>
                </c:pt>
                <c:pt idx="8">
                  <c:v>-6.7000000000000004E-2</c:v>
                </c:pt>
                <c:pt idx="9">
                  <c:v>-0.21</c:v>
                </c:pt>
                <c:pt idx="10">
                  <c:v>-1.7</c:v>
                </c:pt>
                <c:pt idx="11">
                  <c:v>-4.9000000000000004</c:v>
                </c:pt>
              </c:numCache>
            </c:numRef>
          </c:val>
        </c:ser>
        <c:dLbls>
          <c:showLegendKey val="0"/>
          <c:showVal val="0"/>
          <c:showCatName val="0"/>
          <c:showSerName val="0"/>
          <c:showPercent val="0"/>
          <c:showBubbleSize val="0"/>
        </c:dLbls>
        <c:gapWidth val="150"/>
        <c:axId val="82038784"/>
        <c:axId val="82040320"/>
      </c:barChart>
      <c:catAx>
        <c:axId val="82038784"/>
        <c:scaling>
          <c:orientation val="minMax"/>
        </c:scaling>
        <c:delete val="0"/>
        <c:axPos val="b"/>
        <c:majorGridlines/>
        <c:majorTickMark val="out"/>
        <c:minorTickMark val="none"/>
        <c:tickLblPos val="nextTo"/>
        <c:crossAx val="82040320"/>
        <c:crosses val="autoZero"/>
        <c:auto val="1"/>
        <c:lblAlgn val="ctr"/>
        <c:lblOffset val="100"/>
        <c:noMultiLvlLbl val="0"/>
      </c:catAx>
      <c:valAx>
        <c:axId val="82040320"/>
        <c:scaling>
          <c:orientation val="minMax"/>
        </c:scaling>
        <c:delete val="0"/>
        <c:axPos val="l"/>
        <c:majorGridlines/>
        <c:title>
          <c:tx>
            <c:rich>
              <a:bodyPr rot="-5400000" vert="horz"/>
              <a:lstStyle/>
              <a:p>
                <a:pPr>
                  <a:defRPr/>
                </a:pPr>
                <a:r>
                  <a:rPr lang="en-US"/>
                  <a:t>kL H2O</a:t>
                </a:r>
              </a:p>
            </c:rich>
          </c:tx>
          <c:layout/>
          <c:overlay val="0"/>
        </c:title>
        <c:numFmt formatCode="General" sourceLinked="1"/>
        <c:majorTickMark val="out"/>
        <c:minorTickMark val="none"/>
        <c:tickLblPos val="nextTo"/>
        <c:crossAx val="82038784"/>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Solid Waste</a:t>
            </a:r>
          </a:p>
        </c:rich>
      </c:tx>
      <c:layout/>
      <c:overlay val="0"/>
    </c:title>
    <c:autoTitleDeleted val="0"/>
    <c:plotArea>
      <c:layout/>
      <c:barChart>
        <c:barDir val="col"/>
        <c:grouping val="clustered"/>
        <c:varyColors val="0"/>
        <c:ser>
          <c:idx val="0"/>
          <c:order val="0"/>
          <c:tx>
            <c:strRef>
              <c:f>'[MainReportTables3.xlsx]Results Breakdown'!$D$335</c:f>
              <c:strCache>
                <c:ptCount val="1"/>
                <c:pt idx="0">
                  <c:v>SW</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Breakdown'!$E$335:$O$335</c:f>
              <c:numCache>
                <c:formatCode>General</c:formatCode>
                <c:ptCount val="11"/>
                <c:pt idx="0">
                  <c:v>1.1000000000000001</c:v>
                </c:pt>
                <c:pt idx="1">
                  <c:v>18</c:v>
                </c:pt>
                <c:pt idx="2">
                  <c:v>56</c:v>
                </c:pt>
                <c:pt idx="3">
                  <c:v>15</c:v>
                </c:pt>
                <c:pt idx="4">
                  <c:v>0</c:v>
                </c:pt>
                <c:pt idx="5">
                  <c:v>-12</c:v>
                </c:pt>
                <c:pt idx="6">
                  <c:v>-6.2</c:v>
                </c:pt>
                <c:pt idx="7">
                  <c:v>-0.82</c:v>
                </c:pt>
                <c:pt idx="8">
                  <c:v>-350</c:v>
                </c:pt>
                <c:pt idx="9">
                  <c:v>0</c:v>
                </c:pt>
                <c:pt idx="10">
                  <c:v>-280</c:v>
                </c:pt>
              </c:numCache>
            </c:numRef>
          </c:val>
        </c:ser>
        <c:dLbls>
          <c:showLegendKey val="0"/>
          <c:showVal val="0"/>
          <c:showCatName val="0"/>
          <c:showSerName val="0"/>
          <c:showPercent val="0"/>
          <c:showBubbleSize val="0"/>
        </c:dLbls>
        <c:gapWidth val="150"/>
        <c:axId val="82066432"/>
        <c:axId val="82092800"/>
      </c:barChart>
      <c:catAx>
        <c:axId val="82066432"/>
        <c:scaling>
          <c:orientation val="minMax"/>
        </c:scaling>
        <c:delete val="0"/>
        <c:axPos val="b"/>
        <c:majorGridlines/>
        <c:majorTickMark val="out"/>
        <c:minorTickMark val="none"/>
        <c:tickLblPos val="low"/>
        <c:crossAx val="82092800"/>
        <c:crosses val="autoZero"/>
        <c:auto val="1"/>
        <c:lblAlgn val="ctr"/>
        <c:lblOffset val="100"/>
        <c:noMultiLvlLbl val="0"/>
      </c:catAx>
      <c:valAx>
        <c:axId val="82092800"/>
        <c:scaling>
          <c:orientation val="minMax"/>
        </c:scaling>
        <c:delete val="0"/>
        <c:axPos val="l"/>
        <c:majorGridlines/>
        <c:title>
          <c:tx>
            <c:rich>
              <a:bodyPr rot="-5400000" vert="horz"/>
              <a:lstStyle/>
              <a:p>
                <a:pPr>
                  <a:defRPr/>
                </a:pPr>
                <a:r>
                  <a:rPr lang="en-US"/>
                  <a:t>kg</a:t>
                </a:r>
              </a:p>
            </c:rich>
          </c:tx>
          <c:layout/>
          <c:overlay val="0"/>
        </c:title>
        <c:numFmt formatCode="General" sourceLinked="1"/>
        <c:majorTickMark val="out"/>
        <c:minorTickMark val="none"/>
        <c:tickLblPos val="nextTo"/>
        <c:crossAx val="8206643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Solid Waste</a:t>
            </a:r>
          </a:p>
        </c:rich>
      </c:tx>
      <c:layout/>
      <c:overlay val="0"/>
    </c:title>
    <c:autoTitleDeleted val="0"/>
    <c:plotArea>
      <c:layout/>
      <c:barChart>
        <c:barDir val="col"/>
        <c:grouping val="clustered"/>
        <c:varyColors val="0"/>
        <c:ser>
          <c:idx val="0"/>
          <c:order val="0"/>
          <c:tx>
            <c:strRef>
              <c:f>'[MainReportTables3.xlsx]Material contrib'!$V$24</c:f>
              <c:strCache>
                <c:ptCount val="1"/>
                <c:pt idx="0">
                  <c:v>SW</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contrib'!$V$25:$V$36</c:f>
              <c:numCache>
                <c:formatCode>General</c:formatCode>
                <c:ptCount val="12"/>
                <c:pt idx="0">
                  <c:v>-79</c:v>
                </c:pt>
                <c:pt idx="1">
                  <c:v>-7.1</c:v>
                </c:pt>
                <c:pt idx="2">
                  <c:v>-14</c:v>
                </c:pt>
                <c:pt idx="3">
                  <c:v>-0.5</c:v>
                </c:pt>
                <c:pt idx="4">
                  <c:v>-73</c:v>
                </c:pt>
                <c:pt idx="5">
                  <c:v>-31</c:v>
                </c:pt>
                <c:pt idx="6">
                  <c:v>-7.9</c:v>
                </c:pt>
                <c:pt idx="7">
                  <c:v>-3.6</c:v>
                </c:pt>
                <c:pt idx="8">
                  <c:v>-2.7</c:v>
                </c:pt>
                <c:pt idx="9">
                  <c:v>-7.3</c:v>
                </c:pt>
                <c:pt idx="10">
                  <c:v>-51</c:v>
                </c:pt>
                <c:pt idx="11">
                  <c:v>-280</c:v>
                </c:pt>
              </c:numCache>
            </c:numRef>
          </c:val>
        </c:ser>
        <c:dLbls>
          <c:showLegendKey val="0"/>
          <c:showVal val="0"/>
          <c:showCatName val="0"/>
          <c:showSerName val="0"/>
          <c:showPercent val="0"/>
          <c:showBubbleSize val="0"/>
        </c:dLbls>
        <c:gapWidth val="150"/>
        <c:axId val="82106624"/>
        <c:axId val="82112512"/>
      </c:barChart>
      <c:catAx>
        <c:axId val="82106624"/>
        <c:scaling>
          <c:orientation val="minMax"/>
        </c:scaling>
        <c:delete val="0"/>
        <c:axPos val="b"/>
        <c:majorGridlines/>
        <c:majorTickMark val="out"/>
        <c:minorTickMark val="none"/>
        <c:tickLblPos val="nextTo"/>
        <c:crossAx val="82112512"/>
        <c:crosses val="autoZero"/>
        <c:auto val="1"/>
        <c:lblAlgn val="ctr"/>
        <c:lblOffset val="100"/>
        <c:noMultiLvlLbl val="0"/>
      </c:catAx>
      <c:valAx>
        <c:axId val="82112512"/>
        <c:scaling>
          <c:orientation val="minMax"/>
        </c:scaling>
        <c:delete val="0"/>
        <c:axPos val="l"/>
        <c:majorGridlines/>
        <c:title>
          <c:tx>
            <c:rich>
              <a:bodyPr rot="-5400000" vert="horz"/>
              <a:lstStyle/>
              <a:p>
                <a:pPr>
                  <a:defRPr/>
                </a:pPr>
                <a:r>
                  <a:rPr lang="en-US"/>
                  <a:t>kg</a:t>
                </a:r>
              </a:p>
            </c:rich>
          </c:tx>
          <c:layout>
            <c:manualLayout>
              <c:xMode val="edge"/>
              <c:yMode val="edge"/>
              <c:x val="2.3809523809523808E-2"/>
              <c:y val="0.33588987886442279"/>
            </c:manualLayout>
          </c:layout>
          <c:overlay val="0"/>
        </c:title>
        <c:numFmt formatCode="General" sourceLinked="1"/>
        <c:majorTickMark val="out"/>
        <c:minorTickMark val="none"/>
        <c:tickLblPos val="nextTo"/>
        <c:crossAx val="82106624"/>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a:t>Global Warming</a:t>
            </a:r>
          </a:p>
          <a:p>
            <a:pPr>
              <a:defRPr sz="1400"/>
            </a:pPr>
            <a:r>
              <a:rPr lang="en-AU" sz="1400"/>
              <a:t>1 kg resin</a:t>
            </a:r>
          </a:p>
        </c:rich>
      </c:tx>
      <c:layout/>
      <c:overlay val="0"/>
    </c:title>
    <c:autoTitleDeleted val="0"/>
    <c:plotArea>
      <c:layout/>
      <c:barChart>
        <c:barDir val="col"/>
        <c:grouping val="clustered"/>
        <c:varyColors val="0"/>
        <c:ser>
          <c:idx val="0"/>
          <c:order val="0"/>
          <c:tx>
            <c:strRef>
              <c:f>Production!$C$12</c:f>
              <c:strCache>
                <c:ptCount val="1"/>
                <c:pt idx="0">
                  <c:v>AUPLCI</c:v>
                </c:pt>
              </c:strCache>
            </c:strRef>
          </c:tx>
          <c:invertIfNegative val="0"/>
          <c:cat>
            <c:strRef>
              <c:f>Production!$D$11:$I$11</c:f>
              <c:strCache>
                <c:ptCount val="6"/>
                <c:pt idx="0">
                  <c:v>PET</c:v>
                </c:pt>
                <c:pt idx="1">
                  <c:v>HDPE</c:v>
                </c:pt>
                <c:pt idx="2">
                  <c:v>PVC</c:v>
                </c:pt>
                <c:pt idx="3">
                  <c:v>LDPE</c:v>
                </c:pt>
                <c:pt idx="4">
                  <c:v>PS</c:v>
                </c:pt>
                <c:pt idx="5">
                  <c:v>PP</c:v>
                </c:pt>
              </c:strCache>
            </c:strRef>
          </c:cat>
          <c:val>
            <c:numRef>
              <c:f>Production!$D$12:$I$12</c:f>
              <c:numCache>
                <c:formatCode>General</c:formatCode>
                <c:ptCount val="6"/>
                <c:pt idx="0">
                  <c:v>2.87</c:v>
                </c:pt>
                <c:pt idx="1">
                  <c:v>4.7</c:v>
                </c:pt>
                <c:pt idx="2">
                  <c:v>2.4</c:v>
                </c:pt>
                <c:pt idx="3">
                  <c:v>2.1</c:v>
                </c:pt>
                <c:pt idx="4">
                  <c:v>1.69</c:v>
                </c:pt>
                <c:pt idx="5">
                  <c:v>2.52</c:v>
                </c:pt>
              </c:numCache>
            </c:numRef>
          </c:val>
        </c:ser>
        <c:ser>
          <c:idx val="1"/>
          <c:order val="1"/>
          <c:tx>
            <c:strRef>
              <c:f>Production!$C$13</c:f>
              <c:strCache>
                <c:ptCount val="1"/>
                <c:pt idx="0">
                  <c:v>Ecoinvent</c:v>
                </c:pt>
              </c:strCache>
            </c:strRef>
          </c:tx>
          <c:invertIfNegative val="0"/>
          <c:cat>
            <c:strRef>
              <c:f>Production!$D$11:$I$11</c:f>
              <c:strCache>
                <c:ptCount val="6"/>
                <c:pt idx="0">
                  <c:v>PET</c:v>
                </c:pt>
                <c:pt idx="1">
                  <c:v>HDPE</c:v>
                </c:pt>
                <c:pt idx="2">
                  <c:v>PVC</c:v>
                </c:pt>
                <c:pt idx="3">
                  <c:v>LDPE</c:v>
                </c:pt>
                <c:pt idx="4">
                  <c:v>PS</c:v>
                </c:pt>
                <c:pt idx="5">
                  <c:v>PP</c:v>
                </c:pt>
              </c:strCache>
            </c:strRef>
          </c:cat>
          <c:val>
            <c:numRef>
              <c:f>Production!$D$13:$I$13</c:f>
              <c:numCache>
                <c:formatCode>General</c:formatCode>
                <c:ptCount val="6"/>
                <c:pt idx="0">
                  <c:v>2.89</c:v>
                </c:pt>
                <c:pt idx="1">
                  <c:v>1.93</c:v>
                </c:pt>
                <c:pt idx="2">
                  <c:v>4.9000000000000004</c:v>
                </c:pt>
                <c:pt idx="3">
                  <c:v>1.78</c:v>
                </c:pt>
                <c:pt idx="4">
                  <c:v>3.5</c:v>
                </c:pt>
                <c:pt idx="5">
                  <c:v>1.97</c:v>
                </c:pt>
              </c:numCache>
            </c:numRef>
          </c:val>
        </c:ser>
        <c:dLbls>
          <c:showLegendKey val="0"/>
          <c:showVal val="0"/>
          <c:showCatName val="0"/>
          <c:showSerName val="0"/>
          <c:showPercent val="0"/>
          <c:showBubbleSize val="0"/>
        </c:dLbls>
        <c:gapWidth val="150"/>
        <c:axId val="82109952"/>
        <c:axId val="82111488"/>
      </c:barChart>
      <c:catAx>
        <c:axId val="82109952"/>
        <c:scaling>
          <c:orientation val="minMax"/>
        </c:scaling>
        <c:delete val="0"/>
        <c:axPos val="b"/>
        <c:majorTickMark val="out"/>
        <c:minorTickMark val="none"/>
        <c:tickLblPos val="nextTo"/>
        <c:crossAx val="82111488"/>
        <c:crosses val="autoZero"/>
        <c:auto val="1"/>
        <c:lblAlgn val="ctr"/>
        <c:lblOffset val="100"/>
        <c:noMultiLvlLbl val="0"/>
      </c:catAx>
      <c:valAx>
        <c:axId val="82111488"/>
        <c:scaling>
          <c:orientation val="minMax"/>
        </c:scaling>
        <c:delete val="0"/>
        <c:axPos val="l"/>
        <c:majorGridlines/>
        <c:title>
          <c:tx>
            <c:rich>
              <a:bodyPr rot="-5400000" vert="horz"/>
              <a:lstStyle/>
              <a:p>
                <a:pPr>
                  <a:defRPr/>
                </a:pPr>
                <a:r>
                  <a:rPr lang="en-AU"/>
                  <a:t>kg CO2e</a:t>
                </a:r>
              </a:p>
            </c:rich>
          </c:tx>
          <c:layout/>
          <c:overlay val="0"/>
        </c:title>
        <c:numFmt formatCode="General" sourceLinked="1"/>
        <c:majorTickMark val="out"/>
        <c:minorTickMark val="none"/>
        <c:tickLblPos val="nextTo"/>
        <c:crossAx val="8210995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Energy Demand</a:t>
            </a:r>
          </a:p>
        </c:rich>
      </c:tx>
      <c:layout/>
      <c:overlay val="0"/>
    </c:title>
    <c:autoTitleDeleted val="0"/>
    <c:plotArea>
      <c:layout/>
      <c:barChart>
        <c:barDir val="col"/>
        <c:grouping val="clustered"/>
        <c:varyColors val="0"/>
        <c:ser>
          <c:idx val="0"/>
          <c:order val="0"/>
          <c:tx>
            <c:strRef>
              <c:f>'[MainReportTables3.xlsx]Results Breakdown'!$D$336</c:f>
              <c:strCache>
                <c:ptCount val="1"/>
                <c:pt idx="0">
                  <c:v>CED</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Breakdown'!$E$336:$O$336</c:f>
              <c:numCache>
                <c:formatCode>General</c:formatCode>
                <c:ptCount val="11"/>
                <c:pt idx="0">
                  <c:v>450</c:v>
                </c:pt>
                <c:pt idx="1">
                  <c:v>180</c:v>
                </c:pt>
                <c:pt idx="2">
                  <c:v>1500</c:v>
                </c:pt>
                <c:pt idx="3">
                  <c:v>1700</c:v>
                </c:pt>
                <c:pt idx="4">
                  <c:v>0</c:v>
                </c:pt>
                <c:pt idx="5">
                  <c:v>-2600</c:v>
                </c:pt>
                <c:pt idx="6">
                  <c:v>-2800</c:v>
                </c:pt>
                <c:pt idx="7">
                  <c:v>-450</c:v>
                </c:pt>
                <c:pt idx="8">
                  <c:v>13</c:v>
                </c:pt>
                <c:pt idx="9">
                  <c:v>0</c:v>
                </c:pt>
                <c:pt idx="10">
                  <c:v>-2100</c:v>
                </c:pt>
              </c:numCache>
            </c:numRef>
          </c:val>
        </c:ser>
        <c:dLbls>
          <c:showLegendKey val="0"/>
          <c:showVal val="0"/>
          <c:showCatName val="0"/>
          <c:showSerName val="0"/>
          <c:showPercent val="0"/>
          <c:showBubbleSize val="0"/>
        </c:dLbls>
        <c:gapWidth val="150"/>
        <c:axId val="82151296"/>
        <c:axId val="82152832"/>
      </c:barChart>
      <c:catAx>
        <c:axId val="82151296"/>
        <c:scaling>
          <c:orientation val="minMax"/>
        </c:scaling>
        <c:delete val="0"/>
        <c:axPos val="b"/>
        <c:majorGridlines/>
        <c:majorTickMark val="out"/>
        <c:minorTickMark val="none"/>
        <c:tickLblPos val="low"/>
        <c:crossAx val="82152832"/>
        <c:crosses val="autoZero"/>
        <c:auto val="1"/>
        <c:lblAlgn val="ctr"/>
        <c:lblOffset val="100"/>
        <c:noMultiLvlLbl val="0"/>
      </c:catAx>
      <c:valAx>
        <c:axId val="82152832"/>
        <c:scaling>
          <c:orientation val="minMax"/>
        </c:scaling>
        <c:delete val="0"/>
        <c:axPos val="l"/>
        <c:majorGridlines/>
        <c:title>
          <c:tx>
            <c:rich>
              <a:bodyPr rot="-5400000" vert="horz"/>
              <a:lstStyle/>
              <a:p>
                <a:pPr>
                  <a:defRPr/>
                </a:pPr>
                <a:r>
                  <a:rPr lang="en-US"/>
                  <a:t>MJ (LHV)</a:t>
                </a:r>
              </a:p>
            </c:rich>
          </c:tx>
          <c:layout/>
          <c:overlay val="0"/>
        </c:title>
        <c:numFmt formatCode="General" sourceLinked="1"/>
        <c:majorTickMark val="out"/>
        <c:minorTickMark val="none"/>
        <c:tickLblPos val="nextTo"/>
        <c:crossAx val="82151296"/>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Energy Demand</a:t>
            </a:r>
          </a:p>
        </c:rich>
      </c:tx>
      <c:layout/>
      <c:overlay val="0"/>
    </c:title>
    <c:autoTitleDeleted val="0"/>
    <c:plotArea>
      <c:layout/>
      <c:barChart>
        <c:barDir val="col"/>
        <c:grouping val="clustered"/>
        <c:varyColors val="0"/>
        <c:ser>
          <c:idx val="0"/>
          <c:order val="0"/>
          <c:tx>
            <c:strRef>
              <c:f>'[MainReportTables3.xlsx]Material contrib'!$W$24</c:f>
              <c:strCache>
                <c:ptCount val="1"/>
                <c:pt idx="0">
                  <c:v>CED</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contrib'!$W$25:$W$36</c:f>
              <c:numCache>
                <c:formatCode>General</c:formatCode>
                <c:ptCount val="12"/>
                <c:pt idx="0">
                  <c:v>-320</c:v>
                </c:pt>
                <c:pt idx="1">
                  <c:v>-120</c:v>
                </c:pt>
                <c:pt idx="2">
                  <c:v>-620</c:v>
                </c:pt>
                <c:pt idx="3">
                  <c:v>0.68</c:v>
                </c:pt>
                <c:pt idx="4">
                  <c:v>-40</c:v>
                </c:pt>
                <c:pt idx="5">
                  <c:v>-21</c:v>
                </c:pt>
                <c:pt idx="6">
                  <c:v>-440</c:v>
                </c:pt>
                <c:pt idx="7">
                  <c:v>-200</c:v>
                </c:pt>
                <c:pt idx="8">
                  <c:v>-150</c:v>
                </c:pt>
                <c:pt idx="9">
                  <c:v>-240</c:v>
                </c:pt>
                <c:pt idx="10">
                  <c:v>94</c:v>
                </c:pt>
                <c:pt idx="11">
                  <c:v>-2100</c:v>
                </c:pt>
              </c:numCache>
            </c:numRef>
          </c:val>
        </c:ser>
        <c:dLbls>
          <c:showLegendKey val="0"/>
          <c:showVal val="0"/>
          <c:showCatName val="0"/>
          <c:showSerName val="0"/>
          <c:showPercent val="0"/>
          <c:showBubbleSize val="0"/>
        </c:dLbls>
        <c:gapWidth val="150"/>
        <c:axId val="82261120"/>
        <c:axId val="82262656"/>
      </c:barChart>
      <c:catAx>
        <c:axId val="82261120"/>
        <c:scaling>
          <c:orientation val="minMax"/>
        </c:scaling>
        <c:delete val="0"/>
        <c:axPos val="b"/>
        <c:majorGridlines/>
        <c:majorTickMark val="out"/>
        <c:minorTickMark val="none"/>
        <c:tickLblPos val="nextTo"/>
        <c:crossAx val="82262656"/>
        <c:crosses val="autoZero"/>
        <c:auto val="1"/>
        <c:lblAlgn val="ctr"/>
        <c:lblOffset val="100"/>
        <c:noMultiLvlLbl val="0"/>
      </c:catAx>
      <c:valAx>
        <c:axId val="82262656"/>
        <c:scaling>
          <c:orientation val="minMax"/>
        </c:scaling>
        <c:delete val="0"/>
        <c:axPos val="l"/>
        <c:majorGridlines/>
        <c:title>
          <c:tx>
            <c:rich>
              <a:bodyPr rot="-5400000" vert="horz"/>
              <a:lstStyle/>
              <a:p>
                <a:pPr>
                  <a:defRPr/>
                </a:pPr>
                <a:r>
                  <a:rPr lang="en-US"/>
                  <a:t>MJ (LHV)</a:t>
                </a:r>
              </a:p>
            </c:rich>
          </c:tx>
          <c:layout>
            <c:manualLayout>
              <c:xMode val="edge"/>
              <c:yMode val="edge"/>
              <c:x val="2.3809523809523808E-2"/>
              <c:y val="0.33588987886442279"/>
            </c:manualLayout>
          </c:layout>
          <c:overlay val="0"/>
        </c:title>
        <c:numFmt formatCode="General" sourceLinked="1"/>
        <c:majorTickMark val="out"/>
        <c:minorTickMark val="none"/>
        <c:tickLblPos val="nextTo"/>
        <c:crossAx val="8226112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a:t>Cumulative Energy Demand</a:t>
            </a:r>
          </a:p>
          <a:p>
            <a:pPr>
              <a:defRPr sz="1400"/>
            </a:pPr>
            <a:r>
              <a:rPr lang="en-AU" sz="1400"/>
              <a:t>1 kg resin</a:t>
            </a:r>
          </a:p>
        </c:rich>
      </c:tx>
      <c:layout/>
      <c:overlay val="0"/>
    </c:title>
    <c:autoTitleDeleted val="0"/>
    <c:plotArea>
      <c:layout/>
      <c:barChart>
        <c:barDir val="col"/>
        <c:grouping val="clustered"/>
        <c:varyColors val="0"/>
        <c:ser>
          <c:idx val="0"/>
          <c:order val="0"/>
          <c:tx>
            <c:strRef>
              <c:f>Production!$C$17</c:f>
              <c:strCache>
                <c:ptCount val="1"/>
                <c:pt idx="0">
                  <c:v>AUPLCI</c:v>
                </c:pt>
              </c:strCache>
            </c:strRef>
          </c:tx>
          <c:invertIfNegative val="0"/>
          <c:cat>
            <c:strRef>
              <c:f>Production!$D$11:$I$11</c:f>
              <c:strCache>
                <c:ptCount val="6"/>
                <c:pt idx="0">
                  <c:v>PET</c:v>
                </c:pt>
                <c:pt idx="1">
                  <c:v>HDPE</c:v>
                </c:pt>
                <c:pt idx="2">
                  <c:v>PVC</c:v>
                </c:pt>
                <c:pt idx="3">
                  <c:v>LDPE</c:v>
                </c:pt>
                <c:pt idx="4">
                  <c:v>PS</c:v>
                </c:pt>
                <c:pt idx="5">
                  <c:v>PP</c:v>
                </c:pt>
              </c:strCache>
            </c:strRef>
          </c:cat>
          <c:val>
            <c:numRef>
              <c:f>Production!$D$17:$I$17</c:f>
              <c:numCache>
                <c:formatCode>General</c:formatCode>
                <c:ptCount val="6"/>
                <c:pt idx="0">
                  <c:v>87.4</c:v>
                </c:pt>
                <c:pt idx="1">
                  <c:v>123</c:v>
                </c:pt>
                <c:pt idx="2">
                  <c:v>59.1</c:v>
                </c:pt>
                <c:pt idx="3">
                  <c:v>91.8</c:v>
                </c:pt>
                <c:pt idx="4">
                  <c:v>118</c:v>
                </c:pt>
                <c:pt idx="5">
                  <c:v>83.4</c:v>
                </c:pt>
              </c:numCache>
            </c:numRef>
          </c:val>
        </c:ser>
        <c:ser>
          <c:idx val="1"/>
          <c:order val="1"/>
          <c:tx>
            <c:strRef>
              <c:f>Production!$C$18</c:f>
              <c:strCache>
                <c:ptCount val="1"/>
                <c:pt idx="0">
                  <c:v>Ecoinvent</c:v>
                </c:pt>
              </c:strCache>
            </c:strRef>
          </c:tx>
          <c:invertIfNegative val="0"/>
          <c:cat>
            <c:strRef>
              <c:f>Production!$D$11:$I$11</c:f>
              <c:strCache>
                <c:ptCount val="6"/>
                <c:pt idx="0">
                  <c:v>PET</c:v>
                </c:pt>
                <c:pt idx="1">
                  <c:v>HDPE</c:v>
                </c:pt>
                <c:pt idx="2">
                  <c:v>PVC</c:v>
                </c:pt>
                <c:pt idx="3">
                  <c:v>LDPE</c:v>
                </c:pt>
                <c:pt idx="4">
                  <c:v>PS</c:v>
                </c:pt>
                <c:pt idx="5">
                  <c:v>PP</c:v>
                </c:pt>
              </c:strCache>
            </c:strRef>
          </c:cat>
          <c:val>
            <c:numRef>
              <c:f>Production!$D$18:$I$18</c:f>
              <c:numCache>
                <c:formatCode>General</c:formatCode>
                <c:ptCount val="6"/>
                <c:pt idx="0">
                  <c:v>79.3</c:v>
                </c:pt>
                <c:pt idx="1">
                  <c:v>73.7</c:v>
                </c:pt>
                <c:pt idx="2">
                  <c:v>77.7</c:v>
                </c:pt>
                <c:pt idx="3">
                  <c:v>75.400000000000006</c:v>
                </c:pt>
                <c:pt idx="4">
                  <c:v>84.2</c:v>
                </c:pt>
                <c:pt idx="5">
                  <c:v>72</c:v>
                </c:pt>
              </c:numCache>
            </c:numRef>
          </c:val>
        </c:ser>
        <c:dLbls>
          <c:showLegendKey val="0"/>
          <c:showVal val="0"/>
          <c:showCatName val="0"/>
          <c:showSerName val="0"/>
          <c:showPercent val="0"/>
          <c:showBubbleSize val="0"/>
        </c:dLbls>
        <c:gapWidth val="150"/>
        <c:axId val="194395520"/>
        <c:axId val="202073216"/>
      </c:barChart>
      <c:catAx>
        <c:axId val="194395520"/>
        <c:scaling>
          <c:orientation val="minMax"/>
        </c:scaling>
        <c:delete val="0"/>
        <c:axPos val="b"/>
        <c:majorTickMark val="out"/>
        <c:minorTickMark val="none"/>
        <c:tickLblPos val="nextTo"/>
        <c:crossAx val="202073216"/>
        <c:crosses val="autoZero"/>
        <c:auto val="1"/>
        <c:lblAlgn val="ctr"/>
        <c:lblOffset val="100"/>
        <c:noMultiLvlLbl val="0"/>
      </c:catAx>
      <c:valAx>
        <c:axId val="202073216"/>
        <c:scaling>
          <c:orientation val="minMax"/>
        </c:scaling>
        <c:delete val="0"/>
        <c:axPos val="l"/>
        <c:majorGridlines/>
        <c:title>
          <c:tx>
            <c:rich>
              <a:bodyPr rot="-5400000" vert="horz"/>
              <a:lstStyle/>
              <a:p>
                <a:pPr>
                  <a:defRPr/>
                </a:pPr>
                <a:r>
                  <a:rPr lang="en-AU"/>
                  <a:t>MJ (LHV)</a:t>
                </a:r>
              </a:p>
            </c:rich>
          </c:tx>
          <c:layout/>
          <c:overlay val="0"/>
        </c:title>
        <c:numFmt formatCode="General" sourceLinked="1"/>
        <c:majorTickMark val="out"/>
        <c:minorTickMark val="none"/>
        <c:tickLblPos val="nextTo"/>
        <c:crossAx val="19439552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Global Warming</a:t>
            </a:r>
          </a:p>
        </c:rich>
      </c:tx>
      <c:layout/>
      <c:overlay val="0"/>
    </c:title>
    <c:autoTitleDeleted val="0"/>
    <c:plotArea>
      <c:layout/>
      <c:barChart>
        <c:barDir val="col"/>
        <c:grouping val="clustered"/>
        <c:varyColors val="0"/>
        <c:ser>
          <c:idx val="0"/>
          <c:order val="0"/>
          <c:tx>
            <c:strRef>
              <c:f>'[MainReportTables3.xlsx]Results Breakdown'!$D$328</c:f>
              <c:strCache>
                <c:ptCount val="1"/>
                <c:pt idx="0">
                  <c:v>GW</c:v>
                </c:pt>
              </c:strCache>
            </c:strRef>
          </c:tx>
          <c:invertIfNegative val="0"/>
          <c:dPt>
            <c:idx val="9"/>
            <c:invertIfNegative val="0"/>
            <c:bubble3D val="0"/>
            <c:spPr>
              <a:solidFill>
                <a:schemeClr val="accent1"/>
              </a:solidFill>
            </c:spPr>
          </c:dPt>
          <c:dPt>
            <c:idx val="10"/>
            <c:invertIfNegative val="0"/>
            <c:bubble3D val="0"/>
            <c:spPr>
              <a:solidFill>
                <a:schemeClr val="accent1"/>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Breakdown'!$E$328:$O$328</c:f>
              <c:numCache>
                <c:formatCode>General</c:formatCode>
                <c:ptCount val="11"/>
                <c:pt idx="0">
                  <c:v>27</c:v>
                </c:pt>
                <c:pt idx="1">
                  <c:v>22</c:v>
                </c:pt>
                <c:pt idx="2">
                  <c:v>140</c:v>
                </c:pt>
                <c:pt idx="3">
                  <c:v>150</c:v>
                </c:pt>
                <c:pt idx="4">
                  <c:v>-14</c:v>
                </c:pt>
                <c:pt idx="5">
                  <c:v>-170</c:v>
                </c:pt>
                <c:pt idx="6">
                  <c:v>-140</c:v>
                </c:pt>
                <c:pt idx="7">
                  <c:v>-28</c:v>
                </c:pt>
                <c:pt idx="8">
                  <c:v>-300</c:v>
                </c:pt>
                <c:pt idx="9">
                  <c:v>63</c:v>
                </c:pt>
                <c:pt idx="10">
                  <c:v>-250</c:v>
                </c:pt>
              </c:numCache>
            </c:numRef>
          </c:val>
        </c:ser>
        <c:dLbls>
          <c:showLegendKey val="0"/>
          <c:showVal val="0"/>
          <c:showCatName val="0"/>
          <c:showSerName val="0"/>
          <c:showPercent val="0"/>
          <c:showBubbleSize val="0"/>
        </c:dLbls>
        <c:gapWidth val="150"/>
        <c:axId val="243052928"/>
        <c:axId val="243056000"/>
      </c:barChart>
      <c:catAx>
        <c:axId val="243052928"/>
        <c:scaling>
          <c:orientation val="minMax"/>
        </c:scaling>
        <c:delete val="0"/>
        <c:axPos val="b"/>
        <c:majorGridlines/>
        <c:majorTickMark val="out"/>
        <c:minorTickMark val="none"/>
        <c:tickLblPos val="low"/>
        <c:crossAx val="243056000"/>
        <c:crosses val="autoZero"/>
        <c:auto val="1"/>
        <c:lblAlgn val="ctr"/>
        <c:lblOffset val="100"/>
        <c:noMultiLvlLbl val="0"/>
      </c:catAx>
      <c:valAx>
        <c:axId val="243056000"/>
        <c:scaling>
          <c:orientation val="minMax"/>
        </c:scaling>
        <c:delete val="0"/>
        <c:axPos val="l"/>
        <c:majorGridlines/>
        <c:title>
          <c:tx>
            <c:rich>
              <a:bodyPr rot="-5400000" vert="horz"/>
              <a:lstStyle/>
              <a:p>
                <a:pPr>
                  <a:defRPr/>
                </a:pPr>
                <a:r>
                  <a:rPr lang="en-US"/>
                  <a:t>kg CO2e</a:t>
                </a:r>
              </a:p>
            </c:rich>
          </c:tx>
          <c:layout/>
          <c:overlay val="0"/>
        </c:title>
        <c:numFmt formatCode="General" sourceLinked="1"/>
        <c:majorTickMark val="out"/>
        <c:minorTickMark val="none"/>
        <c:tickLblPos val="nextTo"/>
        <c:crossAx val="243052928"/>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Global Warming</a:t>
            </a:r>
          </a:p>
        </c:rich>
      </c:tx>
      <c:layout/>
      <c:overlay val="0"/>
    </c:title>
    <c:autoTitleDeleted val="0"/>
    <c:plotArea>
      <c:layout/>
      <c:barChart>
        <c:barDir val="col"/>
        <c:grouping val="clustered"/>
        <c:varyColors val="0"/>
        <c:ser>
          <c:idx val="0"/>
          <c:order val="0"/>
          <c:tx>
            <c:strRef>
              <c:f>'[MainReportTables3.xlsx]Material contrib'!$O$24</c:f>
              <c:strCache>
                <c:ptCount val="1"/>
                <c:pt idx="0">
                  <c:v>GW</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contrib'!$O$25:$O$36</c:f>
              <c:numCache>
                <c:formatCode>General</c:formatCode>
                <c:ptCount val="12"/>
                <c:pt idx="0">
                  <c:v>-38</c:v>
                </c:pt>
                <c:pt idx="1">
                  <c:v>-14</c:v>
                </c:pt>
                <c:pt idx="2">
                  <c:v>-50</c:v>
                </c:pt>
                <c:pt idx="3">
                  <c:v>-1.3</c:v>
                </c:pt>
                <c:pt idx="4">
                  <c:v>-50</c:v>
                </c:pt>
                <c:pt idx="5">
                  <c:v>-7.6</c:v>
                </c:pt>
                <c:pt idx="6">
                  <c:v>-9.6</c:v>
                </c:pt>
                <c:pt idx="7">
                  <c:v>-3.3</c:v>
                </c:pt>
                <c:pt idx="8">
                  <c:v>-2.4</c:v>
                </c:pt>
                <c:pt idx="9">
                  <c:v>-2.5</c:v>
                </c:pt>
                <c:pt idx="10">
                  <c:v>-68</c:v>
                </c:pt>
                <c:pt idx="11">
                  <c:v>-250</c:v>
                </c:pt>
              </c:numCache>
            </c:numRef>
          </c:val>
        </c:ser>
        <c:dLbls>
          <c:showLegendKey val="0"/>
          <c:showVal val="0"/>
          <c:showCatName val="0"/>
          <c:showSerName val="0"/>
          <c:showPercent val="0"/>
          <c:showBubbleSize val="0"/>
        </c:dLbls>
        <c:gapWidth val="150"/>
        <c:axId val="249061760"/>
        <c:axId val="249063296"/>
      </c:barChart>
      <c:catAx>
        <c:axId val="249061760"/>
        <c:scaling>
          <c:orientation val="minMax"/>
        </c:scaling>
        <c:delete val="0"/>
        <c:axPos val="b"/>
        <c:majorGridlines/>
        <c:majorTickMark val="out"/>
        <c:minorTickMark val="none"/>
        <c:tickLblPos val="nextTo"/>
        <c:crossAx val="249063296"/>
        <c:crosses val="autoZero"/>
        <c:auto val="1"/>
        <c:lblAlgn val="ctr"/>
        <c:lblOffset val="100"/>
        <c:noMultiLvlLbl val="0"/>
      </c:catAx>
      <c:valAx>
        <c:axId val="249063296"/>
        <c:scaling>
          <c:orientation val="minMax"/>
        </c:scaling>
        <c:delete val="0"/>
        <c:axPos val="l"/>
        <c:majorGridlines/>
        <c:title>
          <c:tx>
            <c:rich>
              <a:bodyPr rot="-5400000" vert="horz"/>
              <a:lstStyle/>
              <a:p>
                <a:pPr>
                  <a:defRPr/>
                </a:pPr>
                <a:r>
                  <a:rPr lang="en-US"/>
                  <a:t>kg CO2e</a:t>
                </a:r>
              </a:p>
            </c:rich>
          </c:tx>
          <c:layout/>
          <c:overlay val="0"/>
        </c:title>
        <c:numFmt formatCode="General" sourceLinked="1"/>
        <c:majorTickMark val="out"/>
        <c:minorTickMark val="none"/>
        <c:tickLblPos val="nextTo"/>
        <c:crossAx val="24906176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Eutrophication</a:t>
            </a:r>
          </a:p>
        </c:rich>
      </c:tx>
      <c:layout/>
      <c:overlay val="0"/>
    </c:title>
    <c:autoTitleDeleted val="0"/>
    <c:plotArea>
      <c:layout/>
      <c:barChart>
        <c:barDir val="col"/>
        <c:grouping val="clustered"/>
        <c:varyColors val="0"/>
        <c:ser>
          <c:idx val="0"/>
          <c:order val="0"/>
          <c:tx>
            <c:strRef>
              <c:f>'[MainReportTables3.xlsx]Results Breakdown'!$D$329</c:f>
              <c:strCache>
                <c:ptCount val="1"/>
                <c:pt idx="0">
                  <c:v>EU</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Breakdown'!$E$329:$O$329</c:f>
              <c:numCache>
                <c:formatCode>General</c:formatCode>
                <c:ptCount val="11"/>
                <c:pt idx="0">
                  <c:v>2.5000000000000001E-2</c:v>
                </c:pt>
                <c:pt idx="1">
                  <c:v>3.2000000000000001E-2</c:v>
                </c:pt>
                <c:pt idx="2">
                  <c:v>0.16</c:v>
                </c:pt>
                <c:pt idx="3">
                  <c:v>0.15</c:v>
                </c:pt>
                <c:pt idx="4">
                  <c:v>0</c:v>
                </c:pt>
                <c:pt idx="5">
                  <c:v>-0.13</c:v>
                </c:pt>
                <c:pt idx="6">
                  <c:v>-0.12</c:v>
                </c:pt>
                <c:pt idx="7">
                  <c:v>-2.5999999999999999E-2</c:v>
                </c:pt>
                <c:pt idx="8">
                  <c:v>-0.47</c:v>
                </c:pt>
                <c:pt idx="9">
                  <c:v>0</c:v>
                </c:pt>
                <c:pt idx="10">
                  <c:v>-0.38</c:v>
                </c:pt>
              </c:numCache>
            </c:numRef>
          </c:val>
        </c:ser>
        <c:dLbls>
          <c:showLegendKey val="0"/>
          <c:showVal val="0"/>
          <c:showCatName val="0"/>
          <c:showSerName val="0"/>
          <c:showPercent val="0"/>
          <c:showBubbleSize val="0"/>
        </c:dLbls>
        <c:gapWidth val="150"/>
        <c:axId val="280914176"/>
        <c:axId val="285549696"/>
      </c:barChart>
      <c:catAx>
        <c:axId val="280914176"/>
        <c:scaling>
          <c:orientation val="minMax"/>
        </c:scaling>
        <c:delete val="0"/>
        <c:axPos val="b"/>
        <c:majorGridlines/>
        <c:majorTickMark val="out"/>
        <c:minorTickMark val="none"/>
        <c:tickLblPos val="low"/>
        <c:crossAx val="285549696"/>
        <c:crosses val="autoZero"/>
        <c:auto val="1"/>
        <c:lblAlgn val="ctr"/>
        <c:lblOffset val="100"/>
        <c:noMultiLvlLbl val="0"/>
      </c:catAx>
      <c:valAx>
        <c:axId val="285549696"/>
        <c:scaling>
          <c:orientation val="minMax"/>
        </c:scaling>
        <c:delete val="0"/>
        <c:axPos val="l"/>
        <c:majorGridlines/>
        <c:title>
          <c:tx>
            <c:rich>
              <a:bodyPr rot="-5400000" vert="horz"/>
              <a:lstStyle/>
              <a:p>
                <a:pPr>
                  <a:defRPr/>
                </a:pPr>
                <a:r>
                  <a:rPr lang="en-US"/>
                  <a:t>kg PO4---eq</a:t>
                </a:r>
              </a:p>
            </c:rich>
          </c:tx>
          <c:layout/>
          <c:overlay val="0"/>
        </c:title>
        <c:numFmt formatCode="General" sourceLinked="1"/>
        <c:majorTickMark val="out"/>
        <c:minorTickMark val="none"/>
        <c:tickLblPos val="nextTo"/>
        <c:crossAx val="280914176"/>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Eutrophication</a:t>
            </a:r>
          </a:p>
        </c:rich>
      </c:tx>
      <c:layout/>
      <c:overlay val="0"/>
    </c:title>
    <c:autoTitleDeleted val="0"/>
    <c:plotArea>
      <c:layout/>
      <c:barChart>
        <c:barDir val="col"/>
        <c:grouping val="clustered"/>
        <c:varyColors val="0"/>
        <c:ser>
          <c:idx val="0"/>
          <c:order val="0"/>
          <c:tx>
            <c:strRef>
              <c:f>'[MainReportTables3.xlsx]Material contrib'!$P$24</c:f>
              <c:strCache>
                <c:ptCount val="1"/>
                <c:pt idx="0">
                  <c:v>EU</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contrib'!$P$25:$P$36</c:f>
              <c:numCache>
                <c:formatCode>General</c:formatCode>
                <c:ptCount val="12"/>
                <c:pt idx="0">
                  <c:v>-2.5999999999999999E-2</c:v>
                </c:pt>
                <c:pt idx="1">
                  <c:v>-2.8E-3</c:v>
                </c:pt>
                <c:pt idx="2">
                  <c:v>-2.3E-2</c:v>
                </c:pt>
                <c:pt idx="3">
                  <c:v>-2.0999999999999999E-3</c:v>
                </c:pt>
                <c:pt idx="4">
                  <c:v>-0.2</c:v>
                </c:pt>
                <c:pt idx="5">
                  <c:v>-7.1999999999999995E-2</c:v>
                </c:pt>
                <c:pt idx="6">
                  <c:v>-2.1999999999999999E-2</c:v>
                </c:pt>
                <c:pt idx="7">
                  <c:v>-1.6000000000000001E-4</c:v>
                </c:pt>
                <c:pt idx="8">
                  <c:v>2.0000000000000001E-4</c:v>
                </c:pt>
                <c:pt idx="9">
                  <c:v>3.4000000000000002E-4</c:v>
                </c:pt>
                <c:pt idx="10">
                  <c:v>-3.6999999999999998E-2</c:v>
                </c:pt>
                <c:pt idx="11">
                  <c:v>-0.38</c:v>
                </c:pt>
              </c:numCache>
            </c:numRef>
          </c:val>
        </c:ser>
        <c:dLbls>
          <c:showLegendKey val="0"/>
          <c:showVal val="0"/>
          <c:showCatName val="0"/>
          <c:showSerName val="0"/>
          <c:showPercent val="0"/>
          <c:showBubbleSize val="0"/>
        </c:dLbls>
        <c:gapWidth val="150"/>
        <c:axId val="288257920"/>
        <c:axId val="292614912"/>
      </c:barChart>
      <c:catAx>
        <c:axId val="288257920"/>
        <c:scaling>
          <c:orientation val="minMax"/>
        </c:scaling>
        <c:delete val="0"/>
        <c:axPos val="b"/>
        <c:majorGridlines/>
        <c:majorTickMark val="out"/>
        <c:minorTickMark val="none"/>
        <c:tickLblPos val="nextTo"/>
        <c:crossAx val="292614912"/>
        <c:crosses val="autoZero"/>
        <c:auto val="1"/>
        <c:lblAlgn val="ctr"/>
        <c:lblOffset val="100"/>
        <c:noMultiLvlLbl val="0"/>
      </c:catAx>
      <c:valAx>
        <c:axId val="292614912"/>
        <c:scaling>
          <c:orientation val="minMax"/>
        </c:scaling>
        <c:delete val="0"/>
        <c:axPos val="l"/>
        <c:majorGridlines/>
        <c:title>
          <c:tx>
            <c:rich>
              <a:bodyPr rot="-5400000" vert="horz"/>
              <a:lstStyle/>
              <a:p>
                <a:pPr>
                  <a:defRPr/>
                </a:pPr>
                <a:r>
                  <a:rPr lang="en-US"/>
                  <a:t>kg PO4---eq</a:t>
                </a:r>
              </a:p>
            </c:rich>
          </c:tx>
          <c:layout/>
          <c:overlay val="0"/>
        </c:title>
        <c:numFmt formatCode="General" sourceLinked="1"/>
        <c:majorTickMark val="out"/>
        <c:minorTickMark val="none"/>
        <c:tickLblPos val="nextTo"/>
        <c:crossAx val="28825792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Photochemical Oxidation</a:t>
            </a:r>
          </a:p>
        </c:rich>
      </c:tx>
      <c:layout/>
      <c:overlay val="0"/>
    </c:title>
    <c:autoTitleDeleted val="0"/>
    <c:plotArea>
      <c:layout/>
      <c:barChart>
        <c:barDir val="col"/>
        <c:grouping val="clustered"/>
        <c:varyColors val="0"/>
        <c:ser>
          <c:idx val="0"/>
          <c:order val="0"/>
          <c:tx>
            <c:strRef>
              <c:f>'[MainReportTables3.xlsx]Results Breakdown'!$D$330</c:f>
              <c:strCache>
                <c:ptCount val="1"/>
                <c:pt idx="0">
                  <c:v>PO</c:v>
                </c:pt>
              </c:strCache>
            </c:strRef>
          </c:tx>
          <c:invertIfNegative val="0"/>
          <c:dPt>
            <c:idx val="9"/>
            <c:invertIfNegative val="0"/>
            <c:bubble3D val="0"/>
            <c:spPr>
              <a:solidFill>
                <a:schemeClr val="accent3"/>
              </a:solidFill>
            </c:spPr>
          </c:dPt>
          <c:cat>
            <c:strRef>
              <c:f>'[MainReportTables3.xlsx]Results Breakdown'!$E$327:$O$327</c:f>
              <c:strCache>
                <c:ptCount val="11"/>
                <c:pt idx="0">
                  <c:v>Collection Recycling</c:v>
                </c:pt>
                <c:pt idx="1">
                  <c:v>Sorting</c:v>
                </c:pt>
                <c:pt idx="2">
                  <c:v>Reprocess Local</c:v>
                </c:pt>
                <c:pt idx="3">
                  <c:v>Reprocess International</c:v>
                </c:pt>
                <c:pt idx="4">
                  <c:v>Soil carbon storage</c:v>
                </c:pt>
                <c:pt idx="5">
                  <c:v>Production Local</c:v>
                </c:pt>
                <c:pt idx="6">
                  <c:v>Production International</c:v>
                </c:pt>
                <c:pt idx="7">
                  <c:v>Collection Landfill</c:v>
                </c:pt>
                <c:pt idx="8">
                  <c:v>Disposal operations</c:v>
                </c:pt>
                <c:pt idx="9">
                  <c:v>Landfill carbon storage</c:v>
                </c:pt>
                <c:pt idx="10">
                  <c:v>Net Outcome (Benefit)/ Burden</c:v>
                </c:pt>
              </c:strCache>
            </c:strRef>
          </c:cat>
          <c:val>
            <c:numRef>
              <c:f>'[MainReportTables3.xlsx]Results Breakdown'!$E$330:$O$330</c:f>
              <c:numCache>
                <c:formatCode>General</c:formatCode>
                <c:ptCount val="11"/>
                <c:pt idx="0">
                  <c:v>0.21</c:v>
                </c:pt>
                <c:pt idx="1">
                  <c:v>8.8999999999999996E-2</c:v>
                </c:pt>
                <c:pt idx="2">
                  <c:v>0.77</c:v>
                </c:pt>
                <c:pt idx="3">
                  <c:v>0.73</c:v>
                </c:pt>
                <c:pt idx="4">
                  <c:v>0</c:v>
                </c:pt>
                <c:pt idx="5">
                  <c:v>-0.91</c:v>
                </c:pt>
                <c:pt idx="6">
                  <c:v>-0.72</c:v>
                </c:pt>
                <c:pt idx="7">
                  <c:v>-0.22</c:v>
                </c:pt>
                <c:pt idx="8">
                  <c:v>-1.1000000000000001</c:v>
                </c:pt>
                <c:pt idx="9">
                  <c:v>0</c:v>
                </c:pt>
                <c:pt idx="10">
                  <c:v>-1.2</c:v>
                </c:pt>
              </c:numCache>
            </c:numRef>
          </c:val>
        </c:ser>
        <c:dLbls>
          <c:showLegendKey val="0"/>
          <c:showVal val="0"/>
          <c:showCatName val="0"/>
          <c:showSerName val="0"/>
          <c:showPercent val="0"/>
          <c:showBubbleSize val="0"/>
        </c:dLbls>
        <c:gapWidth val="150"/>
        <c:axId val="297994880"/>
        <c:axId val="298127744"/>
      </c:barChart>
      <c:catAx>
        <c:axId val="297994880"/>
        <c:scaling>
          <c:orientation val="minMax"/>
        </c:scaling>
        <c:delete val="0"/>
        <c:axPos val="b"/>
        <c:majorGridlines/>
        <c:majorTickMark val="out"/>
        <c:minorTickMark val="none"/>
        <c:tickLblPos val="low"/>
        <c:crossAx val="298127744"/>
        <c:crosses val="autoZero"/>
        <c:auto val="1"/>
        <c:lblAlgn val="ctr"/>
        <c:lblOffset val="100"/>
        <c:noMultiLvlLbl val="0"/>
      </c:catAx>
      <c:valAx>
        <c:axId val="298127744"/>
        <c:scaling>
          <c:orientation val="minMax"/>
        </c:scaling>
        <c:delete val="0"/>
        <c:axPos val="l"/>
        <c:majorGridlines/>
        <c:title>
          <c:tx>
            <c:rich>
              <a:bodyPr rot="-5400000" vert="horz"/>
              <a:lstStyle/>
              <a:p>
                <a:pPr>
                  <a:defRPr/>
                </a:pPr>
                <a:r>
                  <a:rPr lang="en-US"/>
                  <a:t>kg NMVOC</a:t>
                </a:r>
              </a:p>
            </c:rich>
          </c:tx>
          <c:layout/>
          <c:overlay val="0"/>
        </c:title>
        <c:numFmt formatCode="General" sourceLinked="1"/>
        <c:majorTickMark val="out"/>
        <c:minorTickMark val="none"/>
        <c:tickLblPos val="nextTo"/>
        <c:crossAx val="29799488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Photochemical Oxidation</a:t>
            </a:r>
          </a:p>
        </c:rich>
      </c:tx>
      <c:layout/>
      <c:overlay val="0"/>
    </c:title>
    <c:autoTitleDeleted val="0"/>
    <c:plotArea>
      <c:layout/>
      <c:barChart>
        <c:barDir val="col"/>
        <c:grouping val="clustered"/>
        <c:varyColors val="0"/>
        <c:ser>
          <c:idx val="0"/>
          <c:order val="0"/>
          <c:tx>
            <c:strRef>
              <c:f>'[MainReportTables3.xlsx]Material contrib'!$Q$24</c:f>
              <c:strCache>
                <c:ptCount val="1"/>
                <c:pt idx="0">
                  <c:v>PO</c:v>
                </c:pt>
              </c:strCache>
            </c:strRef>
          </c:tx>
          <c:invertIfNegative val="0"/>
          <c:cat>
            <c:strRef>
              <c:f>'[MainReportTables3.xlsx]Material contrib'!$N$25:$N$36</c:f>
              <c:strCache>
                <c:ptCount val="12"/>
                <c:pt idx="0">
                  <c:v>Glass bottles</c:v>
                </c:pt>
                <c:pt idx="1">
                  <c:v>Steel cans</c:v>
                </c:pt>
                <c:pt idx="2">
                  <c:v>Alum. Cans</c:v>
                </c:pt>
                <c:pt idx="3">
                  <c:v>Paper - white</c:v>
                </c:pt>
                <c:pt idx="4">
                  <c:v>Paper - mixed</c:v>
                </c:pt>
                <c:pt idx="5">
                  <c:v>Paper - card</c:v>
                </c:pt>
                <c:pt idx="6">
                  <c:v>Plastic - PET</c:v>
                </c:pt>
                <c:pt idx="7">
                  <c:v>Plastic - HDPE</c:v>
                </c:pt>
                <c:pt idx="8">
                  <c:v>Plastic - HDPE (col)</c:v>
                </c:pt>
                <c:pt idx="9">
                  <c:v>Plastic - mixed</c:v>
                </c:pt>
                <c:pt idx="10">
                  <c:v>Garden and green</c:v>
                </c:pt>
                <c:pt idx="11">
                  <c:v>Total</c:v>
                </c:pt>
              </c:strCache>
            </c:strRef>
          </c:cat>
          <c:val>
            <c:numRef>
              <c:f>'[MainReportTables3.xlsx]Material contrib'!$Q$25:$Q$36</c:f>
              <c:numCache>
                <c:formatCode>General</c:formatCode>
                <c:ptCount val="12"/>
                <c:pt idx="0">
                  <c:v>-0.17</c:v>
                </c:pt>
                <c:pt idx="1">
                  <c:v>-3.2000000000000001E-2</c:v>
                </c:pt>
                <c:pt idx="2">
                  <c:v>-0.23</c:v>
                </c:pt>
                <c:pt idx="3">
                  <c:v>-4.1000000000000003E-3</c:v>
                </c:pt>
                <c:pt idx="4">
                  <c:v>-0.2</c:v>
                </c:pt>
                <c:pt idx="5">
                  <c:v>-7.2999999999999995E-2</c:v>
                </c:pt>
                <c:pt idx="6">
                  <c:v>-2.1000000000000001E-2</c:v>
                </c:pt>
                <c:pt idx="7">
                  <c:v>-1.9E-2</c:v>
                </c:pt>
                <c:pt idx="8">
                  <c:v>-1.2E-2</c:v>
                </c:pt>
                <c:pt idx="9">
                  <c:v>-9.7000000000000003E-3</c:v>
                </c:pt>
                <c:pt idx="10">
                  <c:v>-0.44</c:v>
                </c:pt>
                <c:pt idx="11">
                  <c:v>-1.2</c:v>
                </c:pt>
              </c:numCache>
            </c:numRef>
          </c:val>
        </c:ser>
        <c:dLbls>
          <c:showLegendKey val="0"/>
          <c:showVal val="0"/>
          <c:showCatName val="0"/>
          <c:showSerName val="0"/>
          <c:showPercent val="0"/>
          <c:showBubbleSize val="0"/>
        </c:dLbls>
        <c:gapWidth val="150"/>
        <c:axId val="76705792"/>
        <c:axId val="76707328"/>
      </c:barChart>
      <c:catAx>
        <c:axId val="76705792"/>
        <c:scaling>
          <c:orientation val="minMax"/>
        </c:scaling>
        <c:delete val="0"/>
        <c:axPos val="b"/>
        <c:majorGridlines/>
        <c:majorTickMark val="out"/>
        <c:minorTickMark val="none"/>
        <c:tickLblPos val="nextTo"/>
        <c:crossAx val="76707328"/>
        <c:crosses val="autoZero"/>
        <c:auto val="1"/>
        <c:lblAlgn val="ctr"/>
        <c:lblOffset val="100"/>
        <c:noMultiLvlLbl val="0"/>
      </c:catAx>
      <c:valAx>
        <c:axId val="76707328"/>
        <c:scaling>
          <c:orientation val="minMax"/>
        </c:scaling>
        <c:delete val="0"/>
        <c:axPos val="l"/>
        <c:majorGridlines/>
        <c:title>
          <c:tx>
            <c:rich>
              <a:bodyPr rot="-5400000" vert="horz"/>
              <a:lstStyle/>
              <a:p>
                <a:pPr>
                  <a:defRPr/>
                </a:pPr>
                <a:r>
                  <a:rPr lang="en-US"/>
                  <a:t>kg NMVOC</a:t>
                </a:r>
              </a:p>
            </c:rich>
          </c:tx>
          <c:layout/>
          <c:overlay val="0"/>
        </c:title>
        <c:numFmt formatCode="General" sourceLinked="1"/>
        <c:majorTickMark val="out"/>
        <c:minorTickMark val="none"/>
        <c:tickLblPos val="nextTo"/>
        <c:crossAx val="7670579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D5917-DA44-47D4-8078-AE0D54EA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132</Pages>
  <Words>65833</Words>
  <Characters>375250</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Project Title</vt:lpstr>
    </vt:vector>
  </TitlesOfParts>
  <Company>Hewlett-Packard</Company>
  <LinksUpToDate>false</LinksUpToDate>
  <CharactersWithSpaces>440203</CharactersWithSpaces>
  <SharedDoc>false</SharedDoc>
  <HLinks>
    <vt:vector size="1218" baseType="variant">
      <vt:variant>
        <vt:i4>4653089</vt:i4>
      </vt:variant>
      <vt:variant>
        <vt:i4>1485</vt:i4>
      </vt:variant>
      <vt:variant>
        <vt:i4>0</vt:i4>
      </vt:variant>
      <vt:variant>
        <vt:i4>5</vt:i4>
      </vt:variant>
      <vt:variant>
        <vt:lpwstr>http://www.lca-net.com/publications/critical_review/</vt:lpwstr>
      </vt:variant>
      <vt:variant>
        <vt:lpwstr/>
      </vt:variant>
      <vt:variant>
        <vt:i4>1507332</vt:i4>
      </vt:variant>
      <vt:variant>
        <vt:i4>1482</vt:i4>
      </vt:variant>
      <vt:variant>
        <vt:i4>0</vt:i4>
      </vt:variant>
      <vt:variant>
        <vt:i4>5</vt:i4>
      </vt:variant>
      <vt:variant>
        <vt:lpwstr>http://www.easewaste.dk/</vt:lpwstr>
      </vt:variant>
      <vt:variant>
        <vt:lpwstr/>
      </vt:variant>
      <vt:variant>
        <vt:i4>6553633</vt:i4>
      </vt:variant>
      <vt:variant>
        <vt:i4>1479</vt:i4>
      </vt:variant>
      <vt:variant>
        <vt:i4>0</vt:i4>
      </vt:variant>
      <vt:variant>
        <vt:i4>5</vt:i4>
      </vt:variant>
      <vt:variant>
        <vt:lpwstr>http://www.skmrecycling.com/processesUsed.html</vt:lpwstr>
      </vt:variant>
      <vt:variant>
        <vt:lpwstr/>
      </vt:variant>
      <vt:variant>
        <vt:i4>1441795</vt:i4>
      </vt:variant>
      <vt:variant>
        <vt:i4>1476</vt:i4>
      </vt:variant>
      <vt:variant>
        <vt:i4>0</vt:i4>
      </vt:variant>
      <vt:variant>
        <vt:i4>5</vt:i4>
      </vt:variant>
      <vt:variant>
        <vt:lpwstr>http://www.rethink.vic.gov.au/pdf/MRF.pdf</vt:lpwstr>
      </vt:variant>
      <vt:variant>
        <vt:lpwstr/>
      </vt:variant>
      <vt:variant>
        <vt:i4>589913</vt:i4>
      </vt:variant>
      <vt:variant>
        <vt:i4>1473</vt:i4>
      </vt:variant>
      <vt:variant>
        <vt:i4>0</vt:i4>
      </vt:variant>
      <vt:variant>
        <vt:i4>5</vt:i4>
      </vt:variant>
      <vt:variant>
        <vt:lpwstr>http://www.cfd.rmit.edu.au)/</vt:lpwstr>
      </vt:variant>
      <vt:variant>
        <vt:lpwstr/>
      </vt:variant>
      <vt:variant>
        <vt:i4>7995428</vt:i4>
      </vt:variant>
      <vt:variant>
        <vt:i4>1470</vt:i4>
      </vt:variant>
      <vt:variant>
        <vt:i4>0</vt:i4>
      </vt:variant>
      <vt:variant>
        <vt:i4>5</vt:i4>
      </vt:variant>
      <vt:variant>
        <vt:lpwstr>http://www.epem.gr/waste-c-control/database/default.htm</vt:lpwstr>
      </vt:variant>
      <vt:variant>
        <vt:lpwstr/>
      </vt:variant>
      <vt:variant>
        <vt:i4>4194315</vt:i4>
      </vt:variant>
      <vt:variant>
        <vt:i4>1464</vt:i4>
      </vt:variant>
      <vt:variant>
        <vt:i4>0</vt:i4>
      </vt:variant>
      <vt:variant>
        <vt:i4>5</vt:i4>
      </vt:variant>
      <vt:variant>
        <vt:lpwstr/>
      </vt:variant>
      <vt:variant>
        <vt:lpwstr>_ENREF_11</vt:lpwstr>
      </vt:variant>
      <vt:variant>
        <vt:i4>4456459</vt:i4>
      </vt:variant>
      <vt:variant>
        <vt:i4>1458</vt:i4>
      </vt:variant>
      <vt:variant>
        <vt:i4>0</vt:i4>
      </vt:variant>
      <vt:variant>
        <vt:i4>5</vt:i4>
      </vt:variant>
      <vt:variant>
        <vt:lpwstr/>
      </vt:variant>
      <vt:variant>
        <vt:lpwstr>_ENREF_53</vt:lpwstr>
      </vt:variant>
      <vt:variant>
        <vt:i4>4653067</vt:i4>
      </vt:variant>
      <vt:variant>
        <vt:i4>1440</vt:i4>
      </vt:variant>
      <vt:variant>
        <vt:i4>0</vt:i4>
      </vt:variant>
      <vt:variant>
        <vt:i4>5</vt:i4>
      </vt:variant>
      <vt:variant>
        <vt:lpwstr/>
      </vt:variant>
      <vt:variant>
        <vt:lpwstr>_ENREF_64</vt:lpwstr>
      </vt:variant>
      <vt:variant>
        <vt:i4>4390923</vt:i4>
      </vt:variant>
      <vt:variant>
        <vt:i4>1431</vt:i4>
      </vt:variant>
      <vt:variant>
        <vt:i4>0</vt:i4>
      </vt:variant>
      <vt:variant>
        <vt:i4>5</vt:i4>
      </vt:variant>
      <vt:variant>
        <vt:lpwstr/>
      </vt:variant>
      <vt:variant>
        <vt:lpwstr>_ENREF_22</vt:lpwstr>
      </vt:variant>
      <vt:variant>
        <vt:i4>4325387</vt:i4>
      </vt:variant>
      <vt:variant>
        <vt:i4>1413</vt:i4>
      </vt:variant>
      <vt:variant>
        <vt:i4>0</vt:i4>
      </vt:variant>
      <vt:variant>
        <vt:i4>5</vt:i4>
      </vt:variant>
      <vt:variant>
        <vt:lpwstr/>
      </vt:variant>
      <vt:variant>
        <vt:lpwstr>_ENREF_33</vt:lpwstr>
      </vt:variant>
      <vt:variant>
        <vt:i4>4456459</vt:i4>
      </vt:variant>
      <vt:variant>
        <vt:i4>1401</vt:i4>
      </vt:variant>
      <vt:variant>
        <vt:i4>0</vt:i4>
      </vt:variant>
      <vt:variant>
        <vt:i4>5</vt:i4>
      </vt:variant>
      <vt:variant>
        <vt:lpwstr/>
      </vt:variant>
      <vt:variant>
        <vt:lpwstr>_ENREF_55</vt:lpwstr>
      </vt:variant>
      <vt:variant>
        <vt:i4>4456459</vt:i4>
      </vt:variant>
      <vt:variant>
        <vt:i4>1389</vt:i4>
      </vt:variant>
      <vt:variant>
        <vt:i4>0</vt:i4>
      </vt:variant>
      <vt:variant>
        <vt:i4>5</vt:i4>
      </vt:variant>
      <vt:variant>
        <vt:lpwstr/>
      </vt:variant>
      <vt:variant>
        <vt:lpwstr>_ENREF_55</vt:lpwstr>
      </vt:variant>
      <vt:variant>
        <vt:i4>4456459</vt:i4>
      </vt:variant>
      <vt:variant>
        <vt:i4>1368</vt:i4>
      </vt:variant>
      <vt:variant>
        <vt:i4>0</vt:i4>
      </vt:variant>
      <vt:variant>
        <vt:i4>5</vt:i4>
      </vt:variant>
      <vt:variant>
        <vt:lpwstr/>
      </vt:variant>
      <vt:variant>
        <vt:lpwstr>_ENREF_55</vt:lpwstr>
      </vt:variant>
      <vt:variant>
        <vt:i4>4456459</vt:i4>
      </vt:variant>
      <vt:variant>
        <vt:i4>1359</vt:i4>
      </vt:variant>
      <vt:variant>
        <vt:i4>0</vt:i4>
      </vt:variant>
      <vt:variant>
        <vt:i4>5</vt:i4>
      </vt:variant>
      <vt:variant>
        <vt:lpwstr/>
      </vt:variant>
      <vt:variant>
        <vt:lpwstr>_ENREF_55</vt:lpwstr>
      </vt:variant>
      <vt:variant>
        <vt:i4>4456459</vt:i4>
      </vt:variant>
      <vt:variant>
        <vt:i4>1338</vt:i4>
      </vt:variant>
      <vt:variant>
        <vt:i4>0</vt:i4>
      </vt:variant>
      <vt:variant>
        <vt:i4>5</vt:i4>
      </vt:variant>
      <vt:variant>
        <vt:lpwstr/>
      </vt:variant>
      <vt:variant>
        <vt:lpwstr>_ENREF_55</vt:lpwstr>
      </vt:variant>
      <vt:variant>
        <vt:i4>4456459</vt:i4>
      </vt:variant>
      <vt:variant>
        <vt:i4>1326</vt:i4>
      </vt:variant>
      <vt:variant>
        <vt:i4>0</vt:i4>
      </vt:variant>
      <vt:variant>
        <vt:i4>5</vt:i4>
      </vt:variant>
      <vt:variant>
        <vt:lpwstr/>
      </vt:variant>
      <vt:variant>
        <vt:lpwstr>_ENREF_55</vt:lpwstr>
      </vt:variant>
      <vt:variant>
        <vt:i4>4456459</vt:i4>
      </vt:variant>
      <vt:variant>
        <vt:i4>1293</vt:i4>
      </vt:variant>
      <vt:variant>
        <vt:i4>0</vt:i4>
      </vt:variant>
      <vt:variant>
        <vt:i4>5</vt:i4>
      </vt:variant>
      <vt:variant>
        <vt:lpwstr/>
      </vt:variant>
      <vt:variant>
        <vt:lpwstr>_ENREF_52</vt:lpwstr>
      </vt:variant>
      <vt:variant>
        <vt:i4>4456459</vt:i4>
      </vt:variant>
      <vt:variant>
        <vt:i4>1275</vt:i4>
      </vt:variant>
      <vt:variant>
        <vt:i4>0</vt:i4>
      </vt:variant>
      <vt:variant>
        <vt:i4>5</vt:i4>
      </vt:variant>
      <vt:variant>
        <vt:lpwstr/>
      </vt:variant>
      <vt:variant>
        <vt:lpwstr>_ENREF_52</vt:lpwstr>
      </vt:variant>
      <vt:variant>
        <vt:i4>4390923</vt:i4>
      </vt:variant>
      <vt:variant>
        <vt:i4>1269</vt:i4>
      </vt:variant>
      <vt:variant>
        <vt:i4>0</vt:i4>
      </vt:variant>
      <vt:variant>
        <vt:i4>5</vt:i4>
      </vt:variant>
      <vt:variant>
        <vt:lpwstr/>
      </vt:variant>
      <vt:variant>
        <vt:lpwstr>_ENREF_22</vt:lpwstr>
      </vt:variant>
      <vt:variant>
        <vt:i4>4653067</vt:i4>
      </vt:variant>
      <vt:variant>
        <vt:i4>1260</vt:i4>
      </vt:variant>
      <vt:variant>
        <vt:i4>0</vt:i4>
      </vt:variant>
      <vt:variant>
        <vt:i4>5</vt:i4>
      </vt:variant>
      <vt:variant>
        <vt:lpwstr/>
      </vt:variant>
      <vt:variant>
        <vt:lpwstr>_ENREF_63</vt:lpwstr>
      </vt:variant>
      <vt:variant>
        <vt:i4>4653067</vt:i4>
      </vt:variant>
      <vt:variant>
        <vt:i4>1254</vt:i4>
      </vt:variant>
      <vt:variant>
        <vt:i4>0</vt:i4>
      </vt:variant>
      <vt:variant>
        <vt:i4>5</vt:i4>
      </vt:variant>
      <vt:variant>
        <vt:lpwstr/>
      </vt:variant>
      <vt:variant>
        <vt:lpwstr>_ENREF_63</vt:lpwstr>
      </vt:variant>
      <vt:variant>
        <vt:i4>4325387</vt:i4>
      </vt:variant>
      <vt:variant>
        <vt:i4>1245</vt:i4>
      </vt:variant>
      <vt:variant>
        <vt:i4>0</vt:i4>
      </vt:variant>
      <vt:variant>
        <vt:i4>5</vt:i4>
      </vt:variant>
      <vt:variant>
        <vt:lpwstr/>
      </vt:variant>
      <vt:variant>
        <vt:lpwstr>_ENREF_34</vt:lpwstr>
      </vt:variant>
      <vt:variant>
        <vt:i4>4325387</vt:i4>
      </vt:variant>
      <vt:variant>
        <vt:i4>1239</vt:i4>
      </vt:variant>
      <vt:variant>
        <vt:i4>0</vt:i4>
      </vt:variant>
      <vt:variant>
        <vt:i4>5</vt:i4>
      </vt:variant>
      <vt:variant>
        <vt:lpwstr/>
      </vt:variant>
      <vt:variant>
        <vt:lpwstr>_ENREF_34</vt:lpwstr>
      </vt:variant>
      <vt:variant>
        <vt:i4>4653067</vt:i4>
      </vt:variant>
      <vt:variant>
        <vt:i4>1233</vt:i4>
      </vt:variant>
      <vt:variant>
        <vt:i4>0</vt:i4>
      </vt:variant>
      <vt:variant>
        <vt:i4>5</vt:i4>
      </vt:variant>
      <vt:variant>
        <vt:lpwstr/>
      </vt:variant>
      <vt:variant>
        <vt:lpwstr>_ENREF_63</vt:lpwstr>
      </vt:variant>
      <vt:variant>
        <vt:i4>4325387</vt:i4>
      </vt:variant>
      <vt:variant>
        <vt:i4>1227</vt:i4>
      </vt:variant>
      <vt:variant>
        <vt:i4>0</vt:i4>
      </vt:variant>
      <vt:variant>
        <vt:i4>5</vt:i4>
      </vt:variant>
      <vt:variant>
        <vt:lpwstr/>
      </vt:variant>
      <vt:variant>
        <vt:lpwstr>_ENREF_34</vt:lpwstr>
      </vt:variant>
      <vt:variant>
        <vt:i4>4390923</vt:i4>
      </vt:variant>
      <vt:variant>
        <vt:i4>1221</vt:i4>
      </vt:variant>
      <vt:variant>
        <vt:i4>0</vt:i4>
      </vt:variant>
      <vt:variant>
        <vt:i4>5</vt:i4>
      </vt:variant>
      <vt:variant>
        <vt:lpwstr/>
      </vt:variant>
      <vt:variant>
        <vt:lpwstr>_ENREF_22</vt:lpwstr>
      </vt:variant>
      <vt:variant>
        <vt:i4>4653067</vt:i4>
      </vt:variant>
      <vt:variant>
        <vt:i4>1215</vt:i4>
      </vt:variant>
      <vt:variant>
        <vt:i4>0</vt:i4>
      </vt:variant>
      <vt:variant>
        <vt:i4>5</vt:i4>
      </vt:variant>
      <vt:variant>
        <vt:lpwstr/>
      </vt:variant>
      <vt:variant>
        <vt:lpwstr>_ENREF_63</vt:lpwstr>
      </vt:variant>
      <vt:variant>
        <vt:i4>4653067</vt:i4>
      </vt:variant>
      <vt:variant>
        <vt:i4>1209</vt:i4>
      </vt:variant>
      <vt:variant>
        <vt:i4>0</vt:i4>
      </vt:variant>
      <vt:variant>
        <vt:i4>5</vt:i4>
      </vt:variant>
      <vt:variant>
        <vt:lpwstr/>
      </vt:variant>
      <vt:variant>
        <vt:lpwstr>_ENREF_63</vt:lpwstr>
      </vt:variant>
      <vt:variant>
        <vt:i4>4653067</vt:i4>
      </vt:variant>
      <vt:variant>
        <vt:i4>1203</vt:i4>
      </vt:variant>
      <vt:variant>
        <vt:i4>0</vt:i4>
      </vt:variant>
      <vt:variant>
        <vt:i4>5</vt:i4>
      </vt:variant>
      <vt:variant>
        <vt:lpwstr/>
      </vt:variant>
      <vt:variant>
        <vt:lpwstr>_ENREF_63</vt:lpwstr>
      </vt:variant>
      <vt:variant>
        <vt:i4>4456459</vt:i4>
      </vt:variant>
      <vt:variant>
        <vt:i4>1197</vt:i4>
      </vt:variant>
      <vt:variant>
        <vt:i4>0</vt:i4>
      </vt:variant>
      <vt:variant>
        <vt:i4>5</vt:i4>
      </vt:variant>
      <vt:variant>
        <vt:lpwstr/>
      </vt:variant>
      <vt:variant>
        <vt:lpwstr>_ENREF_52</vt:lpwstr>
      </vt:variant>
      <vt:variant>
        <vt:i4>4390923</vt:i4>
      </vt:variant>
      <vt:variant>
        <vt:i4>1191</vt:i4>
      </vt:variant>
      <vt:variant>
        <vt:i4>0</vt:i4>
      </vt:variant>
      <vt:variant>
        <vt:i4>5</vt:i4>
      </vt:variant>
      <vt:variant>
        <vt:lpwstr/>
      </vt:variant>
      <vt:variant>
        <vt:lpwstr>_ENREF_22</vt:lpwstr>
      </vt:variant>
      <vt:variant>
        <vt:i4>4390923</vt:i4>
      </vt:variant>
      <vt:variant>
        <vt:i4>1182</vt:i4>
      </vt:variant>
      <vt:variant>
        <vt:i4>0</vt:i4>
      </vt:variant>
      <vt:variant>
        <vt:i4>5</vt:i4>
      </vt:variant>
      <vt:variant>
        <vt:lpwstr/>
      </vt:variant>
      <vt:variant>
        <vt:lpwstr>_ENREF_29</vt:lpwstr>
      </vt:variant>
      <vt:variant>
        <vt:i4>4194315</vt:i4>
      </vt:variant>
      <vt:variant>
        <vt:i4>1176</vt:i4>
      </vt:variant>
      <vt:variant>
        <vt:i4>0</vt:i4>
      </vt:variant>
      <vt:variant>
        <vt:i4>5</vt:i4>
      </vt:variant>
      <vt:variant>
        <vt:lpwstr/>
      </vt:variant>
      <vt:variant>
        <vt:lpwstr>_ENREF_10</vt:lpwstr>
      </vt:variant>
      <vt:variant>
        <vt:i4>4653067</vt:i4>
      </vt:variant>
      <vt:variant>
        <vt:i4>1170</vt:i4>
      </vt:variant>
      <vt:variant>
        <vt:i4>0</vt:i4>
      </vt:variant>
      <vt:variant>
        <vt:i4>5</vt:i4>
      </vt:variant>
      <vt:variant>
        <vt:lpwstr/>
      </vt:variant>
      <vt:variant>
        <vt:lpwstr>_ENREF_66</vt:lpwstr>
      </vt:variant>
      <vt:variant>
        <vt:i4>4653067</vt:i4>
      </vt:variant>
      <vt:variant>
        <vt:i4>1161</vt:i4>
      </vt:variant>
      <vt:variant>
        <vt:i4>0</vt:i4>
      </vt:variant>
      <vt:variant>
        <vt:i4>5</vt:i4>
      </vt:variant>
      <vt:variant>
        <vt:lpwstr/>
      </vt:variant>
      <vt:variant>
        <vt:lpwstr>_ENREF_61</vt:lpwstr>
      </vt:variant>
      <vt:variant>
        <vt:i4>4653067</vt:i4>
      </vt:variant>
      <vt:variant>
        <vt:i4>1155</vt:i4>
      </vt:variant>
      <vt:variant>
        <vt:i4>0</vt:i4>
      </vt:variant>
      <vt:variant>
        <vt:i4>5</vt:i4>
      </vt:variant>
      <vt:variant>
        <vt:lpwstr/>
      </vt:variant>
      <vt:variant>
        <vt:lpwstr>_ENREF_60</vt:lpwstr>
      </vt:variant>
      <vt:variant>
        <vt:i4>4325387</vt:i4>
      </vt:variant>
      <vt:variant>
        <vt:i4>1140</vt:i4>
      </vt:variant>
      <vt:variant>
        <vt:i4>0</vt:i4>
      </vt:variant>
      <vt:variant>
        <vt:i4>5</vt:i4>
      </vt:variant>
      <vt:variant>
        <vt:lpwstr/>
      </vt:variant>
      <vt:variant>
        <vt:lpwstr>_ENREF_3</vt:lpwstr>
      </vt:variant>
      <vt:variant>
        <vt:i4>4325387</vt:i4>
      </vt:variant>
      <vt:variant>
        <vt:i4>1134</vt:i4>
      </vt:variant>
      <vt:variant>
        <vt:i4>0</vt:i4>
      </vt:variant>
      <vt:variant>
        <vt:i4>5</vt:i4>
      </vt:variant>
      <vt:variant>
        <vt:lpwstr/>
      </vt:variant>
      <vt:variant>
        <vt:lpwstr>_ENREF_36</vt:lpwstr>
      </vt:variant>
      <vt:variant>
        <vt:i4>4521995</vt:i4>
      </vt:variant>
      <vt:variant>
        <vt:i4>1128</vt:i4>
      </vt:variant>
      <vt:variant>
        <vt:i4>0</vt:i4>
      </vt:variant>
      <vt:variant>
        <vt:i4>5</vt:i4>
      </vt:variant>
      <vt:variant>
        <vt:lpwstr/>
      </vt:variant>
      <vt:variant>
        <vt:lpwstr>_ENREF_40</vt:lpwstr>
      </vt:variant>
      <vt:variant>
        <vt:i4>4653067</vt:i4>
      </vt:variant>
      <vt:variant>
        <vt:i4>1122</vt:i4>
      </vt:variant>
      <vt:variant>
        <vt:i4>0</vt:i4>
      </vt:variant>
      <vt:variant>
        <vt:i4>5</vt:i4>
      </vt:variant>
      <vt:variant>
        <vt:lpwstr/>
      </vt:variant>
      <vt:variant>
        <vt:lpwstr>_ENREF_62</vt:lpwstr>
      </vt:variant>
      <vt:variant>
        <vt:i4>4653067</vt:i4>
      </vt:variant>
      <vt:variant>
        <vt:i4>1116</vt:i4>
      </vt:variant>
      <vt:variant>
        <vt:i4>0</vt:i4>
      </vt:variant>
      <vt:variant>
        <vt:i4>5</vt:i4>
      </vt:variant>
      <vt:variant>
        <vt:lpwstr/>
      </vt:variant>
      <vt:variant>
        <vt:lpwstr>_ENREF_62</vt:lpwstr>
      </vt:variant>
      <vt:variant>
        <vt:i4>4390923</vt:i4>
      </vt:variant>
      <vt:variant>
        <vt:i4>1107</vt:i4>
      </vt:variant>
      <vt:variant>
        <vt:i4>0</vt:i4>
      </vt:variant>
      <vt:variant>
        <vt:i4>5</vt:i4>
      </vt:variant>
      <vt:variant>
        <vt:lpwstr/>
      </vt:variant>
      <vt:variant>
        <vt:lpwstr>_ENREF_27</vt:lpwstr>
      </vt:variant>
      <vt:variant>
        <vt:i4>4325387</vt:i4>
      </vt:variant>
      <vt:variant>
        <vt:i4>1098</vt:i4>
      </vt:variant>
      <vt:variant>
        <vt:i4>0</vt:i4>
      </vt:variant>
      <vt:variant>
        <vt:i4>5</vt:i4>
      </vt:variant>
      <vt:variant>
        <vt:lpwstr/>
      </vt:variant>
      <vt:variant>
        <vt:lpwstr>_ENREF_3</vt:lpwstr>
      </vt:variant>
      <vt:variant>
        <vt:i4>4194315</vt:i4>
      </vt:variant>
      <vt:variant>
        <vt:i4>1095</vt:i4>
      </vt:variant>
      <vt:variant>
        <vt:i4>0</vt:i4>
      </vt:variant>
      <vt:variant>
        <vt:i4>5</vt:i4>
      </vt:variant>
      <vt:variant>
        <vt:lpwstr/>
      </vt:variant>
      <vt:variant>
        <vt:lpwstr>_ENREF_13</vt:lpwstr>
      </vt:variant>
      <vt:variant>
        <vt:i4>4390923</vt:i4>
      </vt:variant>
      <vt:variant>
        <vt:i4>1089</vt:i4>
      </vt:variant>
      <vt:variant>
        <vt:i4>0</vt:i4>
      </vt:variant>
      <vt:variant>
        <vt:i4>5</vt:i4>
      </vt:variant>
      <vt:variant>
        <vt:lpwstr/>
      </vt:variant>
      <vt:variant>
        <vt:lpwstr>_ENREF_2</vt:lpwstr>
      </vt:variant>
      <vt:variant>
        <vt:i4>4325387</vt:i4>
      </vt:variant>
      <vt:variant>
        <vt:i4>1083</vt:i4>
      </vt:variant>
      <vt:variant>
        <vt:i4>0</vt:i4>
      </vt:variant>
      <vt:variant>
        <vt:i4>5</vt:i4>
      </vt:variant>
      <vt:variant>
        <vt:lpwstr/>
      </vt:variant>
      <vt:variant>
        <vt:lpwstr>_ENREF_39</vt:lpwstr>
      </vt:variant>
      <vt:variant>
        <vt:i4>4587531</vt:i4>
      </vt:variant>
      <vt:variant>
        <vt:i4>1077</vt:i4>
      </vt:variant>
      <vt:variant>
        <vt:i4>0</vt:i4>
      </vt:variant>
      <vt:variant>
        <vt:i4>5</vt:i4>
      </vt:variant>
      <vt:variant>
        <vt:lpwstr/>
      </vt:variant>
      <vt:variant>
        <vt:lpwstr>_ENREF_7</vt:lpwstr>
      </vt:variant>
      <vt:variant>
        <vt:i4>4521995</vt:i4>
      </vt:variant>
      <vt:variant>
        <vt:i4>1071</vt:i4>
      </vt:variant>
      <vt:variant>
        <vt:i4>0</vt:i4>
      </vt:variant>
      <vt:variant>
        <vt:i4>5</vt:i4>
      </vt:variant>
      <vt:variant>
        <vt:lpwstr/>
      </vt:variant>
      <vt:variant>
        <vt:lpwstr>_ENREF_47</vt:lpwstr>
      </vt:variant>
      <vt:variant>
        <vt:i4>4521995</vt:i4>
      </vt:variant>
      <vt:variant>
        <vt:i4>1065</vt:i4>
      </vt:variant>
      <vt:variant>
        <vt:i4>0</vt:i4>
      </vt:variant>
      <vt:variant>
        <vt:i4>5</vt:i4>
      </vt:variant>
      <vt:variant>
        <vt:lpwstr/>
      </vt:variant>
      <vt:variant>
        <vt:lpwstr>_ENREF_47</vt:lpwstr>
      </vt:variant>
      <vt:variant>
        <vt:i4>4390923</vt:i4>
      </vt:variant>
      <vt:variant>
        <vt:i4>1059</vt:i4>
      </vt:variant>
      <vt:variant>
        <vt:i4>0</vt:i4>
      </vt:variant>
      <vt:variant>
        <vt:i4>5</vt:i4>
      </vt:variant>
      <vt:variant>
        <vt:lpwstr/>
      </vt:variant>
      <vt:variant>
        <vt:lpwstr>_ENREF_24</vt:lpwstr>
      </vt:variant>
      <vt:variant>
        <vt:i4>4390923</vt:i4>
      </vt:variant>
      <vt:variant>
        <vt:i4>1047</vt:i4>
      </vt:variant>
      <vt:variant>
        <vt:i4>0</vt:i4>
      </vt:variant>
      <vt:variant>
        <vt:i4>5</vt:i4>
      </vt:variant>
      <vt:variant>
        <vt:lpwstr/>
      </vt:variant>
      <vt:variant>
        <vt:lpwstr>_ENREF_24</vt:lpwstr>
      </vt:variant>
      <vt:variant>
        <vt:i4>4325387</vt:i4>
      </vt:variant>
      <vt:variant>
        <vt:i4>1041</vt:i4>
      </vt:variant>
      <vt:variant>
        <vt:i4>0</vt:i4>
      </vt:variant>
      <vt:variant>
        <vt:i4>5</vt:i4>
      </vt:variant>
      <vt:variant>
        <vt:lpwstr/>
      </vt:variant>
      <vt:variant>
        <vt:lpwstr>_ENREF_3</vt:lpwstr>
      </vt:variant>
      <vt:variant>
        <vt:i4>4194315</vt:i4>
      </vt:variant>
      <vt:variant>
        <vt:i4>1035</vt:i4>
      </vt:variant>
      <vt:variant>
        <vt:i4>0</vt:i4>
      </vt:variant>
      <vt:variant>
        <vt:i4>5</vt:i4>
      </vt:variant>
      <vt:variant>
        <vt:lpwstr/>
      </vt:variant>
      <vt:variant>
        <vt:lpwstr>_ENREF_13</vt:lpwstr>
      </vt:variant>
      <vt:variant>
        <vt:i4>4456459</vt:i4>
      </vt:variant>
      <vt:variant>
        <vt:i4>1023</vt:i4>
      </vt:variant>
      <vt:variant>
        <vt:i4>0</vt:i4>
      </vt:variant>
      <vt:variant>
        <vt:i4>5</vt:i4>
      </vt:variant>
      <vt:variant>
        <vt:lpwstr/>
      </vt:variant>
      <vt:variant>
        <vt:lpwstr>_ENREF_57</vt:lpwstr>
      </vt:variant>
      <vt:variant>
        <vt:i4>4456459</vt:i4>
      </vt:variant>
      <vt:variant>
        <vt:i4>1014</vt:i4>
      </vt:variant>
      <vt:variant>
        <vt:i4>0</vt:i4>
      </vt:variant>
      <vt:variant>
        <vt:i4>5</vt:i4>
      </vt:variant>
      <vt:variant>
        <vt:lpwstr/>
      </vt:variant>
      <vt:variant>
        <vt:lpwstr>_ENREF_5</vt:lpwstr>
      </vt:variant>
      <vt:variant>
        <vt:i4>4521995</vt:i4>
      </vt:variant>
      <vt:variant>
        <vt:i4>1005</vt:i4>
      </vt:variant>
      <vt:variant>
        <vt:i4>0</vt:i4>
      </vt:variant>
      <vt:variant>
        <vt:i4>5</vt:i4>
      </vt:variant>
      <vt:variant>
        <vt:lpwstr/>
      </vt:variant>
      <vt:variant>
        <vt:lpwstr>_ENREF_45</vt:lpwstr>
      </vt:variant>
      <vt:variant>
        <vt:i4>4390923</vt:i4>
      </vt:variant>
      <vt:variant>
        <vt:i4>999</vt:i4>
      </vt:variant>
      <vt:variant>
        <vt:i4>0</vt:i4>
      </vt:variant>
      <vt:variant>
        <vt:i4>5</vt:i4>
      </vt:variant>
      <vt:variant>
        <vt:lpwstr/>
      </vt:variant>
      <vt:variant>
        <vt:lpwstr>_ENREF_22</vt:lpwstr>
      </vt:variant>
      <vt:variant>
        <vt:i4>4521995</vt:i4>
      </vt:variant>
      <vt:variant>
        <vt:i4>993</vt:i4>
      </vt:variant>
      <vt:variant>
        <vt:i4>0</vt:i4>
      </vt:variant>
      <vt:variant>
        <vt:i4>5</vt:i4>
      </vt:variant>
      <vt:variant>
        <vt:lpwstr/>
      </vt:variant>
      <vt:variant>
        <vt:lpwstr>_ENREF_45</vt:lpwstr>
      </vt:variant>
      <vt:variant>
        <vt:i4>4390923</vt:i4>
      </vt:variant>
      <vt:variant>
        <vt:i4>984</vt:i4>
      </vt:variant>
      <vt:variant>
        <vt:i4>0</vt:i4>
      </vt:variant>
      <vt:variant>
        <vt:i4>5</vt:i4>
      </vt:variant>
      <vt:variant>
        <vt:lpwstr/>
      </vt:variant>
      <vt:variant>
        <vt:lpwstr>_ENREF_22</vt:lpwstr>
      </vt:variant>
      <vt:variant>
        <vt:i4>4456459</vt:i4>
      </vt:variant>
      <vt:variant>
        <vt:i4>978</vt:i4>
      </vt:variant>
      <vt:variant>
        <vt:i4>0</vt:i4>
      </vt:variant>
      <vt:variant>
        <vt:i4>5</vt:i4>
      </vt:variant>
      <vt:variant>
        <vt:lpwstr/>
      </vt:variant>
      <vt:variant>
        <vt:lpwstr>_ENREF_5</vt:lpwstr>
      </vt:variant>
      <vt:variant>
        <vt:i4>4653067</vt:i4>
      </vt:variant>
      <vt:variant>
        <vt:i4>972</vt:i4>
      </vt:variant>
      <vt:variant>
        <vt:i4>0</vt:i4>
      </vt:variant>
      <vt:variant>
        <vt:i4>5</vt:i4>
      </vt:variant>
      <vt:variant>
        <vt:lpwstr/>
      </vt:variant>
      <vt:variant>
        <vt:lpwstr>_ENREF_6</vt:lpwstr>
      </vt:variant>
      <vt:variant>
        <vt:i4>4325387</vt:i4>
      </vt:variant>
      <vt:variant>
        <vt:i4>966</vt:i4>
      </vt:variant>
      <vt:variant>
        <vt:i4>0</vt:i4>
      </vt:variant>
      <vt:variant>
        <vt:i4>5</vt:i4>
      </vt:variant>
      <vt:variant>
        <vt:lpwstr/>
      </vt:variant>
      <vt:variant>
        <vt:lpwstr>_ENREF_38</vt:lpwstr>
      </vt:variant>
      <vt:variant>
        <vt:i4>4521995</vt:i4>
      </vt:variant>
      <vt:variant>
        <vt:i4>960</vt:i4>
      </vt:variant>
      <vt:variant>
        <vt:i4>0</vt:i4>
      </vt:variant>
      <vt:variant>
        <vt:i4>5</vt:i4>
      </vt:variant>
      <vt:variant>
        <vt:lpwstr/>
      </vt:variant>
      <vt:variant>
        <vt:lpwstr>_ENREF_49</vt:lpwstr>
      </vt:variant>
      <vt:variant>
        <vt:i4>4194315</vt:i4>
      </vt:variant>
      <vt:variant>
        <vt:i4>954</vt:i4>
      </vt:variant>
      <vt:variant>
        <vt:i4>0</vt:i4>
      </vt:variant>
      <vt:variant>
        <vt:i4>5</vt:i4>
      </vt:variant>
      <vt:variant>
        <vt:lpwstr/>
      </vt:variant>
      <vt:variant>
        <vt:lpwstr>_ENREF_1</vt:lpwstr>
      </vt:variant>
      <vt:variant>
        <vt:i4>4653067</vt:i4>
      </vt:variant>
      <vt:variant>
        <vt:i4>948</vt:i4>
      </vt:variant>
      <vt:variant>
        <vt:i4>0</vt:i4>
      </vt:variant>
      <vt:variant>
        <vt:i4>5</vt:i4>
      </vt:variant>
      <vt:variant>
        <vt:lpwstr/>
      </vt:variant>
      <vt:variant>
        <vt:lpwstr>_ENREF_65</vt:lpwstr>
      </vt:variant>
      <vt:variant>
        <vt:i4>4784139</vt:i4>
      </vt:variant>
      <vt:variant>
        <vt:i4>942</vt:i4>
      </vt:variant>
      <vt:variant>
        <vt:i4>0</vt:i4>
      </vt:variant>
      <vt:variant>
        <vt:i4>5</vt:i4>
      </vt:variant>
      <vt:variant>
        <vt:lpwstr/>
      </vt:variant>
      <vt:variant>
        <vt:lpwstr>_ENREF_8</vt:lpwstr>
      </vt:variant>
      <vt:variant>
        <vt:i4>4653067</vt:i4>
      </vt:variant>
      <vt:variant>
        <vt:i4>933</vt:i4>
      </vt:variant>
      <vt:variant>
        <vt:i4>0</vt:i4>
      </vt:variant>
      <vt:variant>
        <vt:i4>5</vt:i4>
      </vt:variant>
      <vt:variant>
        <vt:lpwstr/>
      </vt:variant>
      <vt:variant>
        <vt:lpwstr>_ENREF_6</vt:lpwstr>
      </vt:variant>
      <vt:variant>
        <vt:i4>4194315</vt:i4>
      </vt:variant>
      <vt:variant>
        <vt:i4>927</vt:i4>
      </vt:variant>
      <vt:variant>
        <vt:i4>0</vt:i4>
      </vt:variant>
      <vt:variant>
        <vt:i4>5</vt:i4>
      </vt:variant>
      <vt:variant>
        <vt:lpwstr/>
      </vt:variant>
      <vt:variant>
        <vt:lpwstr>_ENREF_14</vt:lpwstr>
      </vt:variant>
      <vt:variant>
        <vt:i4>4456459</vt:i4>
      </vt:variant>
      <vt:variant>
        <vt:i4>918</vt:i4>
      </vt:variant>
      <vt:variant>
        <vt:i4>0</vt:i4>
      </vt:variant>
      <vt:variant>
        <vt:i4>5</vt:i4>
      </vt:variant>
      <vt:variant>
        <vt:lpwstr/>
      </vt:variant>
      <vt:variant>
        <vt:lpwstr>_ENREF_5</vt:lpwstr>
      </vt:variant>
      <vt:variant>
        <vt:i4>4456459</vt:i4>
      </vt:variant>
      <vt:variant>
        <vt:i4>906</vt:i4>
      </vt:variant>
      <vt:variant>
        <vt:i4>0</vt:i4>
      </vt:variant>
      <vt:variant>
        <vt:i4>5</vt:i4>
      </vt:variant>
      <vt:variant>
        <vt:lpwstr/>
      </vt:variant>
      <vt:variant>
        <vt:lpwstr>_ENREF_5</vt:lpwstr>
      </vt:variant>
      <vt:variant>
        <vt:i4>4521995</vt:i4>
      </vt:variant>
      <vt:variant>
        <vt:i4>897</vt:i4>
      </vt:variant>
      <vt:variant>
        <vt:i4>0</vt:i4>
      </vt:variant>
      <vt:variant>
        <vt:i4>5</vt:i4>
      </vt:variant>
      <vt:variant>
        <vt:lpwstr/>
      </vt:variant>
      <vt:variant>
        <vt:lpwstr>_ENREF_48</vt:lpwstr>
      </vt:variant>
      <vt:variant>
        <vt:i4>4456459</vt:i4>
      </vt:variant>
      <vt:variant>
        <vt:i4>891</vt:i4>
      </vt:variant>
      <vt:variant>
        <vt:i4>0</vt:i4>
      </vt:variant>
      <vt:variant>
        <vt:i4>5</vt:i4>
      </vt:variant>
      <vt:variant>
        <vt:lpwstr/>
      </vt:variant>
      <vt:variant>
        <vt:lpwstr>_ENREF_50</vt:lpwstr>
      </vt:variant>
      <vt:variant>
        <vt:i4>4456459</vt:i4>
      </vt:variant>
      <vt:variant>
        <vt:i4>885</vt:i4>
      </vt:variant>
      <vt:variant>
        <vt:i4>0</vt:i4>
      </vt:variant>
      <vt:variant>
        <vt:i4>5</vt:i4>
      </vt:variant>
      <vt:variant>
        <vt:lpwstr/>
      </vt:variant>
      <vt:variant>
        <vt:lpwstr>_ENREF_55</vt:lpwstr>
      </vt:variant>
      <vt:variant>
        <vt:i4>4456459</vt:i4>
      </vt:variant>
      <vt:variant>
        <vt:i4>879</vt:i4>
      </vt:variant>
      <vt:variant>
        <vt:i4>0</vt:i4>
      </vt:variant>
      <vt:variant>
        <vt:i4>5</vt:i4>
      </vt:variant>
      <vt:variant>
        <vt:lpwstr/>
      </vt:variant>
      <vt:variant>
        <vt:lpwstr>_ENREF_56</vt:lpwstr>
      </vt:variant>
      <vt:variant>
        <vt:i4>4718603</vt:i4>
      </vt:variant>
      <vt:variant>
        <vt:i4>873</vt:i4>
      </vt:variant>
      <vt:variant>
        <vt:i4>0</vt:i4>
      </vt:variant>
      <vt:variant>
        <vt:i4>5</vt:i4>
      </vt:variant>
      <vt:variant>
        <vt:lpwstr/>
      </vt:variant>
      <vt:variant>
        <vt:lpwstr>_ENREF_9</vt:lpwstr>
      </vt:variant>
      <vt:variant>
        <vt:i4>4456459</vt:i4>
      </vt:variant>
      <vt:variant>
        <vt:i4>867</vt:i4>
      </vt:variant>
      <vt:variant>
        <vt:i4>0</vt:i4>
      </vt:variant>
      <vt:variant>
        <vt:i4>5</vt:i4>
      </vt:variant>
      <vt:variant>
        <vt:lpwstr/>
      </vt:variant>
      <vt:variant>
        <vt:lpwstr>_ENREF_59</vt:lpwstr>
      </vt:variant>
      <vt:variant>
        <vt:i4>4521995</vt:i4>
      </vt:variant>
      <vt:variant>
        <vt:i4>861</vt:i4>
      </vt:variant>
      <vt:variant>
        <vt:i4>0</vt:i4>
      </vt:variant>
      <vt:variant>
        <vt:i4>5</vt:i4>
      </vt:variant>
      <vt:variant>
        <vt:lpwstr/>
      </vt:variant>
      <vt:variant>
        <vt:lpwstr>_ENREF_43</vt:lpwstr>
      </vt:variant>
      <vt:variant>
        <vt:i4>4521995</vt:i4>
      </vt:variant>
      <vt:variant>
        <vt:i4>855</vt:i4>
      </vt:variant>
      <vt:variant>
        <vt:i4>0</vt:i4>
      </vt:variant>
      <vt:variant>
        <vt:i4>5</vt:i4>
      </vt:variant>
      <vt:variant>
        <vt:lpwstr/>
      </vt:variant>
      <vt:variant>
        <vt:lpwstr>_ENREF_43</vt:lpwstr>
      </vt:variant>
      <vt:variant>
        <vt:i4>4325387</vt:i4>
      </vt:variant>
      <vt:variant>
        <vt:i4>849</vt:i4>
      </vt:variant>
      <vt:variant>
        <vt:i4>0</vt:i4>
      </vt:variant>
      <vt:variant>
        <vt:i4>5</vt:i4>
      </vt:variant>
      <vt:variant>
        <vt:lpwstr/>
      </vt:variant>
      <vt:variant>
        <vt:lpwstr>_ENREF_37</vt:lpwstr>
      </vt:variant>
      <vt:variant>
        <vt:i4>4390923</vt:i4>
      </vt:variant>
      <vt:variant>
        <vt:i4>843</vt:i4>
      </vt:variant>
      <vt:variant>
        <vt:i4>0</vt:i4>
      </vt:variant>
      <vt:variant>
        <vt:i4>5</vt:i4>
      </vt:variant>
      <vt:variant>
        <vt:lpwstr/>
      </vt:variant>
      <vt:variant>
        <vt:lpwstr>_ENREF_22</vt:lpwstr>
      </vt:variant>
      <vt:variant>
        <vt:i4>4521995</vt:i4>
      </vt:variant>
      <vt:variant>
        <vt:i4>837</vt:i4>
      </vt:variant>
      <vt:variant>
        <vt:i4>0</vt:i4>
      </vt:variant>
      <vt:variant>
        <vt:i4>5</vt:i4>
      </vt:variant>
      <vt:variant>
        <vt:lpwstr/>
      </vt:variant>
      <vt:variant>
        <vt:lpwstr>_ENREF_41</vt:lpwstr>
      </vt:variant>
      <vt:variant>
        <vt:i4>4521995</vt:i4>
      </vt:variant>
      <vt:variant>
        <vt:i4>831</vt:i4>
      </vt:variant>
      <vt:variant>
        <vt:i4>0</vt:i4>
      </vt:variant>
      <vt:variant>
        <vt:i4>5</vt:i4>
      </vt:variant>
      <vt:variant>
        <vt:lpwstr/>
      </vt:variant>
      <vt:variant>
        <vt:lpwstr>_ENREF_41</vt:lpwstr>
      </vt:variant>
      <vt:variant>
        <vt:i4>4521995</vt:i4>
      </vt:variant>
      <vt:variant>
        <vt:i4>825</vt:i4>
      </vt:variant>
      <vt:variant>
        <vt:i4>0</vt:i4>
      </vt:variant>
      <vt:variant>
        <vt:i4>5</vt:i4>
      </vt:variant>
      <vt:variant>
        <vt:lpwstr/>
      </vt:variant>
      <vt:variant>
        <vt:lpwstr>_ENREF_41</vt:lpwstr>
      </vt:variant>
      <vt:variant>
        <vt:i4>4521995</vt:i4>
      </vt:variant>
      <vt:variant>
        <vt:i4>813</vt:i4>
      </vt:variant>
      <vt:variant>
        <vt:i4>0</vt:i4>
      </vt:variant>
      <vt:variant>
        <vt:i4>5</vt:i4>
      </vt:variant>
      <vt:variant>
        <vt:lpwstr/>
      </vt:variant>
      <vt:variant>
        <vt:lpwstr>_ENREF_41</vt:lpwstr>
      </vt:variant>
      <vt:variant>
        <vt:i4>4521995</vt:i4>
      </vt:variant>
      <vt:variant>
        <vt:i4>807</vt:i4>
      </vt:variant>
      <vt:variant>
        <vt:i4>0</vt:i4>
      </vt:variant>
      <vt:variant>
        <vt:i4>5</vt:i4>
      </vt:variant>
      <vt:variant>
        <vt:lpwstr/>
      </vt:variant>
      <vt:variant>
        <vt:lpwstr>_ENREF_4</vt:lpwstr>
      </vt:variant>
      <vt:variant>
        <vt:i4>4521995</vt:i4>
      </vt:variant>
      <vt:variant>
        <vt:i4>804</vt:i4>
      </vt:variant>
      <vt:variant>
        <vt:i4>0</vt:i4>
      </vt:variant>
      <vt:variant>
        <vt:i4>5</vt:i4>
      </vt:variant>
      <vt:variant>
        <vt:lpwstr/>
      </vt:variant>
      <vt:variant>
        <vt:lpwstr>_ENREF_42</vt:lpwstr>
      </vt:variant>
      <vt:variant>
        <vt:i4>4390923</vt:i4>
      </vt:variant>
      <vt:variant>
        <vt:i4>801</vt:i4>
      </vt:variant>
      <vt:variant>
        <vt:i4>0</vt:i4>
      </vt:variant>
      <vt:variant>
        <vt:i4>5</vt:i4>
      </vt:variant>
      <vt:variant>
        <vt:lpwstr/>
      </vt:variant>
      <vt:variant>
        <vt:lpwstr>_ENREF_28</vt:lpwstr>
      </vt:variant>
      <vt:variant>
        <vt:i4>4521995</vt:i4>
      </vt:variant>
      <vt:variant>
        <vt:i4>798</vt:i4>
      </vt:variant>
      <vt:variant>
        <vt:i4>0</vt:i4>
      </vt:variant>
      <vt:variant>
        <vt:i4>5</vt:i4>
      </vt:variant>
      <vt:variant>
        <vt:lpwstr/>
      </vt:variant>
      <vt:variant>
        <vt:lpwstr>_ENREF_46</vt:lpwstr>
      </vt:variant>
      <vt:variant>
        <vt:i4>4194315</vt:i4>
      </vt:variant>
      <vt:variant>
        <vt:i4>795</vt:i4>
      </vt:variant>
      <vt:variant>
        <vt:i4>0</vt:i4>
      </vt:variant>
      <vt:variant>
        <vt:i4>5</vt:i4>
      </vt:variant>
      <vt:variant>
        <vt:lpwstr/>
      </vt:variant>
      <vt:variant>
        <vt:lpwstr>_ENREF_15</vt:lpwstr>
      </vt:variant>
      <vt:variant>
        <vt:i4>4194315</vt:i4>
      </vt:variant>
      <vt:variant>
        <vt:i4>787</vt:i4>
      </vt:variant>
      <vt:variant>
        <vt:i4>0</vt:i4>
      </vt:variant>
      <vt:variant>
        <vt:i4>5</vt:i4>
      </vt:variant>
      <vt:variant>
        <vt:lpwstr/>
      </vt:variant>
      <vt:variant>
        <vt:lpwstr>_ENREF_19</vt:lpwstr>
      </vt:variant>
      <vt:variant>
        <vt:i4>4456459</vt:i4>
      </vt:variant>
      <vt:variant>
        <vt:i4>784</vt:i4>
      </vt:variant>
      <vt:variant>
        <vt:i4>0</vt:i4>
      </vt:variant>
      <vt:variant>
        <vt:i4>5</vt:i4>
      </vt:variant>
      <vt:variant>
        <vt:lpwstr/>
      </vt:variant>
      <vt:variant>
        <vt:lpwstr>_ENREF_51</vt:lpwstr>
      </vt:variant>
      <vt:variant>
        <vt:i4>4325387</vt:i4>
      </vt:variant>
      <vt:variant>
        <vt:i4>781</vt:i4>
      </vt:variant>
      <vt:variant>
        <vt:i4>0</vt:i4>
      </vt:variant>
      <vt:variant>
        <vt:i4>5</vt:i4>
      </vt:variant>
      <vt:variant>
        <vt:lpwstr/>
      </vt:variant>
      <vt:variant>
        <vt:lpwstr>_ENREF_30</vt:lpwstr>
      </vt:variant>
      <vt:variant>
        <vt:i4>4194315</vt:i4>
      </vt:variant>
      <vt:variant>
        <vt:i4>778</vt:i4>
      </vt:variant>
      <vt:variant>
        <vt:i4>0</vt:i4>
      </vt:variant>
      <vt:variant>
        <vt:i4>5</vt:i4>
      </vt:variant>
      <vt:variant>
        <vt:lpwstr/>
      </vt:variant>
      <vt:variant>
        <vt:lpwstr>_ENREF_18</vt:lpwstr>
      </vt:variant>
      <vt:variant>
        <vt:i4>4194315</vt:i4>
      </vt:variant>
      <vt:variant>
        <vt:i4>775</vt:i4>
      </vt:variant>
      <vt:variant>
        <vt:i4>0</vt:i4>
      </vt:variant>
      <vt:variant>
        <vt:i4>5</vt:i4>
      </vt:variant>
      <vt:variant>
        <vt:lpwstr/>
      </vt:variant>
      <vt:variant>
        <vt:lpwstr>_ENREF_17</vt:lpwstr>
      </vt:variant>
      <vt:variant>
        <vt:i4>4390923</vt:i4>
      </vt:variant>
      <vt:variant>
        <vt:i4>767</vt:i4>
      </vt:variant>
      <vt:variant>
        <vt:i4>0</vt:i4>
      </vt:variant>
      <vt:variant>
        <vt:i4>5</vt:i4>
      </vt:variant>
      <vt:variant>
        <vt:lpwstr/>
      </vt:variant>
      <vt:variant>
        <vt:lpwstr>_ENREF_22</vt:lpwstr>
      </vt:variant>
      <vt:variant>
        <vt:i4>4456459</vt:i4>
      </vt:variant>
      <vt:variant>
        <vt:i4>761</vt:i4>
      </vt:variant>
      <vt:variant>
        <vt:i4>0</vt:i4>
      </vt:variant>
      <vt:variant>
        <vt:i4>5</vt:i4>
      </vt:variant>
      <vt:variant>
        <vt:lpwstr/>
      </vt:variant>
      <vt:variant>
        <vt:lpwstr>_ENREF_5</vt:lpwstr>
      </vt:variant>
      <vt:variant>
        <vt:i4>4390923</vt:i4>
      </vt:variant>
      <vt:variant>
        <vt:i4>755</vt:i4>
      </vt:variant>
      <vt:variant>
        <vt:i4>0</vt:i4>
      </vt:variant>
      <vt:variant>
        <vt:i4>5</vt:i4>
      </vt:variant>
      <vt:variant>
        <vt:lpwstr/>
      </vt:variant>
      <vt:variant>
        <vt:lpwstr>_ENREF_20</vt:lpwstr>
      </vt:variant>
      <vt:variant>
        <vt:i4>4390923</vt:i4>
      </vt:variant>
      <vt:variant>
        <vt:i4>749</vt:i4>
      </vt:variant>
      <vt:variant>
        <vt:i4>0</vt:i4>
      </vt:variant>
      <vt:variant>
        <vt:i4>5</vt:i4>
      </vt:variant>
      <vt:variant>
        <vt:lpwstr/>
      </vt:variant>
      <vt:variant>
        <vt:lpwstr>_ENREF_24</vt:lpwstr>
      </vt:variant>
      <vt:variant>
        <vt:i4>4390923</vt:i4>
      </vt:variant>
      <vt:variant>
        <vt:i4>743</vt:i4>
      </vt:variant>
      <vt:variant>
        <vt:i4>0</vt:i4>
      </vt:variant>
      <vt:variant>
        <vt:i4>5</vt:i4>
      </vt:variant>
      <vt:variant>
        <vt:lpwstr/>
      </vt:variant>
      <vt:variant>
        <vt:lpwstr>_ENREF_23</vt:lpwstr>
      </vt:variant>
      <vt:variant>
        <vt:i4>4390923</vt:i4>
      </vt:variant>
      <vt:variant>
        <vt:i4>737</vt:i4>
      </vt:variant>
      <vt:variant>
        <vt:i4>0</vt:i4>
      </vt:variant>
      <vt:variant>
        <vt:i4>5</vt:i4>
      </vt:variant>
      <vt:variant>
        <vt:lpwstr/>
      </vt:variant>
      <vt:variant>
        <vt:lpwstr>_ENREF_22</vt:lpwstr>
      </vt:variant>
      <vt:variant>
        <vt:i4>4325387</vt:i4>
      </vt:variant>
      <vt:variant>
        <vt:i4>728</vt:i4>
      </vt:variant>
      <vt:variant>
        <vt:i4>0</vt:i4>
      </vt:variant>
      <vt:variant>
        <vt:i4>5</vt:i4>
      </vt:variant>
      <vt:variant>
        <vt:lpwstr/>
      </vt:variant>
      <vt:variant>
        <vt:lpwstr>_ENREF_35</vt:lpwstr>
      </vt:variant>
      <vt:variant>
        <vt:i4>4325387</vt:i4>
      </vt:variant>
      <vt:variant>
        <vt:i4>722</vt:i4>
      </vt:variant>
      <vt:variant>
        <vt:i4>0</vt:i4>
      </vt:variant>
      <vt:variant>
        <vt:i4>5</vt:i4>
      </vt:variant>
      <vt:variant>
        <vt:lpwstr/>
      </vt:variant>
      <vt:variant>
        <vt:lpwstr>_ENREF_35</vt:lpwstr>
      </vt:variant>
      <vt:variant>
        <vt:i4>4390923</vt:i4>
      </vt:variant>
      <vt:variant>
        <vt:i4>717</vt:i4>
      </vt:variant>
      <vt:variant>
        <vt:i4>0</vt:i4>
      </vt:variant>
      <vt:variant>
        <vt:i4>5</vt:i4>
      </vt:variant>
      <vt:variant>
        <vt:lpwstr/>
      </vt:variant>
      <vt:variant>
        <vt:lpwstr>_ENREF_26</vt:lpwstr>
      </vt:variant>
      <vt:variant>
        <vt:i4>4456459</vt:i4>
      </vt:variant>
      <vt:variant>
        <vt:i4>713</vt:i4>
      </vt:variant>
      <vt:variant>
        <vt:i4>0</vt:i4>
      </vt:variant>
      <vt:variant>
        <vt:i4>5</vt:i4>
      </vt:variant>
      <vt:variant>
        <vt:lpwstr/>
      </vt:variant>
      <vt:variant>
        <vt:lpwstr>_ENREF_5</vt:lpwstr>
      </vt:variant>
      <vt:variant>
        <vt:i4>4194315</vt:i4>
      </vt:variant>
      <vt:variant>
        <vt:i4>707</vt:i4>
      </vt:variant>
      <vt:variant>
        <vt:i4>0</vt:i4>
      </vt:variant>
      <vt:variant>
        <vt:i4>5</vt:i4>
      </vt:variant>
      <vt:variant>
        <vt:lpwstr/>
      </vt:variant>
      <vt:variant>
        <vt:lpwstr>_ENREF_16</vt:lpwstr>
      </vt:variant>
      <vt:variant>
        <vt:i4>4390923</vt:i4>
      </vt:variant>
      <vt:variant>
        <vt:i4>701</vt:i4>
      </vt:variant>
      <vt:variant>
        <vt:i4>0</vt:i4>
      </vt:variant>
      <vt:variant>
        <vt:i4>5</vt:i4>
      </vt:variant>
      <vt:variant>
        <vt:lpwstr/>
      </vt:variant>
      <vt:variant>
        <vt:lpwstr>_ENREF_24</vt:lpwstr>
      </vt:variant>
      <vt:variant>
        <vt:i4>4390923</vt:i4>
      </vt:variant>
      <vt:variant>
        <vt:i4>695</vt:i4>
      </vt:variant>
      <vt:variant>
        <vt:i4>0</vt:i4>
      </vt:variant>
      <vt:variant>
        <vt:i4>5</vt:i4>
      </vt:variant>
      <vt:variant>
        <vt:lpwstr/>
      </vt:variant>
      <vt:variant>
        <vt:lpwstr>_ENREF_22</vt:lpwstr>
      </vt:variant>
      <vt:variant>
        <vt:i4>4390923</vt:i4>
      </vt:variant>
      <vt:variant>
        <vt:i4>680</vt:i4>
      </vt:variant>
      <vt:variant>
        <vt:i4>0</vt:i4>
      </vt:variant>
      <vt:variant>
        <vt:i4>5</vt:i4>
      </vt:variant>
      <vt:variant>
        <vt:lpwstr/>
      </vt:variant>
      <vt:variant>
        <vt:lpwstr>_ENREF_25</vt:lpwstr>
      </vt:variant>
      <vt:variant>
        <vt:i4>4521995</vt:i4>
      </vt:variant>
      <vt:variant>
        <vt:i4>674</vt:i4>
      </vt:variant>
      <vt:variant>
        <vt:i4>0</vt:i4>
      </vt:variant>
      <vt:variant>
        <vt:i4>5</vt:i4>
      </vt:variant>
      <vt:variant>
        <vt:lpwstr/>
      </vt:variant>
      <vt:variant>
        <vt:lpwstr>_ENREF_41</vt:lpwstr>
      </vt:variant>
      <vt:variant>
        <vt:i4>4390923</vt:i4>
      </vt:variant>
      <vt:variant>
        <vt:i4>668</vt:i4>
      </vt:variant>
      <vt:variant>
        <vt:i4>0</vt:i4>
      </vt:variant>
      <vt:variant>
        <vt:i4>5</vt:i4>
      </vt:variant>
      <vt:variant>
        <vt:lpwstr/>
      </vt:variant>
      <vt:variant>
        <vt:lpwstr>_ENREF_22</vt:lpwstr>
      </vt:variant>
      <vt:variant>
        <vt:i4>4194315</vt:i4>
      </vt:variant>
      <vt:variant>
        <vt:i4>662</vt:i4>
      </vt:variant>
      <vt:variant>
        <vt:i4>0</vt:i4>
      </vt:variant>
      <vt:variant>
        <vt:i4>5</vt:i4>
      </vt:variant>
      <vt:variant>
        <vt:lpwstr/>
      </vt:variant>
      <vt:variant>
        <vt:lpwstr>_ENREF_12</vt:lpwstr>
      </vt:variant>
      <vt:variant>
        <vt:i4>4456459</vt:i4>
      </vt:variant>
      <vt:variant>
        <vt:i4>656</vt:i4>
      </vt:variant>
      <vt:variant>
        <vt:i4>0</vt:i4>
      </vt:variant>
      <vt:variant>
        <vt:i4>5</vt:i4>
      </vt:variant>
      <vt:variant>
        <vt:lpwstr/>
      </vt:variant>
      <vt:variant>
        <vt:lpwstr>_ENREF_58</vt:lpwstr>
      </vt:variant>
      <vt:variant>
        <vt:i4>4456459</vt:i4>
      </vt:variant>
      <vt:variant>
        <vt:i4>650</vt:i4>
      </vt:variant>
      <vt:variant>
        <vt:i4>0</vt:i4>
      </vt:variant>
      <vt:variant>
        <vt:i4>5</vt:i4>
      </vt:variant>
      <vt:variant>
        <vt:lpwstr/>
      </vt:variant>
      <vt:variant>
        <vt:lpwstr>_ENREF_58</vt:lpwstr>
      </vt:variant>
      <vt:variant>
        <vt:i4>4653067</vt:i4>
      </vt:variant>
      <vt:variant>
        <vt:i4>644</vt:i4>
      </vt:variant>
      <vt:variant>
        <vt:i4>0</vt:i4>
      </vt:variant>
      <vt:variant>
        <vt:i4>5</vt:i4>
      </vt:variant>
      <vt:variant>
        <vt:lpwstr/>
      </vt:variant>
      <vt:variant>
        <vt:lpwstr>_ENREF_64</vt:lpwstr>
      </vt:variant>
      <vt:variant>
        <vt:i4>4653067</vt:i4>
      </vt:variant>
      <vt:variant>
        <vt:i4>635</vt:i4>
      </vt:variant>
      <vt:variant>
        <vt:i4>0</vt:i4>
      </vt:variant>
      <vt:variant>
        <vt:i4>5</vt:i4>
      </vt:variant>
      <vt:variant>
        <vt:lpwstr/>
      </vt:variant>
      <vt:variant>
        <vt:lpwstr>_ENREF_64</vt:lpwstr>
      </vt:variant>
      <vt:variant>
        <vt:i4>4653067</vt:i4>
      </vt:variant>
      <vt:variant>
        <vt:i4>626</vt:i4>
      </vt:variant>
      <vt:variant>
        <vt:i4>0</vt:i4>
      </vt:variant>
      <vt:variant>
        <vt:i4>5</vt:i4>
      </vt:variant>
      <vt:variant>
        <vt:lpwstr/>
      </vt:variant>
      <vt:variant>
        <vt:lpwstr>_ENREF_64</vt:lpwstr>
      </vt:variant>
      <vt:variant>
        <vt:i4>4194315</vt:i4>
      </vt:variant>
      <vt:variant>
        <vt:i4>620</vt:i4>
      </vt:variant>
      <vt:variant>
        <vt:i4>0</vt:i4>
      </vt:variant>
      <vt:variant>
        <vt:i4>5</vt:i4>
      </vt:variant>
      <vt:variant>
        <vt:lpwstr/>
      </vt:variant>
      <vt:variant>
        <vt:lpwstr>_ENREF_12</vt:lpwstr>
      </vt:variant>
      <vt:variant>
        <vt:i4>4194315</vt:i4>
      </vt:variant>
      <vt:variant>
        <vt:i4>614</vt:i4>
      </vt:variant>
      <vt:variant>
        <vt:i4>0</vt:i4>
      </vt:variant>
      <vt:variant>
        <vt:i4>5</vt:i4>
      </vt:variant>
      <vt:variant>
        <vt:lpwstr/>
      </vt:variant>
      <vt:variant>
        <vt:lpwstr>_ENREF_12</vt:lpwstr>
      </vt:variant>
      <vt:variant>
        <vt:i4>4390923</vt:i4>
      </vt:variant>
      <vt:variant>
        <vt:i4>608</vt:i4>
      </vt:variant>
      <vt:variant>
        <vt:i4>0</vt:i4>
      </vt:variant>
      <vt:variant>
        <vt:i4>5</vt:i4>
      </vt:variant>
      <vt:variant>
        <vt:lpwstr/>
      </vt:variant>
      <vt:variant>
        <vt:lpwstr>_ENREF_22</vt:lpwstr>
      </vt:variant>
      <vt:variant>
        <vt:i4>4390923</vt:i4>
      </vt:variant>
      <vt:variant>
        <vt:i4>602</vt:i4>
      </vt:variant>
      <vt:variant>
        <vt:i4>0</vt:i4>
      </vt:variant>
      <vt:variant>
        <vt:i4>5</vt:i4>
      </vt:variant>
      <vt:variant>
        <vt:lpwstr/>
      </vt:variant>
      <vt:variant>
        <vt:lpwstr>_ENREF_22</vt:lpwstr>
      </vt:variant>
      <vt:variant>
        <vt:i4>4521995</vt:i4>
      </vt:variant>
      <vt:variant>
        <vt:i4>596</vt:i4>
      </vt:variant>
      <vt:variant>
        <vt:i4>0</vt:i4>
      </vt:variant>
      <vt:variant>
        <vt:i4>5</vt:i4>
      </vt:variant>
      <vt:variant>
        <vt:lpwstr/>
      </vt:variant>
      <vt:variant>
        <vt:lpwstr>_ENREF_44</vt:lpwstr>
      </vt:variant>
      <vt:variant>
        <vt:i4>4390923</vt:i4>
      </vt:variant>
      <vt:variant>
        <vt:i4>584</vt:i4>
      </vt:variant>
      <vt:variant>
        <vt:i4>0</vt:i4>
      </vt:variant>
      <vt:variant>
        <vt:i4>5</vt:i4>
      </vt:variant>
      <vt:variant>
        <vt:lpwstr/>
      </vt:variant>
      <vt:variant>
        <vt:lpwstr>_ENREF_26</vt:lpwstr>
      </vt:variant>
      <vt:variant>
        <vt:i4>4390923</vt:i4>
      </vt:variant>
      <vt:variant>
        <vt:i4>578</vt:i4>
      </vt:variant>
      <vt:variant>
        <vt:i4>0</vt:i4>
      </vt:variant>
      <vt:variant>
        <vt:i4>5</vt:i4>
      </vt:variant>
      <vt:variant>
        <vt:lpwstr/>
      </vt:variant>
      <vt:variant>
        <vt:lpwstr>_ENREF_26</vt:lpwstr>
      </vt:variant>
      <vt:variant>
        <vt:i4>4390923</vt:i4>
      </vt:variant>
      <vt:variant>
        <vt:i4>572</vt:i4>
      </vt:variant>
      <vt:variant>
        <vt:i4>0</vt:i4>
      </vt:variant>
      <vt:variant>
        <vt:i4>5</vt:i4>
      </vt:variant>
      <vt:variant>
        <vt:lpwstr/>
      </vt:variant>
      <vt:variant>
        <vt:lpwstr>_ENREF_26</vt:lpwstr>
      </vt:variant>
      <vt:variant>
        <vt:i4>4390923</vt:i4>
      </vt:variant>
      <vt:variant>
        <vt:i4>563</vt:i4>
      </vt:variant>
      <vt:variant>
        <vt:i4>0</vt:i4>
      </vt:variant>
      <vt:variant>
        <vt:i4>5</vt:i4>
      </vt:variant>
      <vt:variant>
        <vt:lpwstr/>
      </vt:variant>
      <vt:variant>
        <vt:lpwstr>_ENREF_22</vt:lpwstr>
      </vt:variant>
      <vt:variant>
        <vt:i4>4456459</vt:i4>
      </vt:variant>
      <vt:variant>
        <vt:i4>551</vt:i4>
      </vt:variant>
      <vt:variant>
        <vt:i4>0</vt:i4>
      </vt:variant>
      <vt:variant>
        <vt:i4>5</vt:i4>
      </vt:variant>
      <vt:variant>
        <vt:lpwstr/>
      </vt:variant>
      <vt:variant>
        <vt:lpwstr>_ENREF_52</vt:lpwstr>
      </vt:variant>
      <vt:variant>
        <vt:i4>4390923</vt:i4>
      </vt:variant>
      <vt:variant>
        <vt:i4>545</vt:i4>
      </vt:variant>
      <vt:variant>
        <vt:i4>0</vt:i4>
      </vt:variant>
      <vt:variant>
        <vt:i4>5</vt:i4>
      </vt:variant>
      <vt:variant>
        <vt:lpwstr/>
      </vt:variant>
      <vt:variant>
        <vt:lpwstr>_ENREF_22</vt:lpwstr>
      </vt:variant>
      <vt:variant>
        <vt:i4>4456459</vt:i4>
      </vt:variant>
      <vt:variant>
        <vt:i4>539</vt:i4>
      </vt:variant>
      <vt:variant>
        <vt:i4>0</vt:i4>
      </vt:variant>
      <vt:variant>
        <vt:i4>5</vt:i4>
      </vt:variant>
      <vt:variant>
        <vt:lpwstr/>
      </vt:variant>
      <vt:variant>
        <vt:lpwstr>_ENREF_52</vt:lpwstr>
      </vt:variant>
      <vt:variant>
        <vt:i4>4390923</vt:i4>
      </vt:variant>
      <vt:variant>
        <vt:i4>533</vt:i4>
      </vt:variant>
      <vt:variant>
        <vt:i4>0</vt:i4>
      </vt:variant>
      <vt:variant>
        <vt:i4>5</vt:i4>
      </vt:variant>
      <vt:variant>
        <vt:lpwstr/>
      </vt:variant>
      <vt:variant>
        <vt:lpwstr>_ENREF_22</vt:lpwstr>
      </vt:variant>
      <vt:variant>
        <vt:i4>4456459</vt:i4>
      </vt:variant>
      <vt:variant>
        <vt:i4>521</vt:i4>
      </vt:variant>
      <vt:variant>
        <vt:i4>0</vt:i4>
      </vt:variant>
      <vt:variant>
        <vt:i4>5</vt:i4>
      </vt:variant>
      <vt:variant>
        <vt:lpwstr/>
      </vt:variant>
      <vt:variant>
        <vt:lpwstr>_ENREF_52</vt:lpwstr>
      </vt:variant>
      <vt:variant>
        <vt:i4>4390923</vt:i4>
      </vt:variant>
      <vt:variant>
        <vt:i4>515</vt:i4>
      </vt:variant>
      <vt:variant>
        <vt:i4>0</vt:i4>
      </vt:variant>
      <vt:variant>
        <vt:i4>5</vt:i4>
      </vt:variant>
      <vt:variant>
        <vt:lpwstr/>
      </vt:variant>
      <vt:variant>
        <vt:lpwstr>_ENREF_22</vt:lpwstr>
      </vt:variant>
      <vt:variant>
        <vt:i4>4390923</vt:i4>
      </vt:variant>
      <vt:variant>
        <vt:i4>506</vt:i4>
      </vt:variant>
      <vt:variant>
        <vt:i4>0</vt:i4>
      </vt:variant>
      <vt:variant>
        <vt:i4>5</vt:i4>
      </vt:variant>
      <vt:variant>
        <vt:lpwstr/>
      </vt:variant>
      <vt:variant>
        <vt:lpwstr>_ENREF_22</vt:lpwstr>
      </vt:variant>
      <vt:variant>
        <vt:i4>4390923</vt:i4>
      </vt:variant>
      <vt:variant>
        <vt:i4>491</vt:i4>
      </vt:variant>
      <vt:variant>
        <vt:i4>0</vt:i4>
      </vt:variant>
      <vt:variant>
        <vt:i4>5</vt:i4>
      </vt:variant>
      <vt:variant>
        <vt:lpwstr/>
      </vt:variant>
      <vt:variant>
        <vt:lpwstr>_ENREF_22</vt:lpwstr>
      </vt:variant>
      <vt:variant>
        <vt:i4>4390923</vt:i4>
      </vt:variant>
      <vt:variant>
        <vt:i4>485</vt:i4>
      </vt:variant>
      <vt:variant>
        <vt:i4>0</vt:i4>
      </vt:variant>
      <vt:variant>
        <vt:i4>5</vt:i4>
      </vt:variant>
      <vt:variant>
        <vt:lpwstr/>
      </vt:variant>
      <vt:variant>
        <vt:lpwstr>_ENREF_22</vt:lpwstr>
      </vt:variant>
      <vt:variant>
        <vt:i4>4390923</vt:i4>
      </vt:variant>
      <vt:variant>
        <vt:i4>473</vt:i4>
      </vt:variant>
      <vt:variant>
        <vt:i4>0</vt:i4>
      </vt:variant>
      <vt:variant>
        <vt:i4>5</vt:i4>
      </vt:variant>
      <vt:variant>
        <vt:lpwstr/>
      </vt:variant>
      <vt:variant>
        <vt:lpwstr>_ENREF_22</vt:lpwstr>
      </vt:variant>
      <vt:variant>
        <vt:i4>4390923</vt:i4>
      </vt:variant>
      <vt:variant>
        <vt:i4>467</vt:i4>
      </vt:variant>
      <vt:variant>
        <vt:i4>0</vt:i4>
      </vt:variant>
      <vt:variant>
        <vt:i4>5</vt:i4>
      </vt:variant>
      <vt:variant>
        <vt:lpwstr/>
      </vt:variant>
      <vt:variant>
        <vt:lpwstr>_ENREF_22</vt:lpwstr>
      </vt:variant>
      <vt:variant>
        <vt:i4>4390923</vt:i4>
      </vt:variant>
      <vt:variant>
        <vt:i4>461</vt:i4>
      </vt:variant>
      <vt:variant>
        <vt:i4>0</vt:i4>
      </vt:variant>
      <vt:variant>
        <vt:i4>5</vt:i4>
      </vt:variant>
      <vt:variant>
        <vt:lpwstr/>
      </vt:variant>
      <vt:variant>
        <vt:lpwstr>_ENREF_22</vt:lpwstr>
      </vt:variant>
      <vt:variant>
        <vt:i4>4456459</vt:i4>
      </vt:variant>
      <vt:variant>
        <vt:i4>449</vt:i4>
      </vt:variant>
      <vt:variant>
        <vt:i4>0</vt:i4>
      </vt:variant>
      <vt:variant>
        <vt:i4>5</vt:i4>
      </vt:variant>
      <vt:variant>
        <vt:lpwstr/>
      </vt:variant>
      <vt:variant>
        <vt:lpwstr>_ENREF_52</vt:lpwstr>
      </vt:variant>
      <vt:variant>
        <vt:i4>4456459</vt:i4>
      </vt:variant>
      <vt:variant>
        <vt:i4>443</vt:i4>
      </vt:variant>
      <vt:variant>
        <vt:i4>0</vt:i4>
      </vt:variant>
      <vt:variant>
        <vt:i4>5</vt:i4>
      </vt:variant>
      <vt:variant>
        <vt:lpwstr/>
      </vt:variant>
      <vt:variant>
        <vt:lpwstr>_ENREF_52</vt:lpwstr>
      </vt:variant>
      <vt:variant>
        <vt:i4>4456459</vt:i4>
      </vt:variant>
      <vt:variant>
        <vt:i4>428</vt:i4>
      </vt:variant>
      <vt:variant>
        <vt:i4>0</vt:i4>
      </vt:variant>
      <vt:variant>
        <vt:i4>5</vt:i4>
      </vt:variant>
      <vt:variant>
        <vt:lpwstr/>
      </vt:variant>
      <vt:variant>
        <vt:lpwstr>_ENREF_52</vt:lpwstr>
      </vt:variant>
      <vt:variant>
        <vt:i4>4456459</vt:i4>
      </vt:variant>
      <vt:variant>
        <vt:i4>422</vt:i4>
      </vt:variant>
      <vt:variant>
        <vt:i4>0</vt:i4>
      </vt:variant>
      <vt:variant>
        <vt:i4>5</vt:i4>
      </vt:variant>
      <vt:variant>
        <vt:lpwstr/>
      </vt:variant>
      <vt:variant>
        <vt:lpwstr>_ENREF_52</vt:lpwstr>
      </vt:variant>
      <vt:variant>
        <vt:i4>4456459</vt:i4>
      </vt:variant>
      <vt:variant>
        <vt:i4>416</vt:i4>
      </vt:variant>
      <vt:variant>
        <vt:i4>0</vt:i4>
      </vt:variant>
      <vt:variant>
        <vt:i4>5</vt:i4>
      </vt:variant>
      <vt:variant>
        <vt:lpwstr/>
      </vt:variant>
      <vt:variant>
        <vt:lpwstr>_ENREF_52</vt:lpwstr>
      </vt:variant>
      <vt:variant>
        <vt:i4>4456459</vt:i4>
      </vt:variant>
      <vt:variant>
        <vt:i4>407</vt:i4>
      </vt:variant>
      <vt:variant>
        <vt:i4>0</vt:i4>
      </vt:variant>
      <vt:variant>
        <vt:i4>5</vt:i4>
      </vt:variant>
      <vt:variant>
        <vt:lpwstr/>
      </vt:variant>
      <vt:variant>
        <vt:lpwstr>_ENREF_52</vt:lpwstr>
      </vt:variant>
      <vt:variant>
        <vt:i4>4325387</vt:i4>
      </vt:variant>
      <vt:variant>
        <vt:i4>401</vt:i4>
      </vt:variant>
      <vt:variant>
        <vt:i4>0</vt:i4>
      </vt:variant>
      <vt:variant>
        <vt:i4>5</vt:i4>
      </vt:variant>
      <vt:variant>
        <vt:lpwstr/>
      </vt:variant>
      <vt:variant>
        <vt:lpwstr>_ENREF_31</vt:lpwstr>
      </vt:variant>
      <vt:variant>
        <vt:i4>4456459</vt:i4>
      </vt:variant>
      <vt:variant>
        <vt:i4>395</vt:i4>
      </vt:variant>
      <vt:variant>
        <vt:i4>0</vt:i4>
      </vt:variant>
      <vt:variant>
        <vt:i4>5</vt:i4>
      </vt:variant>
      <vt:variant>
        <vt:lpwstr/>
      </vt:variant>
      <vt:variant>
        <vt:lpwstr>_ENREF_53</vt:lpwstr>
      </vt:variant>
      <vt:variant>
        <vt:i4>4456459</vt:i4>
      </vt:variant>
      <vt:variant>
        <vt:i4>389</vt:i4>
      </vt:variant>
      <vt:variant>
        <vt:i4>0</vt:i4>
      </vt:variant>
      <vt:variant>
        <vt:i4>5</vt:i4>
      </vt:variant>
      <vt:variant>
        <vt:lpwstr/>
      </vt:variant>
      <vt:variant>
        <vt:lpwstr>_ENREF_53</vt:lpwstr>
      </vt:variant>
      <vt:variant>
        <vt:i4>4325387</vt:i4>
      </vt:variant>
      <vt:variant>
        <vt:i4>377</vt:i4>
      </vt:variant>
      <vt:variant>
        <vt:i4>0</vt:i4>
      </vt:variant>
      <vt:variant>
        <vt:i4>5</vt:i4>
      </vt:variant>
      <vt:variant>
        <vt:lpwstr/>
      </vt:variant>
      <vt:variant>
        <vt:lpwstr>_ENREF_31</vt:lpwstr>
      </vt:variant>
      <vt:variant>
        <vt:i4>4325387</vt:i4>
      </vt:variant>
      <vt:variant>
        <vt:i4>371</vt:i4>
      </vt:variant>
      <vt:variant>
        <vt:i4>0</vt:i4>
      </vt:variant>
      <vt:variant>
        <vt:i4>5</vt:i4>
      </vt:variant>
      <vt:variant>
        <vt:lpwstr/>
      </vt:variant>
      <vt:variant>
        <vt:lpwstr>_ENREF_31</vt:lpwstr>
      </vt:variant>
      <vt:variant>
        <vt:i4>4456459</vt:i4>
      </vt:variant>
      <vt:variant>
        <vt:i4>359</vt:i4>
      </vt:variant>
      <vt:variant>
        <vt:i4>0</vt:i4>
      </vt:variant>
      <vt:variant>
        <vt:i4>5</vt:i4>
      </vt:variant>
      <vt:variant>
        <vt:lpwstr/>
      </vt:variant>
      <vt:variant>
        <vt:lpwstr>_ENREF_54</vt:lpwstr>
      </vt:variant>
      <vt:variant>
        <vt:i4>4456459</vt:i4>
      </vt:variant>
      <vt:variant>
        <vt:i4>350</vt:i4>
      </vt:variant>
      <vt:variant>
        <vt:i4>0</vt:i4>
      </vt:variant>
      <vt:variant>
        <vt:i4>5</vt:i4>
      </vt:variant>
      <vt:variant>
        <vt:lpwstr/>
      </vt:variant>
      <vt:variant>
        <vt:lpwstr>_ENREF_54</vt:lpwstr>
      </vt:variant>
      <vt:variant>
        <vt:i4>4325387</vt:i4>
      </vt:variant>
      <vt:variant>
        <vt:i4>338</vt:i4>
      </vt:variant>
      <vt:variant>
        <vt:i4>0</vt:i4>
      </vt:variant>
      <vt:variant>
        <vt:i4>5</vt:i4>
      </vt:variant>
      <vt:variant>
        <vt:lpwstr/>
      </vt:variant>
      <vt:variant>
        <vt:lpwstr>_ENREF_31</vt:lpwstr>
      </vt:variant>
      <vt:variant>
        <vt:i4>4325387</vt:i4>
      </vt:variant>
      <vt:variant>
        <vt:i4>323</vt:i4>
      </vt:variant>
      <vt:variant>
        <vt:i4>0</vt:i4>
      </vt:variant>
      <vt:variant>
        <vt:i4>5</vt:i4>
      </vt:variant>
      <vt:variant>
        <vt:lpwstr/>
      </vt:variant>
      <vt:variant>
        <vt:lpwstr>_ENREF_31</vt:lpwstr>
      </vt:variant>
      <vt:variant>
        <vt:i4>4325387</vt:i4>
      </vt:variant>
      <vt:variant>
        <vt:i4>308</vt:i4>
      </vt:variant>
      <vt:variant>
        <vt:i4>0</vt:i4>
      </vt:variant>
      <vt:variant>
        <vt:i4>5</vt:i4>
      </vt:variant>
      <vt:variant>
        <vt:lpwstr/>
      </vt:variant>
      <vt:variant>
        <vt:lpwstr>_ENREF_31</vt:lpwstr>
      </vt:variant>
      <vt:variant>
        <vt:i4>4194315</vt:i4>
      </vt:variant>
      <vt:variant>
        <vt:i4>302</vt:i4>
      </vt:variant>
      <vt:variant>
        <vt:i4>0</vt:i4>
      </vt:variant>
      <vt:variant>
        <vt:i4>5</vt:i4>
      </vt:variant>
      <vt:variant>
        <vt:lpwstr/>
      </vt:variant>
      <vt:variant>
        <vt:lpwstr>_ENREF_11</vt:lpwstr>
      </vt:variant>
      <vt:variant>
        <vt:i4>4456459</vt:i4>
      </vt:variant>
      <vt:variant>
        <vt:i4>296</vt:i4>
      </vt:variant>
      <vt:variant>
        <vt:i4>0</vt:i4>
      </vt:variant>
      <vt:variant>
        <vt:i4>5</vt:i4>
      </vt:variant>
      <vt:variant>
        <vt:lpwstr/>
      </vt:variant>
      <vt:variant>
        <vt:lpwstr>_ENREF_53</vt:lpwstr>
      </vt:variant>
      <vt:variant>
        <vt:i4>1703999</vt:i4>
      </vt:variant>
      <vt:variant>
        <vt:i4>287</vt:i4>
      </vt:variant>
      <vt:variant>
        <vt:i4>0</vt:i4>
      </vt:variant>
      <vt:variant>
        <vt:i4>5</vt:i4>
      </vt:variant>
      <vt:variant>
        <vt:lpwstr/>
      </vt:variant>
      <vt:variant>
        <vt:lpwstr>_Toc338058162</vt:lpwstr>
      </vt:variant>
      <vt:variant>
        <vt:i4>1703999</vt:i4>
      </vt:variant>
      <vt:variant>
        <vt:i4>281</vt:i4>
      </vt:variant>
      <vt:variant>
        <vt:i4>0</vt:i4>
      </vt:variant>
      <vt:variant>
        <vt:i4>5</vt:i4>
      </vt:variant>
      <vt:variant>
        <vt:lpwstr/>
      </vt:variant>
      <vt:variant>
        <vt:lpwstr>_Toc338058161</vt:lpwstr>
      </vt:variant>
      <vt:variant>
        <vt:i4>1703999</vt:i4>
      </vt:variant>
      <vt:variant>
        <vt:i4>275</vt:i4>
      </vt:variant>
      <vt:variant>
        <vt:i4>0</vt:i4>
      </vt:variant>
      <vt:variant>
        <vt:i4>5</vt:i4>
      </vt:variant>
      <vt:variant>
        <vt:lpwstr/>
      </vt:variant>
      <vt:variant>
        <vt:lpwstr>_Toc338058160</vt:lpwstr>
      </vt:variant>
      <vt:variant>
        <vt:i4>1638463</vt:i4>
      </vt:variant>
      <vt:variant>
        <vt:i4>269</vt:i4>
      </vt:variant>
      <vt:variant>
        <vt:i4>0</vt:i4>
      </vt:variant>
      <vt:variant>
        <vt:i4>5</vt:i4>
      </vt:variant>
      <vt:variant>
        <vt:lpwstr/>
      </vt:variant>
      <vt:variant>
        <vt:lpwstr>_Toc338058159</vt:lpwstr>
      </vt:variant>
      <vt:variant>
        <vt:i4>1638463</vt:i4>
      </vt:variant>
      <vt:variant>
        <vt:i4>263</vt:i4>
      </vt:variant>
      <vt:variant>
        <vt:i4>0</vt:i4>
      </vt:variant>
      <vt:variant>
        <vt:i4>5</vt:i4>
      </vt:variant>
      <vt:variant>
        <vt:lpwstr/>
      </vt:variant>
      <vt:variant>
        <vt:lpwstr>_Toc338058158</vt:lpwstr>
      </vt:variant>
      <vt:variant>
        <vt:i4>1638463</vt:i4>
      </vt:variant>
      <vt:variant>
        <vt:i4>257</vt:i4>
      </vt:variant>
      <vt:variant>
        <vt:i4>0</vt:i4>
      </vt:variant>
      <vt:variant>
        <vt:i4>5</vt:i4>
      </vt:variant>
      <vt:variant>
        <vt:lpwstr/>
      </vt:variant>
      <vt:variant>
        <vt:lpwstr>_Toc338058157</vt:lpwstr>
      </vt:variant>
      <vt:variant>
        <vt:i4>1638463</vt:i4>
      </vt:variant>
      <vt:variant>
        <vt:i4>251</vt:i4>
      </vt:variant>
      <vt:variant>
        <vt:i4>0</vt:i4>
      </vt:variant>
      <vt:variant>
        <vt:i4>5</vt:i4>
      </vt:variant>
      <vt:variant>
        <vt:lpwstr/>
      </vt:variant>
      <vt:variant>
        <vt:lpwstr>_Toc338058156</vt:lpwstr>
      </vt:variant>
      <vt:variant>
        <vt:i4>1638463</vt:i4>
      </vt:variant>
      <vt:variant>
        <vt:i4>245</vt:i4>
      </vt:variant>
      <vt:variant>
        <vt:i4>0</vt:i4>
      </vt:variant>
      <vt:variant>
        <vt:i4>5</vt:i4>
      </vt:variant>
      <vt:variant>
        <vt:lpwstr/>
      </vt:variant>
      <vt:variant>
        <vt:lpwstr>_Toc338058155</vt:lpwstr>
      </vt:variant>
      <vt:variant>
        <vt:i4>1638463</vt:i4>
      </vt:variant>
      <vt:variant>
        <vt:i4>239</vt:i4>
      </vt:variant>
      <vt:variant>
        <vt:i4>0</vt:i4>
      </vt:variant>
      <vt:variant>
        <vt:i4>5</vt:i4>
      </vt:variant>
      <vt:variant>
        <vt:lpwstr/>
      </vt:variant>
      <vt:variant>
        <vt:lpwstr>_Toc338058154</vt:lpwstr>
      </vt:variant>
      <vt:variant>
        <vt:i4>1638463</vt:i4>
      </vt:variant>
      <vt:variant>
        <vt:i4>233</vt:i4>
      </vt:variant>
      <vt:variant>
        <vt:i4>0</vt:i4>
      </vt:variant>
      <vt:variant>
        <vt:i4>5</vt:i4>
      </vt:variant>
      <vt:variant>
        <vt:lpwstr/>
      </vt:variant>
      <vt:variant>
        <vt:lpwstr>_Toc338058153</vt:lpwstr>
      </vt:variant>
      <vt:variant>
        <vt:i4>1638463</vt:i4>
      </vt:variant>
      <vt:variant>
        <vt:i4>227</vt:i4>
      </vt:variant>
      <vt:variant>
        <vt:i4>0</vt:i4>
      </vt:variant>
      <vt:variant>
        <vt:i4>5</vt:i4>
      </vt:variant>
      <vt:variant>
        <vt:lpwstr/>
      </vt:variant>
      <vt:variant>
        <vt:lpwstr>_Toc338058152</vt:lpwstr>
      </vt:variant>
      <vt:variant>
        <vt:i4>1638463</vt:i4>
      </vt:variant>
      <vt:variant>
        <vt:i4>221</vt:i4>
      </vt:variant>
      <vt:variant>
        <vt:i4>0</vt:i4>
      </vt:variant>
      <vt:variant>
        <vt:i4>5</vt:i4>
      </vt:variant>
      <vt:variant>
        <vt:lpwstr/>
      </vt:variant>
      <vt:variant>
        <vt:lpwstr>_Toc338058151</vt:lpwstr>
      </vt:variant>
      <vt:variant>
        <vt:i4>1638463</vt:i4>
      </vt:variant>
      <vt:variant>
        <vt:i4>215</vt:i4>
      </vt:variant>
      <vt:variant>
        <vt:i4>0</vt:i4>
      </vt:variant>
      <vt:variant>
        <vt:i4>5</vt:i4>
      </vt:variant>
      <vt:variant>
        <vt:lpwstr/>
      </vt:variant>
      <vt:variant>
        <vt:lpwstr>_Toc338058150</vt:lpwstr>
      </vt:variant>
      <vt:variant>
        <vt:i4>1572927</vt:i4>
      </vt:variant>
      <vt:variant>
        <vt:i4>209</vt:i4>
      </vt:variant>
      <vt:variant>
        <vt:i4>0</vt:i4>
      </vt:variant>
      <vt:variant>
        <vt:i4>5</vt:i4>
      </vt:variant>
      <vt:variant>
        <vt:lpwstr/>
      </vt:variant>
      <vt:variant>
        <vt:lpwstr>_Toc338058149</vt:lpwstr>
      </vt:variant>
      <vt:variant>
        <vt:i4>1572927</vt:i4>
      </vt:variant>
      <vt:variant>
        <vt:i4>203</vt:i4>
      </vt:variant>
      <vt:variant>
        <vt:i4>0</vt:i4>
      </vt:variant>
      <vt:variant>
        <vt:i4>5</vt:i4>
      </vt:variant>
      <vt:variant>
        <vt:lpwstr/>
      </vt:variant>
      <vt:variant>
        <vt:lpwstr>_Toc338058148</vt:lpwstr>
      </vt:variant>
      <vt:variant>
        <vt:i4>1572927</vt:i4>
      </vt:variant>
      <vt:variant>
        <vt:i4>197</vt:i4>
      </vt:variant>
      <vt:variant>
        <vt:i4>0</vt:i4>
      </vt:variant>
      <vt:variant>
        <vt:i4>5</vt:i4>
      </vt:variant>
      <vt:variant>
        <vt:lpwstr/>
      </vt:variant>
      <vt:variant>
        <vt:lpwstr>_Toc338058147</vt:lpwstr>
      </vt:variant>
      <vt:variant>
        <vt:i4>1572927</vt:i4>
      </vt:variant>
      <vt:variant>
        <vt:i4>191</vt:i4>
      </vt:variant>
      <vt:variant>
        <vt:i4>0</vt:i4>
      </vt:variant>
      <vt:variant>
        <vt:i4>5</vt:i4>
      </vt:variant>
      <vt:variant>
        <vt:lpwstr/>
      </vt:variant>
      <vt:variant>
        <vt:lpwstr>_Toc338058146</vt:lpwstr>
      </vt:variant>
      <vt:variant>
        <vt:i4>1572927</vt:i4>
      </vt:variant>
      <vt:variant>
        <vt:i4>185</vt:i4>
      </vt:variant>
      <vt:variant>
        <vt:i4>0</vt:i4>
      </vt:variant>
      <vt:variant>
        <vt:i4>5</vt:i4>
      </vt:variant>
      <vt:variant>
        <vt:lpwstr/>
      </vt:variant>
      <vt:variant>
        <vt:lpwstr>_Toc338058145</vt:lpwstr>
      </vt:variant>
      <vt:variant>
        <vt:i4>1572927</vt:i4>
      </vt:variant>
      <vt:variant>
        <vt:i4>179</vt:i4>
      </vt:variant>
      <vt:variant>
        <vt:i4>0</vt:i4>
      </vt:variant>
      <vt:variant>
        <vt:i4>5</vt:i4>
      </vt:variant>
      <vt:variant>
        <vt:lpwstr/>
      </vt:variant>
      <vt:variant>
        <vt:lpwstr>_Toc338058144</vt:lpwstr>
      </vt:variant>
      <vt:variant>
        <vt:i4>1572927</vt:i4>
      </vt:variant>
      <vt:variant>
        <vt:i4>173</vt:i4>
      </vt:variant>
      <vt:variant>
        <vt:i4>0</vt:i4>
      </vt:variant>
      <vt:variant>
        <vt:i4>5</vt:i4>
      </vt:variant>
      <vt:variant>
        <vt:lpwstr/>
      </vt:variant>
      <vt:variant>
        <vt:lpwstr>_Toc338058143</vt:lpwstr>
      </vt:variant>
      <vt:variant>
        <vt:i4>1572927</vt:i4>
      </vt:variant>
      <vt:variant>
        <vt:i4>167</vt:i4>
      </vt:variant>
      <vt:variant>
        <vt:i4>0</vt:i4>
      </vt:variant>
      <vt:variant>
        <vt:i4>5</vt:i4>
      </vt:variant>
      <vt:variant>
        <vt:lpwstr/>
      </vt:variant>
      <vt:variant>
        <vt:lpwstr>_Toc338058142</vt:lpwstr>
      </vt:variant>
      <vt:variant>
        <vt:i4>1572927</vt:i4>
      </vt:variant>
      <vt:variant>
        <vt:i4>161</vt:i4>
      </vt:variant>
      <vt:variant>
        <vt:i4>0</vt:i4>
      </vt:variant>
      <vt:variant>
        <vt:i4>5</vt:i4>
      </vt:variant>
      <vt:variant>
        <vt:lpwstr/>
      </vt:variant>
      <vt:variant>
        <vt:lpwstr>_Toc338058141</vt:lpwstr>
      </vt:variant>
      <vt:variant>
        <vt:i4>1572927</vt:i4>
      </vt:variant>
      <vt:variant>
        <vt:i4>155</vt:i4>
      </vt:variant>
      <vt:variant>
        <vt:i4>0</vt:i4>
      </vt:variant>
      <vt:variant>
        <vt:i4>5</vt:i4>
      </vt:variant>
      <vt:variant>
        <vt:lpwstr/>
      </vt:variant>
      <vt:variant>
        <vt:lpwstr>_Toc338058140</vt:lpwstr>
      </vt:variant>
      <vt:variant>
        <vt:i4>2031679</vt:i4>
      </vt:variant>
      <vt:variant>
        <vt:i4>149</vt:i4>
      </vt:variant>
      <vt:variant>
        <vt:i4>0</vt:i4>
      </vt:variant>
      <vt:variant>
        <vt:i4>5</vt:i4>
      </vt:variant>
      <vt:variant>
        <vt:lpwstr/>
      </vt:variant>
      <vt:variant>
        <vt:lpwstr>_Toc338058139</vt:lpwstr>
      </vt:variant>
      <vt:variant>
        <vt:i4>2031679</vt:i4>
      </vt:variant>
      <vt:variant>
        <vt:i4>143</vt:i4>
      </vt:variant>
      <vt:variant>
        <vt:i4>0</vt:i4>
      </vt:variant>
      <vt:variant>
        <vt:i4>5</vt:i4>
      </vt:variant>
      <vt:variant>
        <vt:lpwstr/>
      </vt:variant>
      <vt:variant>
        <vt:lpwstr>_Toc338058138</vt:lpwstr>
      </vt:variant>
      <vt:variant>
        <vt:i4>2031679</vt:i4>
      </vt:variant>
      <vt:variant>
        <vt:i4>137</vt:i4>
      </vt:variant>
      <vt:variant>
        <vt:i4>0</vt:i4>
      </vt:variant>
      <vt:variant>
        <vt:i4>5</vt:i4>
      </vt:variant>
      <vt:variant>
        <vt:lpwstr/>
      </vt:variant>
      <vt:variant>
        <vt:lpwstr>_Toc338058137</vt:lpwstr>
      </vt:variant>
      <vt:variant>
        <vt:i4>2031679</vt:i4>
      </vt:variant>
      <vt:variant>
        <vt:i4>131</vt:i4>
      </vt:variant>
      <vt:variant>
        <vt:i4>0</vt:i4>
      </vt:variant>
      <vt:variant>
        <vt:i4>5</vt:i4>
      </vt:variant>
      <vt:variant>
        <vt:lpwstr/>
      </vt:variant>
      <vt:variant>
        <vt:lpwstr>_Toc338058136</vt:lpwstr>
      </vt:variant>
      <vt:variant>
        <vt:i4>2031679</vt:i4>
      </vt:variant>
      <vt:variant>
        <vt:i4>125</vt:i4>
      </vt:variant>
      <vt:variant>
        <vt:i4>0</vt:i4>
      </vt:variant>
      <vt:variant>
        <vt:i4>5</vt:i4>
      </vt:variant>
      <vt:variant>
        <vt:lpwstr/>
      </vt:variant>
      <vt:variant>
        <vt:lpwstr>_Toc338058135</vt:lpwstr>
      </vt:variant>
      <vt:variant>
        <vt:i4>2031679</vt:i4>
      </vt:variant>
      <vt:variant>
        <vt:i4>119</vt:i4>
      </vt:variant>
      <vt:variant>
        <vt:i4>0</vt:i4>
      </vt:variant>
      <vt:variant>
        <vt:i4>5</vt:i4>
      </vt:variant>
      <vt:variant>
        <vt:lpwstr/>
      </vt:variant>
      <vt:variant>
        <vt:lpwstr>_Toc338058134</vt:lpwstr>
      </vt:variant>
      <vt:variant>
        <vt:i4>2031679</vt:i4>
      </vt:variant>
      <vt:variant>
        <vt:i4>113</vt:i4>
      </vt:variant>
      <vt:variant>
        <vt:i4>0</vt:i4>
      </vt:variant>
      <vt:variant>
        <vt:i4>5</vt:i4>
      </vt:variant>
      <vt:variant>
        <vt:lpwstr/>
      </vt:variant>
      <vt:variant>
        <vt:lpwstr>_Toc338058133</vt:lpwstr>
      </vt:variant>
      <vt:variant>
        <vt:i4>2031679</vt:i4>
      </vt:variant>
      <vt:variant>
        <vt:i4>107</vt:i4>
      </vt:variant>
      <vt:variant>
        <vt:i4>0</vt:i4>
      </vt:variant>
      <vt:variant>
        <vt:i4>5</vt:i4>
      </vt:variant>
      <vt:variant>
        <vt:lpwstr/>
      </vt:variant>
      <vt:variant>
        <vt:lpwstr>_Toc338058132</vt:lpwstr>
      </vt:variant>
      <vt:variant>
        <vt:i4>2031679</vt:i4>
      </vt:variant>
      <vt:variant>
        <vt:i4>101</vt:i4>
      </vt:variant>
      <vt:variant>
        <vt:i4>0</vt:i4>
      </vt:variant>
      <vt:variant>
        <vt:i4>5</vt:i4>
      </vt:variant>
      <vt:variant>
        <vt:lpwstr/>
      </vt:variant>
      <vt:variant>
        <vt:lpwstr>_Toc338058131</vt:lpwstr>
      </vt:variant>
      <vt:variant>
        <vt:i4>2031679</vt:i4>
      </vt:variant>
      <vt:variant>
        <vt:i4>95</vt:i4>
      </vt:variant>
      <vt:variant>
        <vt:i4>0</vt:i4>
      </vt:variant>
      <vt:variant>
        <vt:i4>5</vt:i4>
      </vt:variant>
      <vt:variant>
        <vt:lpwstr/>
      </vt:variant>
      <vt:variant>
        <vt:lpwstr>_Toc338058130</vt:lpwstr>
      </vt:variant>
      <vt:variant>
        <vt:i4>1966143</vt:i4>
      </vt:variant>
      <vt:variant>
        <vt:i4>89</vt:i4>
      </vt:variant>
      <vt:variant>
        <vt:i4>0</vt:i4>
      </vt:variant>
      <vt:variant>
        <vt:i4>5</vt:i4>
      </vt:variant>
      <vt:variant>
        <vt:lpwstr/>
      </vt:variant>
      <vt:variant>
        <vt:lpwstr>_Toc338058129</vt:lpwstr>
      </vt:variant>
      <vt:variant>
        <vt:i4>1966143</vt:i4>
      </vt:variant>
      <vt:variant>
        <vt:i4>83</vt:i4>
      </vt:variant>
      <vt:variant>
        <vt:i4>0</vt:i4>
      </vt:variant>
      <vt:variant>
        <vt:i4>5</vt:i4>
      </vt:variant>
      <vt:variant>
        <vt:lpwstr/>
      </vt:variant>
      <vt:variant>
        <vt:lpwstr>_Toc338058128</vt:lpwstr>
      </vt:variant>
      <vt:variant>
        <vt:i4>1966143</vt:i4>
      </vt:variant>
      <vt:variant>
        <vt:i4>77</vt:i4>
      </vt:variant>
      <vt:variant>
        <vt:i4>0</vt:i4>
      </vt:variant>
      <vt:variant>
        <vt:i4>5</vt:i4>
      </vt:variant>
      <vt:variant>
        <vt:lpwstr/>
      </vt:variant>
      <vt:variant>
        <vt:lpwstr>_Toc338058127</vt:lpwstr>
      </vt:variant>
      <vt:variant>
        <vt:i4>1966143</vt:i4>
      </vt:variant>
      <vt:variant>
        <vt:i4>71</vt:i4>
      </vt:variant>
      <vt:variant>
        <vt:i4>0</vt:i4>
      </vt:variant>
      <vt:variant>
        <vt:i4>5</vt:i4>
      </vt:variant>
      <vt:variant>
        <vt:lpwstr/>
      </vt:variant>
      <vt:variant>
        <vt:lpwstr>_Toc338058126</vt:lpwstr>
      </vt:variant>
      <vt:variant>
        <vt:i4>1966143</vt:i4>
      </vt:variant>
      <vt:variant>
        <vt:i4>65</vt:i4>
      </vt:variant>
      <vt:variant>
        <vt:i4>0</vt:i4>
      </vt:variant>
      <vt:variant>
        <vt:i4>5</vt:i4>
      </vt:variant>
      <vt:variant>
        <vt:lpwstr/>
      </vt:variant>
      <vt:variant>
        <vt:lpwstr>_Toc338058125</vt:lpwstr>
      </vt:variant>
      <vt:variant>
        <vt:i4>1966143</vt:i4>
      </vt:variant>
      <vt:variant>
        <vt:i4>59</vt:i4>
      </vt:variant>
      <vt:variant>
        <vt:i4>0</vt:i4>
      </vt:variant>
      <vt:variant>
        <vt:i4>5</vt:i4>
      </vt:variant>
      <vt:variant>
        <vt:lpwstr/>
      </vt:variant>
      <vt:variant>
        <vt:lpwstr>_Toc338058124</vt:lpwstr>
      </vt:variant>
      <vt:variant>
        <vt:i4>1966143</vt:i4>
      </vt:variant>
      <vt:variant>
        <vt:i4>53</vt:i4>
      </vt:variant>
      <vt:variant>
        <vt:i4>0</vt:i4>
      </vt:variant>
      <vt:variant>
        <vt:i4>5</vt:i4>
      </vt:variant>
      <vt:variant>
        <vt:lpwstr/>
      </vt:variant>
      <vt:variant>
        <vt:lpwstr>_Toc338058123</vt:lpwstr>
      </vt:variant>
      <vt:variant>
        <vt:i4>1966143</vt:i4>
      </vt:variant>
      <vt:variant>
        <vt:i4>47</vt:i4>
      </vt:variant>
      <vt:variant>
        <vt:i4>0</vt:i4>
      </vt:variant>
      <vt:variant>
        <vt:i4>5</vt:i4>
      </vt:variant>
      <vt:variant>
        <vt:lpwstr/>
      </vt:variant>
      <vt:variant>
        <vt:lpwstr>_Toc338058122</vt:lpwstr>
      </vt:variant>
      <vt:variant>
        <vt:i4>1966143</vt:i4>
      </vt:variant>
      <vt:variant>
        <vt:i4>41</vt:i4>
      </vt:variant>
      <vt:variant>
        <vt:i4>0</vt:i4>
      </vt:variant>
      <vt:variant>
        <vt:i4>5</vt:i4>
      </vt:variant>
      <vt:variant>
        <vt:lpwstr/>
      </vt:variant>
      <vt:variant>
        <vt:lpwstr>_Toc338058121</vt:lpwstr>
      </vt:variant>
      <vt:variant>
        <vt:i4>1966143</vt:i4>
      </vt:variant>
      <vt:variant>
        <vt:i4>35</vt:i4>
      </vt:variant>
      <vt:variant>
        <vt:i4>0</vt:i4>
      </vt:variant>
      <vt:variant>
        <vt:i4>5</vt:i4>
      </vt:variant>
      <vt:variant>
        <vt:lpwstr/>
      </vt:variant>
      <vt:variant>
        <vt:lpwstr>_Toc338058120</vt:lpwstr>
      </vt:variant>
      <vt:variant>
        <vt:i4>1900607</vt:i4>
      </vt:variant>
      <vt:variant>
        <vt:i4>29</vt:i4>
      </vt:variant>
      <vt:variant>
        <vt:i4>0</vt:i4>
      </vt:variant>
      <vt:variant>
        <vt:i4>5</vt:i4>
      </vt:variant>
      <vt:variant>
        <vt:lpwstr/>
      </vt:variant>
      <vt:variant>
        <vt:lpwstr>_Toc338058119</vt:lpwstr>
      </vt:variant>
      <vt:variant>
        <vt:i4>1900607</vt:i4>
      </vt:variant>
      <vt:variant>
        <vt:i4>23</vt:i4>
      </vt:variant>
      <vt:variant>
        <vt:i4>0</vt:i4>
      </vt:variant>
      <vt:variant>
        <vt:i4>5</vt:i4>
      </vt:variant>
      <vt:variant>
        <vt:lpwstr/>
      </vt:variant>
      <vt:variant>
        <vt:lpwstr>_Toc338058118</vt:lpwstr>
      </vt:variant>
      <vt:variant>
        <vt:i4>1900607</vt:i4>
      </vt:variant>
      <vt:variant>
        <vt:i4>17</vt:i4>
      </vt:variant>
      <vt:variant>
        <vt:i4>0</vt:i4>
      </vt:variant>
      <vt:variant>
        <vt:i4>5</vt:i4>
      </vt:variant>
      <vt:variant>
        <vt:lpwstr/>
      </vt:variant>
      <vt:variant>
        <vt:lpwstr>_Toc338058117</vt:lpwstr>
      </vt:variant>
      <vt:variant>
        <vt:i4>1900607</vt:i4>
      </vt:variant>
      <vt:variant>
        <vt:i4>11</vt:i4>
      </vt:variant>
      <vt:variant>
        <vt:i4>0</vt:i4>
      </vt:variant>
      <vt:variant>
        <vt:i4>5</vt:i4>
      </vt:variant>
      <vt:variant>
        <vt:lpwstr/>
      </vt:variant>
      <vt:variant>
        <vt:lpwstr>_Toc338058116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Andrew Carre</dc:creator>
  <cp:lastModifiedBy>Enda Crossin</cp:lastModifiedBy>
  <cp:revision>16</cp:revision>
  <cp:lastPrinted>2015-10-29T23:33:00Z</cp:lastPrinted>
  <dcterms:created xsi:type="dcterms:W3CDTF">2013-09-23T04:06:00Z</dcterms:created>
  <dcterms:modified xsi:type="dcterms:W3CDTF">2015-10-29T23:34:00Z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Date">
    <vt:lpwstr>20 August 2011</vt:lpwstr>
  </property>
  <property fmtid="{D5CDD505-2E9C-101B-9397-08002B2CF9AE}" pid="3" name="Document Version">
    <vt:lpwstr>1.0</vt:lpwstr>
  </property>
  <property fmtid="{D5CDD505-2E9C-101B-9397-08002B2CF9AE}" pid="4" name="Client">
    <vt:lpwstr>1.0</vt:lpwstr>
  </property>
</Properties>
</file>