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558bf126924349ff"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ayoutGrid"/>
        <w:tblW w:w="0" w:type="auto"/>
        <w:tblLayout w:type="fixed"/>
        <w:tblLook w:val="04A0" w:firstRow="1" w:lastRow="0" w:firstColumn="1" w:lastColumn="0" w:noHBand="0" w:noVBand="1"/>
      </w:tblPr>
      <w:tblGrid>
        <w:gridCol w:w="7938"/>
        <w:gridCol w:w="1690"/>
      </w:tblGrid>
      <w:tr w:rsidR="0077560D" w14:paraId="59081AA1" w14:textId="77777777" w:rsidTr="00FC6F89">
        <w:trPr>
          <w:trHeight w:hRule="exact" w:val="3260"/>
        </w:trPr>
        <w:tc>
          <w:tcPr>
            <w:tcW w:w="7938" w:type="dxa"/>
          </w:tcPr>
          <w:p w14:paraId="7CC8BE81" w14:textId="05492976" w:rsidR="0077560D" w:rsidRDefault="0077299C" w:rsidP="00FC6F89">
            <w:pPr>
              <w:pStyle w:val="CoverHeading"/>
            </w:pPr>
            <w:r>
              <w:fldChar w:fldCharType="begin"/>
            </w:r>
            <w:r>
              <w:instrText xml:space="preserve"> DOCPROPERTY  CoverTitle </w:instrText>
            </w:r>
            <w:r>
              <w:fldChar w:fldCharType="separate"/>
            </w:r>
            <w:r w:rsidR="00625FFE">
              <w:t>Greenhouse gases from the waste sector and opportunities for reduction</w:t>
            </w:r>
            <w:r>
              <w:fldChar w:fldCharType="end"/>
            </w:r>
          </w:p>
          <w:p w14:paraId="3C416867" w14:textId="3F2FD041" w:rsidR="00FC6F89" w:rsidRPr="00FC6F89" w:rsidRDefault="00FC6F89" w:rsidP="00FC6F89">
            <w:pPr>
              <w:pStyle w:val="CoverSubheading"/>
            </w:pPr>
          </w:p>
        </w:tc>
        <w:tc>
          <w:tcPr>
            <w:tcW w:w="1690" w:type="dxa"/>
          </w:tcPr>
          <w:p w14:paraId="344F15E7" w14:textId="77777777" w:rsidR="0077560D" w:rsidRDefault="0077560D" w:rsidP="000523DA"/>
        </w:tc>
      </w:tr>
      <w:tr w:rsidR="0077560D" w14:paraId="60DB9B4E" w14:textId="77777777" w:rsidTr="00FC6F89">
        <w:trPr>
          <w:trHeight w:hRule="exact" w:val="737"/>
        </w:trPr>
        <w:tc>
          <w:tcPr>
            <w:tcW w:w="7938" w:type="dxa"/>
          </w:tcPr>
          <w:p w14:paraId="74C0F579" w14:textId="77777777" w:rsidR="00CB2256" w:rsidRDefault="00CB2256" w:rsidP="00B97FF6">
            <w:pPr>
              <w:pStyle w:val="CoverDetails"/>
            </w:pPr>
            <w:r>
              <w:t>Randell Environmental Consulting and Sustainability Victoria</w:t>
            </w:r>
          </w:p>
          <w:p w14:paraId="3F158E76" w14:textId="14C36A18" w:rsidR="0077560D" w:rsidRDefault="0077299C" w:rsidP="00B97FF6">
            <w:pPr>
              <w:pStyle w:val="CoverDetails"/>
            </w:pPr>
            <w:r>
              <w:t>August</w:t>
            </w:r>
            <w:bookmarkStart w:id="0" w:name="_GoBack"/>
            <w:bookmarkEnd w:id="0"/>
            <w:r w:rsidR="00625FFE">
              <w:t xml:space="preserve"> 2019</w:t>
            </w:r>
          </w:p>
        </w:tc>
        <w:tc>
          <w:tcPr>
            <w:tcW w:w="1690" w:type="dxa"/>
          </w:tcPr>
          <w:p w14:paraId="39071C76" w14:textId="77777777" w:rsidR="0077560D" w:rsidRDefault="0077560D" w:rsidP="000523DA"/>
        </w:tc>
      </w:tr>
    </w:tbl>
    <w:p w14:paraId="63E1E144" w14:textId="77777777" w:rsidR="00646AD5" w:rsidRDefault="00646AD5" w:rsidP="000523DA"/>
    <w:p w14:paraId="6B8BD70D" w14:textId="77777777" w:rsidR="00AA7021" w:rsidRDefault="00AA7021" w:rsidP="006D5547"/>
    <w:p w14:paraId="6EC5F665" w14:textId="77777777" w:rsidR="00AA7021" w:rsidRPr="004B0021" w:rsidRDefault="00AA7021" w:rsidP="004B0021"/>
    <w:p w14:paraId="3B8A7774" w14:textId="77777777" w:rsidR="000A638B" w:rsidRDefault="000A638B" w:rsidP="006D5547"/>
    <w:p w14:paraId="2F4E2D21" w14:textId="77777777" w:rsidR="009A225C" w:rsidRDefault="009A225C" w:rsidP="006D5547">
      <w:pPr>
        <w:sectPr w:rsidR="009A225C" w:rsidSect="00FC6F89">
          <w:headerReference w:type="first" r:id="rId12"/>
          <w:footerReference w:type="first" r:id="rId13"/>
          <w:pgSz w:w="11906" w:h="16838" w:code="9"/>
          <w:pgMar w:top="2268" w:right="1134" w:bottom="1440" w:left="1134" w:header="851" w:footer="369" w:gutter="0"/>
          <w:cols w:space="708"/>
          <w:titlePg/>
          <w:docGrid w:linePitch="360"/>
        </w:sectPr>
      </w:pPr>
    </w:p>
    <w:tbl>
      <w:tblPr>
        <w:tblStyle w:val="LayoutGrid"/>
        <w:tblW w:w="0" w:type="auto"/>
        <w:tblLook w:val="04A0" w:firstRow="1" w:lastRow="0" w:firstColumn="1" w:lastColumn="0" w:noHBand="0" w:noVBand="1"/>
      </w:tblPr>
      <w:tblGrid>
        <w:gridCol w:w="4253"/>
        <w:gridCol w:w="5375"/>
      </w:tblGrid>
      <w:tr w:rsidR="004C74E5" w14:paraId="3EBB6A38" w14:textId="77777777" w:rsidTr="00E82EB5">
        <w:tc>
          <w:tcPr>
            <w:tcW w:w="4253" w:type="dxa"/>
          </w:tcPr>
          <w:p w14:paraId="65260B46" w14:textId="77777777" w:rsidR="004C74E5" w:rsidRDefault="004C74E5" w:rsidP="00927E12">
            <w:r>
              <w:lastRenderedPageBreak/>
              <w:t xml:space="preserve">Authorised and published by </w:t>
            </w:r>
            <w:r w:rsidR="00927E12">
              <w:br/>
            </w:r>
            <w:r>
              <w:t>Sustainability Victoria</w:t>
            </w:r>
            <w:r w:rsidR="00927E12">
              <w:br/>
            </w:r>
            <w:r>
              <w:t>Level 28, Urban Workshop</w:t>
            </w:r>
            <w:r w:rsidR="00927E12">
              <w:br/>
            </w:r>
            <w:r>
              <w:t>50 Lonsdale Street Melbourne</w:t>
            </w:r>
            <w:r w:rsidR="00927E12">
              <w:t xml:space="preserve"> </w:t>
            </w:r>
            <w:r w:rsidR="00927E12">
              <w:br/>
            </w:r>
            <w:r>
              <w:t>Victoria 3000 Australia</w:t>
            </w:r>
          </w:p>
          <w:p w14:paraId="7F8B76C9" w14:textId="2442D229" w:rsidR="004C74E5" w:rsidRDefault="00016449" w:rsidP="004C74E5">
            <w:r>
              <w:t xml:space="preserve">Greenhouse gases from the waste sector and opportunities for reduction </w:t>
            </w:r>
          </w:p>
          <w:p w14:paraId="69784360" w14:textId="46D69B8C" w:rsidR="00016449" w:rsidRDefault="004C74E5" w:rsidP="00927E12">
            <w:r>
              <w:t xml:space="preserve">© Sustainability Victoria </w:t>
            </w:r>
            <w:r w:rsidR="00A620A0">
              <w:fldChar w:fldCharType="begin"/>
            </w:r>
            <w:r w:rsidR="00A620A0">
              <w:instrText xml:space="preserve"> DATE  \@ "YYYY" </w:instrText>
            </w:r>
            <w:r w:rsidR="00A620A0">
              <w:fldChar w:fldCharType="separate"/>
            </w:r>
            <w:r w:rsidR="0077299C">
              <w:rPr>
                <w:noProof/>
              </w:rPr>
              <w:t>2019</w:t>
            </w:r>
            <w:r w:rsidR="00A620A0">
              <w:fldChar w:fldCharType="end"/>
            </w:r>
            <w:r>
              <w:t xml:space="preserve"> </w:t>
            </w:r>
            <w:r w:rsidR="00927E12">
              <w:br/>
            </w:r>
            <w:r w:rsidR="006F2F45">
              <w:t xml:space="preserve">Updated and published </w:t>
            </w:r>
            <w:r w:rsidR="00AC46A3">
              <w:t>August</w:t>
            </w:r>
            <w:r w:rsidR="00016449" w:rsidRPr="004C1F4D">
              <w:t xml:space="preserve"> 2019</w:t>
            </w:r>
          </w:p>
          <w:p w14:paraId="3892FBAD" w14:textId="174FBB0A" w:rsidR="00016449" w:rsidRPr="00016449" w:rsidRDefault="00016449" w:rsidP="00016449">
            <w:r w:rsidRPr="008C1591">
              <w:t>ISBN 978-1-920825-</w:t>
            </w:r>
            <w:r w:rsidR="008C1591" w:rsidRPr="008C1591">
              <w:t>48-5</w:t>
            </w:r>
            <w:r w:rsidRPr="008C1591">
              <w:t xml:space="preserve"> (PDF</w:t>
            </w:r>
            <w:r w:rsidRPr="00016449">
              <w:t>)</w:t>
            </w:r>
          </w:p>
          <w:p w14:paraId="2C92B167" w14:textId="685C0C58" w:rsidR="00016449" w:rsidRDefault="00016449" w:rsidP="00927E12">
            <w:r>
              <w:t>Publication co-produced in association with:</w:t>
            </w:r>
          </w:p>
          <w:p w14:paraId="0C05AE4C" w14:textId="77777777" w:rsidR="00CB2256" w:rsidRPr="00CB2256" w:rsidRDefault="00016449" w:rsidP="00D61ED1">
            <w:pPr>
              <w:pStyle w:val="TableBullet"/>
            </w:pPr>
            <w:r w:rsidRPr="00CB2256">
              <w:t>R</w:t>
            </w:r>
            <w:r w:rsidR="00CB2256" w:rsidRPr="00CB2256">
              <w:t>andell Environmental Consulting</w:t>
            </w:r>
          </w:p>
          <w:p w14:paraId="1B9D1F51" w14:textId="79FB5BC2" w:rsidR="00CB2256" w:rsidRPr="00CB2256" w:rsidRDefault="00CB2256" w:rsidP="00D61ED1">
            <w:pPr>
              <w:pStyle w:val="TableBullet"/>
            </w:pPr>
            <w:r w:rsidRPr="00CB2256">
              <w:t>Blue Environment Pty Ltd</w:t>
            </w:r>
          </w:p>
          <w:p w14:paraId="79D3AE6E" w14:textId="79A177A6" w:rsidR="00016449" w:rsidRDefault="00CB2256" w:rsidP="00D61ED1">
            <w:pPr>
              <w:pStyle w:val="TableBullet"/>
            </w:pPr>
            <w:r w:rsidRPr="00CB2256">
              <w:t>RMIT University</w:t>
            </w:r>
          </w:p>
          <w:p w14:paraId="3211628F" w14:textId="77777777" w:rsidR="002F3DEC" w:rsidRPr="002F3DEC" w:rsidRDefault="004C74E5" w:rsidP="00927E12">
            <w:r w:rsidRPr="00022479">
              <w:rPr>
                <w:b/>
                <w:bCs/>
              </w:rPr>
              <w:t>Accessibility</w:t>
            </w:r>
            <w:r w:rsidR="00927E12">
              <w:t xml:space="preserve"> </w:t>
            </w:r>
            <w:r w:rsidR="00927E12">
              <w:br/>
            </w:r>
            <w:r>
              <w:t xml:space="preserve">This document is available in PDF and Word format on the internet </w:t>
            </w:r>
            <w:r w:rsidRPr="002F3DEC">
              <w:t xml:space="preserve">at </w:t>
            </w:r>
          </w:p>
          <w:p w14:paraId="02C6BE9A" w14:textId="05009260" w:rsidR="004C74E5" w:rsidRDefault="0077299C" w:rsidP="00927E12">
            <w:hyperlink r:id="rId14" w:history="1">
              <w:r w:rsidR="002F3DEC" w:rsidRPr="002F3DEC">
                <w:rPr>
                  <w:rStyle w:val="Hyperlink"/>
                </w:rPr>
                <w:t>www.sustainability.vic.gov.au</w:t>
              </w:r>
            </w:hyperlink>
            <w:r w:rsidR="002F3DEC" w:rsidRPr="002F3DEC">
              <w:t xml:space="preserve">  </w:t>
            </w:r>
            <w:r w:rsidR="006F2F45" w:rsidRPr="002F3DEC">
              <w:t xml:space="preserve"> </w:t>
            </w:r>
          </w:p>
          <w:p w14:paraId="1D8ACAF3" w14:textId="77777777" w:rsidR="004C74E5" w:rsidRDefault="004C74E5" w:rsidP="004C74E5">
            <w:r>
              <w:t xml:space="preserve">While reasonable efforts have been made to ensure that the contents of this publication </w:t>
            </w:r>
            <w:r w:rsidR="00927E12">
              <w:br/>
            </w:r>
            <w:r>
              <w:t xml:space="preserve">are factually correct, Sustainability Victoria </w:t>
            </w:r>
            <w:r w:rsidR="00927E12">
              <w:br/>
            </w:r>
            <w:r>
              <w:t xml:space="preserve">gives no warranty regarding its accuracy, completeness, currency or suitability for any particular purpose and to the extent permitted </w:t>
            </w:r>
            <w:r w:rsidR="00927E12">
              <w:br/>
            </w:r>
            <w:r>
              <w:t xml:space="preserve">by law, does not accept any liability for loss </w:t>
            </w:r>
            <w:r w:rsidR="00927E12">
              <w:br/>
            </w:r>
            <w:r>
              <w:t xml:space="preserve">or damages incurred as a result of reliance </w:t>
            </w:r>
            <w:r w:rsidR="00E82EB5">
              <w:br/>
            </w:r>
            <w:r>
              <w:t xml:space="preserve">placed upon the content of this publication. </w:t>
            </w:r>
            <w:r w:rsidR="00D75D80">
              <w:br/>
            </w:r>
            <w:r>
              <w:t xml:space="preserve">This publication is provided on the basis </w:t>
            </w:r>
            <w:r w:rsidR="00927E12">
              <w:br/>
            </w:r>
            <w:r>
              <w:t xml:space="preserve">that all persons accessing it undertake </w:t>
            </w:r>
            <w:r w:rsidR="00927E12">
              <w:br/>
            </w:r>
            <w:r>
              <w:t>responsibility for assessing the relevance and accuracy of its content.</w:t>
            </w:r>
          </w:p>
          <w:p w14:paraId="70989E2C" w14:textId="77777777" w:rsidR="004C74E5" w:rsidRDefault="00B00777" w:rsidP="00A620A0">
            <w:r>
              <w:t>This report</w:t>
            </w:r>
            <w:r w:rsidR="004C74E5">
              <w:t xml:space="preserve"> should be attributed to </w:t>
            </w:r>
            <w:r w:rsidR="00927E12">
              <w:br/>
            </w:r>
            <w:r w:rsidR="000548BD">
              <w:t>S</w:t>
            </w:r>
            <w:r w:rsidR="004C74E5">
              <w:t>ustainability Victoria.</w:t>
            </w:r>
          </w:p>
          <w:p w14:paraId="29F90349" w14:textId="0E798FDC" w:rsidR="004C74E5" w:rsidRDefault="00B00777" w:rsidP="00A620A0">
            <w:r>
              <w:t xml:space="preserve">This report </w:t>
            </w:r>
            <w:r w:rsidR="004C74E5">
              <w:t xml:space="preserve">is licensed under a Creative </w:t>
            </w:r>
            <w:r w:rsidR="00E82EB5">
              <w:br/>
            </w:r>
            <w:r w:rsidR="004C74E5">
              <w:t xml:space="preserve">Commons Attribution 4.0 Australia licence. </w:t>
            </w:r>
            <w:r w:rsidR="00D75D80">
              <w:br/>
            </w:r>
            <w:r w:rsidR="004C74E5">
              <w:t xml:space="preserve">In essence, you are free to copy, distribute and adapt the work, as long as you attribute the </w:t>
            </w:r>
            <w:r w:rsidR="00927E12">
              <w:br/>
            </w:r>
            <w:r w:rsidR="004C74E5">
              <w:t xml:space="preserve">work and abide by the other licence terms. </w:t>
            </w:r>
            <w:r w:rsidR="00D75D80">
              <w:br/>
            </w:r>
            <w:r w:rsidR="004C74E5">
              <w:t xml:space="preserve">Go to </w:t>
            </w:r>
            <w:hyperlink r:id="rId15" w:history="1">
              <w:r w:rsidR="004C74E5" w:rsidRPr="002A1989">
                <w:rPr>
                  <w:rStyle w:val="Hyperlink"/>
                </w:rPr>
                <w:t>http://creativecommons.org/licenses/by/4.0/</w:t>
              </w:r>
            </w:hyperlink>
            <w:r w:rsidR="004C74E5">
              <w:t xml:space="preserve"> </w:t>
            </w:r>
            <w:r w:rsidR="007058E9">
              <w:br/>
            </w:r>
            <w:r w:rsidR="004C74E5">
              <w:t>to view a copy of this licence.</w:t>
            </w:r>
          </w:p>
          <w:p w14:paraId="50FFC064" w14:textId="77777777" w:rsidR="004C74E5" w:rsidRDefault="007058E9" w:rsidP="00654AF6">
            <w:r>
              <w:br/>
            </w:r>
            <w:r w:rsidR="00654AF6" w:rsidRPr="00654AF6">
              <w:rPr>
                <w:noProof/>
                <w:lang w:eastAsia="en-AU"/>
              </w:rPr>
              <w:drawing>
                <wp:inline distT="0" distB="0" distL="0" distR="0" wp14:anchorId="3AC62EBE" wp14:editId="1C888BD8">
                  <wp:extent cx="1123950" cy="480321"/>
                  <wp:effectExtent l="0" t="0" r="0" b="0"/>
                  <wp:docPr id="4" name="Picture 3">
                    <a:extLst xmlns:a="http://schemas.openxmlformats.org/drawingml/2006/main">
                      <a:ext uri="{FF2B5EF4-FFF2-40B4-BE49-F238E27FC236}">
                        <a16:creationId xmlns:a16="http://schemas.microsoft.com/office/drawing/2014/main" id="{4791909F-A1C4-499D-AA0D-332AA2E9DC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791909F-A1C4-499D-AA0D-332AA2E9DCBC}"/>
                              </a:ext>
                            </a:extLst>
                          </pic:cNvPr>
                          <pic:cNvPicPr>
                            <a:picLocks noChangeAspect="1"/>
                          </pic:cNvPicPr>
                        </pic:nvPicPr>
                        <pic:blipFill>
                          <a:blip r:embed="rId16"/>
                          <a:stretch>
                            <a:fillRect/>
                          </a:stretch>
                        </pic:blipFill>
                        <pic:spPr>
                          <a:xfrm>
                            <a:off x="0" y="0"/>
                            <a:ext cx="1128272" cy="482168"/>
                          </a:xfrm>
                          <a:prstGeom prst="rect">
                            <a:avLst/>
                          </a:prstGeom>
                        </pic:spPr>
                      </pic:pic>
                    </a:graphicData>
                  </a:graphic>
                </wp:inline>
              </w:drawing>
            </w:r>
          </w:p>
        </w:tc>
        <w:tc>
          <w:tcPr>
            <w:tcW w:w="5375" w:type="dxa"/>
          </w:tcPr>
          <w:p w14:paraId="7E8490FE" w14:textId="77777777" w:rsidR="004C74E5" w:rsidRDefault="004C74E5" w:rsidP="006D5547"/>
        </w:tc>
      </w:tr>
    </w:tbl>
    <w:p w14:paraId="36E6A941" w14:textId="77777777" w:rsidR="00186FF5" w:rsidRDefault="00186FF5" w:rsidP="00186FF5">
      <w:pPr>
        <w:spacing w:after="0" w:line="240" w:lineRule="auto"/>
      </w:pPr>
    </w:p>
    <w:p w14:paraId="49F80452" w14:textId="77777777" w:rsidR="009A225C" w:rsidRDefault="009A225C" w:rsidP="006D5547"/>
    <w:p w14:paraId="42C8EEC4" w14:textId="77777777" w:rsidR="009A225C" w:rsidRDefault="009A225C" w:rsidP="006D5547">
      <w:pPr>
        <w:sectPr w:rsidR="009A225C" w:rsidSect="006F7E30">
          <w:headerReference w:type="even" r:id="rId17"/>
          <w:headerReference w:type="default" r:id="rId18"/>
          <w:footerReference w:type="even" r:id="rId19"/>
          <w:footerReference w:type="default" r:id="rId20"/>
          <w:headerReference w:type="first" r:id="rId21"/>
          <w:footerReference w:type="first" r:id="rId22"/>
          <w:pgSz w:w="11906" w:h="16838" w:code="9"/>
          <w:pgMar w:top="1418" w:right="1134" w:bottom="1440" w:left="1134" w:header="851" w:footer="369" w:gutter="0"/>
          <w:cols w:space="708"/>
          <w:docGrid w:linePitch="360"/>
        </w:sectPr>
      </w:pPr>
    </w:p>
    <w:p w14:paraId="317CB50A" w14:textId="77777777" w:rsidR="00363785" w:rsidRDefault="00706AB1" w:rsidP="00EE6034">
      <w:pPr>
        <w:pStyle w:val="TOCHeading"/>
      </w:pPr>
      <w:r w:rsidRPr="00D1096A">
        <w:lastRenderedPageBreak/>
        <w:t>Contents</w:t>
      </w:r>
    </w:p>
    <w:bookmarkStart w:id="1" w:name="StartTOC"/>
    <w:bookmarkEnd w:id="1"/>
    <w:p w14:paraId="124A6B41" w14:textId="483EF04D" w:rsidR="009535F1" w:rsidRDefault="007A2CA7">
      <w:pPr>
        <w:pStyle w:val="TOC1"/>
        <w:rPr>
          <w:rFonts w:asciiTheme="minorHAnsi" w:eastAsiaTheme="minorEastAsia" w:hAnsiTheme="minorHAnsi" w:cstheme="minorBidi"/>
          <w:b w:val="0"/>
          <w:noProof/>
          <w:color w:val="auto"/>
          <w:sz w:val="22"/>
          <w:szCs w:val="22"/>
          <w:lang w:eastAsia="en-AU"/>
        </w:rPr>
      </w:pPr>
      <w:r>
        <w:rPr>
          <w:rFonts w:ascii="Arial Bold" w:hAnsi="Arial Bold"/>
          <w:b w:val="0"/>
          <w:color w:val="FFFFFF" w:themeColor="background2"/>
        </w:rPr>
        <w:fldChar w:fldCharType="begin"/>
      </w:r>
      <w:r>
        <w:rPr>
          <w:rFonts w:ascii="Arial Bold" w:hAnsi="Arial Bold"/>
          <w:b w:val="0"/>
          <w:color w:val="FFFFFF" w:themeColor="background2"/>
        </w:rPr>
        <w:instrText xml:space="preserve"> TOC \t "Heading 1 Numbered,2,Section </w:instrText>
      </w:r>
      <w:r w:rsidR="008C6CDA">
        <w:rPr>
          <w:rFonts w:ascii="Arial Bold" w:hAnsi="Arial Bold"/>
          <w:b w:val="0"/>
          <w:color w:val="FFFFFF" w:themeColor="background2"/>
        </w:rPr>
        <w:instrText xml:space="preserve">Divider </w:instrText>
      </w:r>
      <w:r>
        <w:rPr>
          <w:rFonts w:ascii="Arial Bold" w:hAnsi="Arial Bold"/>
          <w:b w:val="0"/>
          <w:color w:val="FFFFFF" w:themeColor="background2"/>
        </w:rPr>
        <w:instrText xml:space="preserve">Title,1" </w:instrText>
      </w:r>
      <w:r>
        <w:rPr>
          <w:rFonts w:ascii="Arial Bold" w:hAnsi="Arial Bold"/>
          <w:b w:val="0"/>
          <w:color w:val="FFFFFF" w:themeColor="background2"/>
        </w:rPr>
        <w:fldChar w:fldCharType="separate"/>
      </w:r>
      <w:r w:rsidR="009535F1" w:rsidRPr="007C7C8E">
        <w:rPr>
          <w:rFonts w:asciiTheme="minorHAnsi" w:hAnsiTheme="minorHAnsi"/>
          <w:noProof/>
          <w:color w:val="82C341" w:themeColor="background1"/>
        </w:rPr>
        <w:t>1</w:t>
      </w:r>
      <w:r w:rsidR="009535F1">
        <w:rPr>
          <w:rFonts w:asciiTheme="minorHAnsi" w:eastAsiaTheme="minorEastAsia" w:hAnsiTheme="minorHAnsi" w:cstheme="minorBidi"/>
          <w:b w:val="0"/>
          <w:noProof/>
          <w:color w:val="auto"/>
          <w:sz w:val="22"/>
          <w:szCs w:val="22"/>
          <w:lang w:eastAsia="en-AU"/>
        </w:rPr>
        <w:tab/>
      </w:r>
      <w:r w:rsidR="009535F1">
        <w:rPr>
          <w:noProof/>
        </w:rPr>
        <w:t>Introduction</w:t>
      </w:r>
      <w:r w:rsidR="009535F1">
        <w:rPr>
          <w:noProof/>
        </w:rPr>
        <w:tab/>
      </w:r>
      <w:r w:rsidR="009535F1">
        <w:rPr>
          <w:noProof/>
        </w:rPr>
        <w:fldChar w:fldCharType="begin"/>
      </w:r>
      <w:r w:rsidR="009535F1">
        <w:rPr>
          <w:noProof/>
        </w:rPr>
        <w:instrText xml:space="preserve"> PAGEREF _Toc16499275 \h </w:instrText>
      </w:r>
      <w:r w:rsidR="009535F1">
        <w:rPr>
          <w:noProof/>
        </w:rPr>
      </w:r>
      <w:r w:rsidR="009535F1">
        <w:rPr>
          <w:noProof/>
        </w:rPr>
        <w:fldChar w:fldCharType="separate"/>
      </w:r>
      <w:r w:rsidR="009535F1">
        <w:rPr>
          <w:noProof/>
        </w:rPr>
        <w:t>5</w:t>
      </w:r>
      <w:r w:rsidR="009535F1">
        <w:rPr>
          <w:noProof/>
        </w:rPr>
        <w:fldChar w:fldCharType="end"/>
      </w:r>
    </w:p>
    <w:p w14:paraId="4C016944" w14:textId="76D693E7" w:rsidR="009535F1" w:rsidRDefault="009535F1">
      <w:pPr>
        <w:pStyle w:val="TOC1"/>
        <w:rPr>
          <w:rFonts w:asciiTheme="minorHAnsi" w:eastAsiaTheme="minorEastAsia" w:hAnsiTheme="minorHAnsi" w:cstheme="minorBidi"/>
          <w:b w:val="0"/>
          <w:noProof/>
          <w:color w:val="auto"/>
          <w:sz w:val="22"/>
          <w:szCs w:val="22"/>
          <w:lang w:eastAsia="en-AU"/>
        </w:rPr>
      </w:pPr>
      <w:r w:rsidRPr="007C7C8E">
        <w:rPr>
          <w:rFonts w:asciiTheme="minorHAnsi" w:hAnsiTheme="minorHAnsi"/>
          <w:noProof/>
          <w:color w:val="82C341" w:themeColor="background1"/>
        </w:rPr>
        <w:t>2</w:t>
      </w:r>
      <w:r>
        <w:rPr>
          <w:rFonts w:asciiTheme="minorHAnsi" w:eastAsiaTheme="minorEastAsia" w:hAnsiTheme="minorHAnsi" w:cstheme="minorBidi"/>
          <w:b w:val="0"/>
          <w:noProof/>
          <w:color w:val="auto"/>
          <w:sz w:val="22"/>
          <w:szCs w:val="22"/>
          <w:lang w:eastAsia="en-AU"/>
        </w:rPr>
        <w:tab/>
      </w:r>
      <w:r>
        <w:rPr>
          <w:noProof/>
        </w:rPr>
        <w:t>Summary – key findings and opportunities to reduce GHG emissions</w:t>
      </w:r>
      <w:r>
        <w:rPr>
          <w:noProof/>
        </w:rPr>
        <w:tab/>
      </w:r>
      <w:r>
        <w:rPr>
          <w:noProof/>
        </w:rPr>
        <w:fldChar w:fldCharType="begin"/>
      </w:r>
      <w:r>
        <w:rPr>
          <w:noProof/>
        </w:rPr>
        <w:instrText xml:space="preserve"> PAGEREF _Toc16499276 \h </w:instrText>
      </w:r>
      <w:r>
        <w:rPr>
          <w:noProof/>
        </w:rPr>
      </w:r>
      <w:r>
        <w:rPr>
          <w:noProof/>
        </w:rPr>
        <w:fldChar w:fldCharType="separate"/>
      </w:r>
      <w:r>
        <w:rPr>
          <w:noProof/>
        </w:rPr>
        <w:t>6</w:t>
      </w:r>
      <w:r>
        <w:rPr>
          <w:noProof/>
        </w:rPr>
        <w:fldChar w:fldCharType="end"/>
      </w:r>
    </w:p>
    <w:p w14:paraId="6D302892" w14:textId="60C42380" w:rsidR="009535F1" w:rsidRDefault="009535F1">
      <w:pPr>
        <w:pStyle w:val="TOC2"/>
        <w:rPr>
          <w:rFonts w:asciiTheme="minorHAnsi" w:eastAsiaTheme="minorEastAsia" w:hAnsiTheme="minorHAnsi" w:cstheme="minorBidi"/>
          <w:noProof/>
          <w:color w:val="auto"/>
          <w:sz w:val="22"/>
          <w:szCs w:val="22"/>
          <w:lang w:eastAsia="en-AU"/>
        </w:rPr>
      </w:pPr>
      <w:r>
        <w:rPr>
          <w:noProof/>
        </w:rPr>
        <w:t>2.1</w:t>
      </w:r>
      <w:r>
        <w:rPr>
          <w:rFonts w:asciiTheme="minorHAnsi" w:eastAsiaTheme="minorEastAsia" w:hAnsiTheme="minorHAnsi" w:cstheme="minorBidi"/>
          <w:noProof/>
          <w:color w:val="auto"/>
          <w:sz w:val="22"/>
          <w:szCs w:val="22"/>
          <w:lang w:eastAsia="en-AU"/>
        </w:rPr>
        <w:tab/>
      </w:r>
      <w:r>
        <w:rPr>
          <w:noProof/>
        </w:rPr>
        <w:t>Overall waste sector emissions</w:t>
      </w:r>
      <w:r>
        <w:rPr>
          <w:noProof/>
        </w:rPr>
        <w:tab/>
      </w:r>
      <w:r>
        <w:rPr>
          <w:noProof/>
        </w:rPr>
        <w:fldChar w:fldCharType="begin"/>
      </w:r>
      <w:r>
        <w:rPr>
          <w:noProof/>
        </w:rPr>
        <w:instrText xml:space="preserve"> PAGEREF _Toc16499277 \h </w:instrText>
      </w:r>
      <w:r>
        <w:rPr>
          <w:noProof/>
        </w:rPr>
      </w:r>
      <w:r>
        <w:rPr>
          <w:noProof/>
        </w:rPr>
        <w:fldChar w:fldCharType="separate"/>
      </w:r>
      <w:r>
        <w:rPr>
          <w:noProof/>
        </w:rPr>
        <w:t>6</w:t>
      </w:r>
      <w:r>
        <w:rPr>
          <w:noProof/>
        </w:rPr>
        <w:fldChar w:fldCharType="end"/>
      </w:r>
    </w:p>
    <w:p w14:paraId="6B916531" w14:textId="29D5AAB1" w:rsidR="009535F1" w:rsidRDefault="009535F1">
      <w:pPr>
        <w:pStyle w:val="TOC2"/>
        <w:rPr>
          <w:rFonts w:asciiTheme="minorHAnsi" w:eastAsiaTheme="minorEastAsia" w:hAnsiTheme="minorHAnsi" w:cstheme="minorBidi"/>
          <w:noProof/>
          <w:color w:val="auto"/>
          <w:sz w:val="22"/>
          <w:szCs w:val="22"/>
          <w:lang w:eastAsia="en-AU"/>
        </w:rPr>
      </w:pPr>
      <w:r>
        <w:rPr>
          <w:noProof/>
        </w:rPr>
        <w:t>2.2</w:t>
      </w:r>
      <w:r>
        <w:rPr>
          <w:rFonts w:asciiTheme="minorHAnsi" w:eastAsiaTheme="minorEastAsia" w:hAnsiTheme="minorHAnsi" w:cstheme="minorBidi"/>
          <w:noProof/>
          <w:color w:val="auto"/>
          <w:sz w:val="22"/>
          <w:szCs w:val="22"/>
          <w:lang w:eastAsia="en-AU"/>
        </w:rPr>
        <w:tab/>
      </w:r>
      <w:r>
        <w:rPr>
          <w:noProof/>
        </w:rPr>
        <w:t>Gross emissions from infrastructure (scope 1-2)</w:t>
      </w:r>
      <w:r>
        <w:rPr>
          <w:noProof/>
        </w:rPr>
        <w:tab/>
      </w:r>
      <w:r>
        <w:rPr>
          <w:noProof/>
        </w:rPr>
        <w:fldChar w:fldCharType="begin"/>
      </w:r>
      <w:r>
        <w:rPr>
          <w:noProof/>
        </w:rPr>
        <w:instrText xml:space="preserve"> PAGEREF _Toc16499278 \h </w:instrText>
      </w:r>
      <w:r>
        <w:rPr>
          <w:noProof/>
        </w:rPr>
      </w:r>
      <w:r>
        <w:rPr>
          <w:noProof/>
        </w:rPr>
        <w:fldChar w:fldCharType="separate"/>
      </w:r>
      <w:r>
        <w:rPr>
          <w:noProof/>
        </w:rPr>
        <w:t>6</w:t>
      </w:r>
      <w:r>
        <w:rPr>
          <w:noProof/>
        </w:rPr>
        <w:fldChar w:fldCharType="end"/>
      </w:r>
    </w:p>
    <w:p w14:paraId="43E40841" w14:textId="1A578798" w:rsidR="009535F1" w:rsidRDefault="009535F1">
      <w:pPr>
        <w:pStyle w:val="TOC2"/>
        <w:rPr>
          <w:rFonts w:asciiTheme="minorHAnsi" w:eastAsiaTheme="minorEastAsia" w:hAnsiTheme="minorHAnsi" w:cstheme="minorBidi"/>
          <w:noProof/>
          <w:color w:val="auto"/>
          <w:sz w:val="22"/>
          <w:szCs w:val="22"/>
          <w:lang w:eastAsia="en-AU"/>
        </w:rPr>
      </w:pPr>
      <w:r>
        <w:rPr>
          <w:noProof/>
        </w:rPr>
        <w:t>2.3</w:t>
      </w:r>
      <w:r>
        <w:rPr>
          <w:rFonts w:asciiTheme="minorHAnsi" w:eastAsiaTheme="minorEastAsia" w:hAnsiTheme="minorHAnsi" w:cstheme="minorBidi"/>
          <w:noProof/>
          <w:color w:val="auto"/>
          <w:sz w:val="22"/>
          <w:szCs w:val="22"/>
          <w:lang w:eastAsia="en-AU"/>
        </w:rPr>
        <w:tab/>
      </w:r>
      <w:r>
        <w:rPr>
          <w:noProof/>
        </w:rPr>
        <w:t>Transport emissions</w:t>
      </w:r>
      <w:r>
        <w:rPr>
          <w:noProof/>
        </w:rPr>
        <w:tab/>
      </w:r>
      <w:r>
        <w:rPr>
          <w:noProof/>
        </w:rPr>
        <w:fldChar w:fldCharType="begin"/>
      </w:r>
      <w:r>
        <w:rPr>
          <w:noProof/>
        </w:rPr>
        <w:instrText xml:space="preserve"> PAGEREF _Toc16499279 \h </w:instrText>
      </w:r>
      <w:r>
        <w:rPr>
          <w:noProof/>
        </w:rPr>
      </w:r>
      <w:r>
        <w:rPr>
          <w:noProof/>
        </w:rPr>
        <w:fldChar w:fldCharType="separate"/>
      </w:r>
      <w:r>
        <w:rPr>
          <w:noProof/>
        </w:rPr>
        <w:t>7</w:t>
      </w:r>
      <w:r>
        <w:rPr>
          <w:noProof/>
        </w:rPr>
        <w:fldChar w:fldCharType="end"/>
      </w:r>
    </w:p>
    <w:p w14:paraId="1E1D7E68" w14:textId="3A4E94DA" w:rsidR="009535F1" w:rsidRDefault="009535F1">
      <w:pPr>
        <w:pStyle w:val="TOC2"/>
        <w:rPr>
          <w:rFonts w:asciiTheme="minorHAnsi" w:eastAsiaTheme="minorEastAsia" w:hAnsiTheme="minorHAnsi" w:cstheme="minorBidi"/>
          <w:noProof/>
          <w:color w:val="auto"/>
          <w:sz w:val="22"/>
          <w:szCs w:val="22"/>
          <w:lang w:eastAsia="en-AU"/>
        </w:rPr>
      </w:pPr>
      <w:r>
        <w:rPr>
          <w:noProof/>
        </w:rPr>
        <w:t>2.4</w:t>
      </w:r>
      <w:r>
        <w:rPr>
          <w:rFonts w:asciiTheme="minorHAnsi" w:eastAsiaTheme="minorEastAsia" w:hAnsiTheme="minorHAnsi" w:cstheme="minorBidi"/>
          <w:noProof/>
          <w:color w:val="auto"/>
          <w:sz w:val="22"/>
          <w:szCs w:val="22"/>
          <w:lang w:eastAsia="en-AU"/>
        </w:rPr>
        <w:tab/>
      </w:r>
      <w:r>
        <w:rPr>
          <w:noProof/>
        </w:rPr>
        <w:t>Net emissions from waste sector infrastructure and transport (scopes 1-3)</w:t>
      </w:r>
      <w:r>
        <w:rPr>
          <w:noProof/>
        </w:rPr>
        <w:tab/>
      </w:r>
      <w:r>
        <w:rPr>
          <w:noProof/>
        </w:rPr>
        <w:fldChar w:fldCharType="begin"/>
      </w:r>
      <w:r>
        <w:rPr>
          <w:noProof/>
        </w:rPr>
        <w:instrText xml:space="preserve"> PAGEREF _Toc16499280 \h </w:instrText>
      </w:r>
      <w:r>
        <w:rPr>
          <w:noProof/>
        </w:rPr>
      </w:r>
      <w:r>
        <w:rPr>
          <w:noProof/>
        </w:rPr>
        <w:fldChar w:fldCharType="separate"/>
      </w:r>
      <w:r>
        <w:rPr>
          <w:noProof/>
        </w:rPr>
        <w:t>7</w:t>
      </w:r>
      <w:r>
        <w:rPr>
          <w:noProof/>
        </w:rPr>
        <w:fldChar w:fldCharType="end"/>
      </w:r>
    </w:p>
    <w:p w14:paraId="6C87189F" w14:textId="7E4BA711" w:rsidR="009535F1" w:rsidRDefault="009535F1">
      <w:pPr>
        <w:pStyle w:val="TOC2"/>
        <w:rPr>
          <w:rFonts w:asciiTheme="minorHAnsi" w:eastAsiaTheme="minorEastAsia" w:hAnsiTheme="minorHAnsi" w:cstheme="minorBidi"/>
          <w:noProof/>
          <w:color w:val="auto"/>
          <w:sz w:val="22"/>
          <w:szCs w:val="22"/>
          <w:lang w:eastAsia="en-AU"/>
        </w:rPr>
      </w:pPr>
      <w:r>
        <w:rPr>
          <w:noProof/>
        </w:rPr>
        <w:t>2.5</w:t>
      </w:r>
      <w:r>
        <w:rPr>
          <w:rFonts w:asciiTheme="minorHAnsi" w:eastAsiaTheme="minorEastAsia" w:hAnsiTheme="minorHAnsi" w:cstheme="minorBidi"/>
          <w:noProof/>
          <w:color w:val="auto"/>
          <w:sz w:val="22"/>
          <w:szCs w:val="22"/>
          <w:lang w:eastAsia="en-AU"/>
        </w:rPr>
        <w:tab/>
      </w:r>
      <w:r>
        <w:rPr>
          <w:noProof/>
        </w:rPr>
        <w:t>Potential GHG emissions reductions</w:t>
      </w:r>
      <w:r>
        <w:rPr>
          <w:noProof/>
        </w:rPr>
        <w:tab/>
      </w:r>
      <w:r>
        <w:rPr>
          <w:noProof/>
        </w:rPr>
        <w:fldChar w:fldCharType="begin"/>
      </w:r>
      <w:r>
        <w:rPr>
          <w:noProof/>
        </w:rPr>
        <w:instrText xml:space="preserve"> PAGEREF _Toc16499281 \h </w:instrText>
      </w:r>
      <w:r>
        <w:rPr>
          <w:noProof/>
        </w:rPr>
      </w:r>
      <w:r>
        <w:rPr>
          <w:noProof/>
        </w:rPr>
        <w:fldChar w:fldCharType="separate"/>
      </w:r>
      <w:r>
        <w:rPr>
          <w:noProof/>
        </w:rPr>
        <w:t>7</w:t>
      </w:r>
      <w:r>
        <w:rPr>
          <w:noProof/>
        </w:rPr>
        <w:fldChar w:fldCharType="end"/>
      </w:r>
    </w:p>
    <w:p w14:paraId="15C8787C" w14:textId="5EBD4ACC" w:rsidR="009535F1" w:rsidRDefault="009535F1">
      <w:pPr>
        <w:pStyle w:val="TOC2"/>
        <w:rPr>
          <w:rFonts w:asciiTheme="minorHAnsi" w:eastAsiaTheme="minorEastAsia" w:hAnsiTheme="minorHAnsi" w:cstheme="minorBidi"/>
          <w:noProof/>
          <w:color w:val="auto"/>
          <w:sz w:val="22"/>
          <w:szCs w:val="22"/>
          <w:lang w:eastAsia="en-AU"/>
        </w:rPr>
      </w:pPr>
      <w:r>
        <w:rPr>
          <w:noProof/>
        </w:rPr>
        <w:t>2.6</w:t>
      </w:r>
      <w:r>
        <w:rPr>
          <w:rFonts w:asciiTheme="minorHAnsi" w:eastAsiaTheme="minorEastAsia" w:hAnsiTheme="minorHAnsi" w:cstheme="minorBidi"/>
          <w:noProof/>
          <w:color w:val="auto"/>
          <w:sz w:val="22"/>
          <w:szCs w:val="22"/>
          <w:lang w:eastAsia="en-AU"/>
        </w:rPr>
        <w:tab/>
      </w:r>
      <w:r>
        <w:rPr>
          <w:noProof/>
        </w:rPr>
        <w:t>Key interventions to reduce GHG emissions</w:t>
      </w:r>
      <w:r>
        <w:rPr>
          <w:noProof/>
        </w:rPr>
        <w:tab/>
      </w:r>
      <w:r>
        <w:rPr>
          <w:noProof/>
        </w:rPr>
        <w:fldChar w:fldCharType="begin"/>
      </w:r>
      <w:r>
        <w:rPr>
          <w:noProof/>
        </w:rPr>
        <w:instrText xml:space="preserve"> PAGEREF _Toc16499282 \h </w:instrText>
      </w:r>
      <w:r>
        <w:rPr>
          <w:noProof/>
        </w:rPr>
      </w:r>
      <w:r>
        <w:rPr>
          <w:noProof/>
        </w:rPr>
        <w:fldChar w:fldCharType="separate"/>
      </w:r>
      <w:r>
        <w:rPr>
          <w:noProof/>
        </w:rPr>
        <w:t>7</w:t>
      </w:r>
      <w:r>
        <w:rPr>
          <w:noProof/>
        </w:rPr>
        <w:fldChar w:fldCharType="end"/>
      </w:r>
    </w:p>
    <w:p w14:paraId="46C2F61A" w14:textId="4BA5482D" w:rsidR="009535F1" w:rsidRDefault="009535F1">
      <w:pPr>
        <w:pStyle w:val="TOC1"/>
        <w:rPr>
          <w:rFonts w:asciiTheme="minorHAnsi" w:eastAsiaTheme="minorEastAsia" w:hAnsiTheme="minorHAnsi" w:cstheme="minorBidi"/>
          <w:b w:val="0"/>
          <w:noProof/>
          <w:color w:val="auto"/>
          <w:sz w:val="22"/>
          <w:szCs w:val="22"/>
          <w:lang w:eastAsia="en-AU"/>
        </w:rPr>
      </w:pPr>
      <w:r w:rsidRPr="007C7C8E">
        <w:rPr>
          <w:rFonts w:asciiTheme="minorHAnsi" w:hAnsiTheme="minorHAnsi"/>
          <w:noProof/>
          <w:color w:val="82C341" w:themeColor="background1"/>
        </w:rPr>
        <w:t>3</w:t>
      </w:r>
      <w:r>
        <w:rPr>
          <w:rFonts w:asciiTheme="minorHAnsi" w:eastAsiaTheme="minorEastAsia" w:hAnsiTheme="minorHAnsi" w:cstheme="minorBidi"/>
          <w:b w:val="0"/>
          <w:noProof/>
          <w:color w:val="auto"/>
          <w:sz w:val="22"/>
          <w:szCs w:val="22"/>
          <w:lang w:eastAsia="en-AU"/>
        </w:rPr>
        <w:tab/>
      </w:r>
      <w:r>
        <w:rPr>
          <w:noProof/>
        </w:rPr>
        <w:t>Method</w:t>
      </w:r>
      <w:r>
        <w:rPr>
          <w:noProof/>
        </w:rPr>
        <w:tab/>
      </w:r>
      <w:r>
        <w:rPr>
          <w:noProof/>
        </w:rPr>
        <w:fldChar w:fldCharType="begin"/>
      </w:r>
      <w:r>
        <w:rPr>
          <w:noProof/>
        </w:rPr>
        <w:instrText xml:space="preserve"> PAGEREF _Toc16499283 \h </w:instrText>
      </w:r>
      <w:r>
        <w:rPr>
          <w:noProof/>
        </w:rPr>
      </w:r>
      <w:r>
        <w:rPr>
          <w:noProof/>
        </w:rPr>
        <w:fldChar w:fldCharType="separate"/>
      </w:r>
      <w:r>
        <w:rPr>
          <w:noProof/>
        </w:rPr>
        <w:t>8</w:t>
      </w:r>
      <w:r>
        <w:rPr>
          <w:noProof/>
        </w:rPr>
        <w:fldChar w:fldCharType="end"/>
      </w:r>
    </w:p>
    <w:p w14:paraId="4068211B" w14:textId="6BA6D806" w:rsidR="009535F1" w:rsidRDefault="009535F1">
      <w:pPr>
        <w:pStyle w:val="TOC2"/>
        <w:rPr>
          <w:rFonts w:asciiTheme="minorHAnsi" w:eastAsiaTheme="minorEastAsia" w:hAnsiTheme="minorHAnsi" w:cstheme="minorBidi"/>
          <w:noProof/>
          <w:color w:val="auto"/>
          <w:sz w:val="22"/>
          <w:szCs w:val="22"/>
          <w:lang w:eastAsia="en-AU"/>
        </w:rPr>
      </w:pPr>
      <w:r>
        <w:rPr>
          <w:noProof/>
        </w:rPr>
        <w:t>3.1</w:t>
      </w:r>
      <w:r>
        <w:rPr>
          <w:rFonts w:asciiTheme="minorHAnsi" w:eastAsiaTheme="minorEastAsia" w:hAnsiTheme="minorHAnsi" w:cstheme="minorBidi"/>
          <w:noProof/>
          <w:color w:val="auto"/>
          <w:sz w:val="22"/>
          <w:szCs w:val="22"/>
          <w:lang w:eastAsia="en-AU"/>
        </w:rPr>
        <w:tab/>
      </w:r>
      <w:r>
        <w:rPr>
          <w:noProof/>
        </w:rPr>
        <w:t>Data frameworks and sources</w:t>
      </w:r>
      <w:r>
        <w:rPr>
          <w:noProof/>
        </w:rPr>
        <w:tab/>
      </w:r>
      <w:r>
        <w:rPr>
          <w:noProof/>
        </w:rPr>
        <w:fldChar w:fldCharType="begin"/>
      </w:r>
      <w:r>
        <w:rPr>
          <w:noProof/>
        </w:rPr>
        <w:instrText xml:space="preserve"> PAGEREF _Toc16499284 \h </w:instrText>
      </w:r>
      <w:r>
        <w:rPr>
          <w:noProof/>
        </w:rPr>
      </w:r>
      <w:r>
        <w:rPr>
          <w:noProof/>
        </w:rPr>
        <w:fldChar w:fldCharType="separate"/>
      </w:r>
      <w:r>
        <w:rPr>
          <w:noProof/>
        </w:rPr>
        <w:t>8</w:t>
      </w:r>
      <w:r>
        <w:rPr>
          <w:noProof/>
        </w:rPr>
        <w:fldChar w:fldCharType="end"/>
      </w:r>
    </w:p>
    <w:p w14:paraId="75CAE498" w14:textId="35590BC0" w:rsidR="009535F1" w:rsidRDefault="009535F1">
      <w:pPr>
        <w:pStyle w:val="TOC2"/>
        <w:rPr>
          <w:rFonts w:asciiTheme="minorHAnsi" w:eastAsiaTheme="minorEastAsia" w:hAnsiTheme="minorHAnsi" w:cstheme="minorBidi"/>
          <w:noProof/>
          <w:color w:val="auto"/>
          <w:sz w:val="22"/>
          <w:szCs w:val="22"/>
          <w:lang w:eastAsia="en-AU"/>
        </w:rPr>
      </w:pPr>
      <w:r>
        <w:rPr>
          <w:noProof/>
        </w:rPr>
        <w:t>3.2</w:t>
      </w:r>
      <w:r>
        <w:rPr>
          <w:rFonts w:asciiTheme="minorHAnsi" w:eastAsiaTheme="minorEastAsia" w:hAnsiTheme="minorHAnsi" w:cstheme="minorBidi"/>
          <w:noProof/>
          <w:color w:val="auto"/>
          <w:sz w:val="22"/>
          <w:szCs w:val="22"/>
          <w:lang w:eastAsia="en-AU"/>
        </w:rPr>
        <w:tab/>
      </w:r>
      <w:r>
        <w:rPr>
          <w:noProof/>
        </w:rPr>
        <w:t>Study boundaries and NGERS scope 1, 2 and 3 emissions</w:t>
      </w:r>
      <w:r>
        <w:rPr>
          <w:noProof/>
        </w:rPr>
        <w:tab/>
      </w:r>
      <w:r>
        <w:rPr>
          <w:noProof/>
        </w:rPr>
        <w:fldChar w:fldCharType="begin"/>
      </w:r>
      <w:r>
        <w:rPr>
          <w:noProof/>
        </w:rPr>
        <w:instrText xml:space="preserve"> PAGEREF _Toc16499285 \h </w:instrText>
      </w:r>
      <w:r>
        <w:rPr>
          <w:noProof/>
        </w:rPr>
      </w:r>
      <w:r>
        <w:rPr>
          <w:noProof/>
        </w:rPr>
        <w:fldChar w:fldCharType="separate"/>
      </w:r>
      <w:r>
        <w:rPr>
          <w:noProof/>
        </w:rPr>
        <w:t>8</w:t>
      </w:r>
      <w:r>
        <w:rPr>
          <w:noProof/>
        </w:rPr>
        <w:fldChar w:fldCharType="end"/>
      </w:r>
    </w:p>
    <w:p w14:paraId="03B0889E" w14:textId="525A193B" w:rsidR="009535F1" w:rsidRDefault="009535F1">
      <w:pPr>
        <w:pStyle w:val="TOC2"/>
        <w:rPr>
          <w:rFonts w:asciiTheme="minorHAnsi" w:eastAsiaTheme="minorEastAsia" w:hAnsiTheme="minorHAnsi" w:cstheme="minorBidi"/>
          <w:noProof/>
          <w:color w:val="auto"/>
          <w:sz w:val="22"/>
          <w:szCs w:val="22"/>
          <w:lang w:eastAsia="en-AU"/>
        </w:rPr>
      </w:pPr>
      <w:r>
        <w:rPr>
          <w:noProof/>
        </w:rPr>
        <w:t>3.3</w:t>
      </w:r>
      <w:r>
        <w:rPr>
          <w:rFonts w:asciiTheme="minorHAnsi" w:eastAsiaTheme="minorEastAsia" w:hAnsiTheme="minorHAnsi" w:cstheme="minorBidi"/>
          <w:noProof/>
          <w:color w:val="auto"/>
          <w:sz w:val="22"/>
          <w:szCs w:val="22"/>
          <w:lang w:eastAsia="en-AU"/>
        </w:rPr>
        <w:tab/>
      </w:r>
      <w:r>
        <w:rPr>
          <w:noProof/>
        </w:rPr>
        <w:t>GHG emissions modelling - scope 1, 2, and 3 emissions boundaries</w:t>
      </w:r>
      <w:r>
        <w:rPr>
          <w:noProof/>
        </w:rPr>
        <w:tab/>
      </w:r>
      <w:r>
        <w:rPr>
          <w:noProof/>
        </w:rPr>
        <w:fldChar w:fldCharType="begin"/>
      </w:r>
      <w:r>
        <w:rPr>
          <w:noProof/>
        </w:rPr>
        <w:instrText xml:space="preserve"> PAGEREF _Toc16499286 \h </w:instrText>
      </w:r>
      <w:r>
        <w:rPr>
          <w:noProof/>
        </w:rPr>
      </w:r>
      <w:r>
        <w:rPr>
          <w:noProof/>
        </w:rPr>
        <w:fldChar w:fldCharType="separate"/>
      </w:r>
      <w:r>
        <w:rPr>
          <w:noProof/>
        </w:rPr>
        <w:t>10</w:t>
      </w:r>
      <w:r>
        <w:rPr>
          <w:noProof/>
        </w:rPr>
        <w:fldChar w:fldCharType="end"/>
      </w:r>
    </w:p>
    <w:p w14:paraId="2675D05E" w14:textId="45C08AC5" w:rsidR="009535F1" w:rsidRDefault="009535F1">
      <w:pPr>
        <w:pStyle w:val="TOC2"/>
        <w:rPr>
          <w:rFonts w:asciiTheme="minorHAnsi" w:eastAsiaTheme="minorEastAsia" w:hAnsiTheme="minorHAnsi" w:cstheme="minorBidi"/>
          <w:noProof/>
          <w:color w:val="auto"/>
          <w:sz w:val="22"/>
          <w:szCs w:val="22"/>
          <w:lang w:eastAsia="en-AU"/>
        </w:rPr>
      </w:pPr>
      <w:r>
        <w:rPr>
          <w:noProof/>
        </w:rPr>
        <w:t>3.4</w:t>
      </w:r>
      <w:r>
        <w:rPr>
          <w:rFonts w:asciiTheme="minorHAnsi" w:eastAsiaTheme="minorEastAsia" w:hAnsiTheme="minorHAnsi" w:cstheme="minorBidi"/>
          <w:noProof/>
          <w:color w:val="auto"/>
          <w:sz w:val="22"/>
          <w:szCs w:val="22"/>
          <w:lang w:eastAsia="en-AU"/>
        </w:rPr>
        <w:tab/>
      </w:r>
      <w:r>
        <w:rPr>
          <w:noProof/>
        </w:rPr>
        <w:t>GHG waste sector model transport boundary</w:t>
      </w:r>
      <w:r>
        <w:rPr>
          <w:noProof/>
        </w:rPr>
        <w:tab/>
      </w:r>
      <w:r>
        <w:rPr>
          <w:noProof/>
        </w:rPr>
        <w:fldChar w:fldCharType="begin"/>
      </w:r>
      <w:r>
        <w:rPr>
          <w:noProof/>
        </w:rPr>
        <w:instrText xml:space="preserve"> PAGEREF _Toc16499287 \h </w:instrText>
      </w:r>
      <w:r>
        <w:rPr>
          <w:noProof/>
        </w:rPr>
      </w:r>
      <w:r>
        <w:rPr>
          <w:noProof/>
        </w:rPr>
        <w:fldChar w:fldCharType="separate"/>
      </w:r>
      <w:r>
        <w:rPr>
          <w:noProof/>
        </w:rPr>
        <w:t>11</w:t>
      </w:r>
      <w:r>
        <w:rPr>
          <w:noProof/>
        </w:rPr>
        <w:fldChar w:fldCharType="end"/>
      </w:r>
    </w:p>
    <w:p w14:paraId="10C77E1E" w14:textId="04A5330F" w:rsidR="009535F1" w:rsidRDefault="009535F1">
      <w:pPr>
        <w:pStyle w:val="TOC2"/>
        <w:rPr>
          <w:rFonts w:asciiTheme="minorHAnsi" w:eastAsiaTheme="minorEastAsia" w:hAnsiTheme="minorHAnsi" w:cstheme="minorBidi"/>
          <w:noProof/>
          <w:color w:val="auto"/>
          <w:sz w:val="22"/>
          <w:szCs w:val="22"/>
          <w:lang w:eastAsia="en-AU"/>
        </w:rPr>
      </w:pPr>
      <w:r>
        <w:rPr>
          <w:noProof/>
        </w:rPr>
        <w:t>3.5</w:t>
      </w:r>
      <w:r>
        <w:rPr>
          <w:rFonts w:asciiTheme="minorHAnsi" w:eastAsiaTheme="minorEastAsia" w:hAnsiTheme="minorHAnsi" w:cstheme="minorBidi"/>
          <w:noProof/>
          <w:color w:val="auto"/>
          <w:sz w:val="22"/>
          <w:szCs w:val="22"/>
          <w:lang w:eastAsia="en-AU"/>
        </w:rPr>
        <w:tab/>
      </w:r>
      <w:r>
        <w:rPr>
          <w:noProof/>
        </w:rPr>
        <w:t>Peer review</w:t>
      </w:r>
      <w:r>
        <w:rPr>
          <w:noProof/>
        </w:rPr>
        <w:tab/>
      </w:r>
      <w:r>
        <w:rPr>
          <w:noProof/>
        </w:rPr>
        <w:fldChar w:fldCharType="begin"/>
      </w:r>
      <w:r>
        <w:rPr>
          <w:noProof/>
        </w:rPr>
        <w:instrText xml:space="preserve"> PAGEREF _Toc16499288 \h </w:instrText>
      </w:r>
      <w:r>
        <w:rPr>
          <w:noProof/>
        </w:rPr>
      </w:r>
      <w:r>
        <w:rPr>
          <w:noProof/>
        </w:rPr>
        <w:fldChar w:fldCharType="separate"/>
      </w:r>
      <w:r>
        <w:rPr>
          <w:noProof/>
        </w:rPr>
        <w:t>11</w:t>
      </w:r>
      <w:r>
        <w:rPr>
          <w:noProof/>
        </w:rPr>
        <w:fldChar w:fldCharType="end"/>
      </w:r>
    </w:p>
    <w:p w14:paraId="503E01D1" w14:textId="2B8B0593" w:rsidR="009535F1" w:rsidRDefault="009535F1">
      <w:pPr>
        <w:pStyle w:val="TOC1"/>
        <w:rPr>
          <w:rFonts w:asciiTheme="minorHAnsi" w:eastAsiaTheme="minorEastAsia" w:hAnsiTheme="minorHAnsi" w:cstheme="minorBidi"/>
          <w:b w:val="0"/>
          <w:noProof/>
          <w:color w:val="auto"/>
          <w:sz w:val="22"/>
          <w:szCs w:val="22"/>
          <w:lang w:eastAsia="en-AU"/>
        </w:rPr>
      </w:pPr>
      <w:r w:rsidRPr="007C7C8E">
        <w:rPr>
          <w:rFonts w:asciiTheme="minorHAnsi" w:hAnsiTheme="minorHAnsi"/>
          <w:noProof/>
          <w:color w:val="82C341" w:themeColor="background1"/>
        </w:rPr>
        <w:t>4</w:t>
      </w:r>
      <w:r>
        <w:rPr>
          <w:rFonts w:asciiTheme="minorHAnsi" w:eastAsiaTheme="minorEastAsia" w:hAnsiTheme="minorHAnsi" w:cstheme="minorBidi"/>
          <w:b w:val="0"/>
          <w:noProof/>
          <w:color w:val="auto"/>
          <w:sz w:val="22"/>
          <w:szCs w:val="22"/>
          <w:lang w:eastAsia="en-AU"/>
        </w:rPr>
        <w:tab/>
      </w:r>
      <w:r>
        <w:rPr>
          <w:noProof/>
        </w:rPr>
        <w:t>Results – GHG emissions from Victoria’s waste and resource recovery sector in 2014-15</w:t>
      </w:r>
      <w:r>
        <w:rPr>
          <w:noProof/>
        </w:rPr>
        <w:tab/>
      </w:r>
      <w:r>
        <w:rPr>
          <w:noProof/>
        </w:rPr>
        <w:fldChar w:fldCharType="begin"/>
      </w:r>
      <w:r>
        <w:rPr>
          <w:noProof/>
        </w:rPr>
        <w:instrText xml:space="preserve"> PAGEREF _Toc16499289 \h </w:instrText>
      </w:r>
      <w:r>
        <w:rPr>
          <w:noProof/>
        </w:rPr>
      </w:r>
      <w:r>
        <w:rPr>
          <w:noProof/>
        </w:rPr>
        <w:fldChar w:fldCharType="separate"/>
      </w:r>
      <w:r>
        <w:rPr>
          <w:noProof/>
        </w:rPr>
        <w:t>12</w:t>
      </w:r>
      <w:r>
        <w:rPr>
          <w:noProof/>
        </w:rPr>
        <w:fldChar w:fldCharType="end"/>
      </w:r>
    </w:p>
    <w:p w14:paraId="75D87C40" w14:textId="52C46F8A" w:rsidR="009535F1" w:rsidRDefault="009535F1">
      <w:pPr>
        <w:pStyle w:val="TOC2"/>
        <w:rPr>
          <w:rFonts w:asciiTheme="minorHAnsi" w:eastAsiaTheme="minorEastAsia" w:hAnsiTheme="minorHAnsi" w:cstheme="minorBidi"/>
          <w:noProof/>
          <w:color w:val="auto"/>
          <w:sz w:val="22"/>
          <w:szCs w:val="22"/>
          <w:lang w:eastAsia="en-AU"/>
        </w:rPr>
      </w:pPr>
      <w:r>
        <w:rPr>
          <w:noProof/>
        </w:rPr>
        <w:t>4.1</w:t>
      </w:r>
      <w:r>
        <w:rPr>
          <w:rFonts w:asciiTheme="minorHAnsi" w:eastAsiaTheme="minorEastAsia" w:hAnsiTheme="minorHAnsi" w:cstheme="minorBidi"/>
          <w:noProof/>
          <w:color w:val="auto"/>
          <w:sz w:val="22"/>
          <w:szCs w:val="22"/>
          <w:lang w:eastAsia="en-AU"/>
        </w:rPr>
        <w:tab/>
      </w:r>
      <w:r>
        <w:rPr>
          <w:noProof/>
        </w:rPr>
        <w:t>Total emissions from Victorian waste sector</w:t>
      </w:r>
      <w:r>
        <w:rPr>
          <w:noProof/>
        </w:rPr>
        <w:tab/>
      </w:r>
      <w:r>
        <w:rPr>
          <w:noProof/>
        </w:rPr>
        <w:fldChar w:fldCharType="begin"/>
      </w:r>
      <w:r>
        <w:rPr>
          <w:noProof/>
        </w:rPr>
        <w:instrText xml:space="preserve"> PAGEREF _Toc16499290 \h </w:instrText>
      </w:r>
      <w:r>
        <w:rPr>
          <w:noProof/>
        </w:rPr>
      </w:r>
      <w:r>
        <w:rPr>
          <w:noProof/>
        </w:rPr>
        <w:fldChar w:fldCharType="separate"/>
      </w:r>
      <w:r>
        <w:rPr>
          <w:noProof/>
        </w:rPr>
        <w:t>13</w:t>
      </w:r>
      <w:r>
        <w:rPr>
          <w:noProof/>
        </w:rPr>
        <w:fldChar w:fldCharType="end"/>
      </w:r>
    </w:p>
    <w:p w14:paraId="0D238E7A" w14:textId="24732455" w:rsidR="009535F1" w:rsidRDefault="009535F1">
      <w:pPr>
        <w:pStyle w:val="TOC2"/>
        <w:rPr>
          <w:rFonts w:asciiTheme="minorHAnsi" w:eastAsiaTheme="minorEastAsia" w:hAnsiTheme="minorHAnsi" w:cstheme="minorBidi"/>
          <w:noProof/>
          <w:color w:val="auto"/>
          <w:sz w:val="22"/>
          <w:szCs w:val="22"/>
          <w:lang w:eastAsia="en-AU"/>
        </w:rPr>
      </w:pPr>
      <w:r>
        <w:rPr>
          <w:noProof/>
        </w:rPr>
        <w:t>4.2</w:t>
      </w:r>
      <w:r>
        <w:rPr>
          <w:rFonts w:asciiTheme="minorHAnsi" w:eastAsiaTheme="minorEastAsia" w:hAnsiTheme="minorHAnsi" w:cstheme="minorBidi"/>
          <w:noProof/>
          <w:color w:val="auto"/>
          <w:sz w:val="22"/>
          <w:szCs w:val="22"/>
          <w:lang w:eastAsia="en-AU"/>
        </w:rPr>
        <w:tab/>
      </w:r>
      <w:r>
        <w:rPr>
          <w:noProof/>
        </w:rPr>
        <w:t>Resource recovery and disposal infrastructure emissions</w:t>
      </w:r>
      <w:r>
        <w:rPr>
          <w:noProof/>
        </w:rPr>
        <w:tab/>
      </w:r>
      <w:r>
        <w:rPr>
          <w:noProof/>
        </w:rPr>
        <w:fldChar w:fldCharType="begin"/>
      </w:r>
      <w:r>
        <w:rPr>
          <w:noProof/>
        </w:rPr>
        <w:instrText xml:space="preserve"> PAGEREF _Toc16499291 \h </w:instrText>
      </w:r>
      <w:r>
        <w:rPr>
          <w:noProof/>
        </w:rPr>
      </w:r>
      <w:r>
        <w:rPr>
          <w:noProof/>
        </w:rPr>
        <w:fldChar w:fldCharType="separate"/>
      </w:r>
      <w:r>
        <w:rPr>
          <w:noProof/>
        </w:rPr>
        <w:t>15</w:t>
      </w:r>
      <w:r>
        <w:rPr>
          <w:noProof/>
        </w:rPr>
        <w:fldChar w:fldCharType="end"/>
      </w:r>
    </w:p>
    <w:p w14:paraId="281D8F1A" w14:textId="77157B0C" w:rsidR="009535F1" w:rsidRDefault="009535F1">
      <w:pPr>
        <w:pStyle w:val="TOC2"/>
        <w:rPr>
          <w:rFonts w:asciiTheme="minorHAnsi" w:eastAsiaTheme="minorEastAsia" w:hAnsiTheme="minorHAnsi" w:cstheme="minorBidi"/>
          <w:noProof/>
          <w:color w:val="auto"/>
          <w:sz w:val="22"/>
          <w:szCs w:val="22"/>
          <w:lang w:eastAsia="en-AU"/>
        </w:rPr>
      </w:pPr>
      <w:r>
        <w:rPr>
          <w:noProof/>
        </w:rPr>
        <w:t>4.3</w:t>
      </w:r>
      <w:r>
        <w:rPr>
          <w:rFonts w:asciiTheme="minorHAnsi" w:eastAsiaTheme="minorEastAsia" w:hAnsiTheme="minorHAnsi" w:cstheme="minorBidi"/>
          <w:noProof/>
          <w:color w:val="auto"/>
          <w:sz w:val="22"/>
          <w:szCs w:val="22"/>
          <w:lang w:eastAsia="en-AU"/>
        </w:rPr>
        <w:tab/>
      </w:r>
      <w:r>
        <w:rPr>
          <w:noProof/>
        </w:rPr>
        <w:t>Transport emissions from Victorian waste sector</w:t>
      </w:r>
      <w:r>
        <w:rPr>
          <w:noProof/>
        </w:rPr>
        <w:tab/>
      </w:r>
      <w:r>
        <w:rPr>
          <w:noProof/>
        </w:rPr>
        <w:fldChar w:fldCharType="begin"/>
      </w:r>
      <w:r>
        <w:rPr>
          <w:noProof/>
        </w:rPr>
        <w:instrText xml:space="preserve"> PAGEREF _Toc16499292 \h </w:instrText>
      </w:r>
      <w:r>
        <w:rPr>
          <w:noProof/>
        </w:rPr>
      </w:r>
      <w:r>
        <w:rPr>
          <w:noProof/>
        </w:rPr>
        <w:fldChar w:fldCharType="separate"/>
      </w:r>
      <w:r>
        <w:rPr>
          <w:noProof/>
        </w:rPr>
        <w:t>17</w:t>
      </w:r>
      <w:r>
        <w:rPr>
          <w:noProof/>
        </w:rPr>
        <w:fldChar w:fldCharType="end"/>
      </w:r>
    </w:p>
    <w:p w14:paraId="11079571" w14:textId="34781639" w:rsidR="009535F1" w:rsidRDefault="009535F1">
      <w:pPr>
        <w:pStyle w:val="TOC2"/>
        <w:rPr>
          <w:rFonts w:asciiTheme="minorHAnsi" w:eastAsiaTheme="minorEastAsia" w:hAnsiTheme="minorHAnsi" w:cstheme="minorBidi"/>
          <w:noProof/>
          <w:color w:val="auto"/>
          <w:sz w:val="22"/>
          <w:szCs w:val="22"/>
          <w:lang w:eastAsia="en-AU"/>
        </w:rPr>
      </w:pPr>
      <w:r>
        <w:rPr>
          <w:noProof/>
        </w:rPr>
        <w:t>4.4</w:t>
      </w:r>
      <w:r>
        <w:rPr>
          <w:rFonts w:asciiTheme="minorHAnsi" w:eastAsiaTheme="minorEastAsia" w:hAnsiTheme="minorHAnsi" w:cstheme="minorBidi"/>
          <w:noProof/>
          <w:color w:val="auto"/>
          <w:sz w:val="22"/>
          <w:szCs w:val="22"/>
          <w:lang w:eastAsia="en-AU"/>
        </w:rPr>
        <w:tab/>
      </w:r>
      <w:r>
        <w:rPr>
          <w:noProof/>
        </w:rPr>
        <w:t>Combined infrastructure and transport emissions</w:t>
      </w:r>
      <w:r>
        <w:rPr>
          <w:noProof/>
        </w:rPr>
        <w:tab/>
      </w:r>
      <w:r>
        <w:rPr>
          <w:noProof/>
        </w:rPr>
        <w:fldChar w:fldCharType="begin"/>
      </w:r>
      <w:r>
        <w:rPr>
          <w:noProof/>
        </w:rPr>
        <w:instrText xml:space="preserve"> PAGEREF _Toc16499293 \h </w:instrText>
      </w:r>
      <w:r>
        <w:rPr>
          <w:noProof/>
        </w:rPr>
      </w:r>
      <w:r>
        <w:rPr>
          <w:noProof/>
        </w:rPr>
        <w:fldChar w:fldCharType="separate"/>
      </w:r>
      <w:r>
        <w:rPr>
          <w:noProof/>
        </w:rPr>
        <w:t>19</w:t>
      </w:r>
      <w:r>
        <w:rPr>
          <w:noProof/>
        </w:rPr>
        <w:fldChar w:fldCharType="end"/>
      </w:r>
    </w:p>
    <w:p w14:paraId="6AFCBDFB" w14:textId="67E3BF82" w:rsidR="009535F1" w:rsidRDefault="009535F1">
      <w:pPr>
        <w:pStyle w:val="TOC2"/>
        <w:rPr>
          <w:rFonts w:asciiTheme="minorHAnsi" w:eastAsiaTheme="minorEastAsia" w:hAnsiTheme="minorHAnsi" w:cstheme="minorBidi"/>
          <w:noProof/>
          <w:color w:val="auto"/>
          <w:sz w:val="22"/>
          <w:szCs w:val="22"/>
          <w:lang w:eastAsia="en-AU"/>
        </w:rPr>
      </w:pPr>
      <w:r>
        <w:rPr>
          <w:noProof/>
        </w:rPr>
        <w:t>4.5</w:t>
      </w:r>
      <w:r>
        <w:rPr>
          <w:rFonts w:asciiTheme="minorHAnsi" w:eastAsiaTheme="minorEastAsia" w:hAnsiTheme="minorHAnsi" w:cstheme="minorBidi"/>
          <w:noProof/>
          <w:color w:val="auto"/>
          <w:sz w:val="22"/>
          <w:szCs w:val="22"/>
          <w:lang w:eastAsia="en-AU"/>
        </w:rPr>
        <w:tab/>
      </w:r>
      <w:r>
        <w:rPr>
          <w:noProof/>
        </w:rPr>
        <w:t>Results sensitivity analysis</w:t>
      </w:r>
      <w:r>
        <w:rPr>
          <w:noProof/>
        </w:rPr>
        <w:tab/>
      </w:r>
      <w:r>
        <w:rPr>
          <w:noProof/>
        </w:rPr>
        <w:fldChar w:fldCharType="begin"/>
      </w:r>
      <w:r>
        <w:rPr>
          <w:noProof/>
        </w:rPr>
        <w:instrText xml:space="preserve"> PAGEREF _Toc16499294 \h </w:instrText>
      </w:r>
      <w:r>
        <w:rPr>
          <w:noProof/>
        </w:rPr>
      </w:r>
      <w:r>
        <w:rPr>
          <w:noProof/>
        </w:rPr>
        <w:fldChar w:fldCharType="separate"/>
      </w:r>
      <w:r>
        <w:rPr>
          <w:noProof/>
        </w:rPr>
        <w:t>23</w:t>
      </w:r>
      <w:r>
        <w:rPr>
          <w:noProof/>
        </w:rPr>
        <w:fldChar w:fldCharType="end"/>
      </w:r>
    </w:p>
    <w:p w14:paraId="7D112D48" w14:textId="719D63C8" w:rsidR="009535F1" w:rsidRDefault="009535F1">
      <w:pPr>
        <w:pStyle w:val="TOC2"/>
        <w:rPr>
          <w:rFonts w:asciiTheme="minorHAnsi" w:eastAsiaTheme="minorEastAsia" w:hAnsiTheme="minorHAnsi" w:cstheme="minorBidi"/>
          <w:noProof/>
          <w:color w:val="auto"/>
          <w:sz w:val="22"/>
          <w:szCs w:val="22"/>
          <w:lang w:eastAsia="en-AU"/>
        </w:rPr>
      </w:pPr>
      <w:r>
        <w:rPr>
          <w:noProof/>
        </w:rPr>
        <w:t>4.6</w:t>
      </w:r>
      <w:r>
        <w:rPr>
          <w:rFonts w:asciiTheme="minorHAnsi" w:eastAsiaTheme="minorEastAsia" w:hAnsiTheme="minorHAnsi" w:cstheme="minorBidi"/>
          <w:noProof/>
          <w:color w:val="auto"/>
          <w:sz w:val="22"/>
          <w:szCs w:val="22"/>
          <w:lang w:eastAsia="en-AU"/>
        </w:rPr>
        <w:tab/>
      </w:r>
      <w:r>
        <w:rPr>
          <w:noProof/>
        </w:rPr>
        <w:t>Uncertainty of results</w:t>
      </w:r>
      <w:r>
        <w:rPr>
          <w:noProof/>
        </w:rPr>
        <w:tab/>
      </w:r>
      <w:r>
        <w:rPr>
          <w:noProof/>
        </w:rPr>
        <w:fldChar w:fldCharType="begin"/>
      </w:r>
      <w:r>
        <w:rPr>
          <w:noProof/>
        </w:rPr>
        <w:instrText xml:space="preserve"> PAGEREF _Toc16499295 \h </w:instrText>
      </w:r>
      <w:r>
        <w:rPr>
          <w:noProof/>
        </w:rPr>
      </w:r>
      <w:r>
        <w:rPr>
          <w:noProof/>
        </w:rPr>
        <w:fldChar w:fldCharType="separate"/>
      </w:r>
      <w:r>
        <w:rPr>
          <w:noProof/>
        </w:rPr>
        <w:t>25</w:t>
      </w:r>
      <w:r>
        <w:rPr>
          <w:noProof/>
        </w:rPr>
        <w:fldChar w:fldCharType="end"/>
      </w:r>
    </w:p>
    <w:p w14:paraId="170320F7" w14:textId="7626C627" w:rsidR="009535F1" w:rsidRDefault="009535F1">
      <w:pPr>
        <w:pStyle w:val="TOC1"/>
        <w:rPr>
          <w:rFonts w:asciiTheme="minorHAnsi" w:eastAsiaTheme="minorEastAsia" w:hAnsiTheme="minorHAnsi" w:cstheme="minorBidi"/>
          <w:b w:val="0"/>
          <w:noProof/>
          <w:color w:val="auto"/>
          <w:sz w:val="22"/>
          <w:szCs w:val="22"/>
          <w:lang w:eastAsia="en-AU"/>
        </w:rPr>
      </w:pPr>
      <w:r w:rsidRPr="007C7C8E">
        <w:rPr>
          <w:rFonts w:asciiTheme="minorHAnsi" w:hAnsiTheme="minorHAnsi"/>
          <w:noProof/>
          <w:color w:val="82C341" w:themeColor="background1"/>
        </w:rPr>
        <w:t>5</w:t>
      </w:r>
      <w:r>
        <w:rPr>
          <w:rFonts w:asciiTheme="minorHAnsi" w:eastAsiaTheme="minorEastAsia" w:hAnsiTheme="minorHAnsi" w:cstheme="minorBidi"/>
          <w:b w:val="0"/>
          <w:noProof/>
          <w:color w:val="auto"/>
          <w:sz w:val="22"/>
          <w:szCs w:val="22"/>
          <w:lang w:eastAsia="en-AU"/>
        </w:rPr>
        <w:tab/>
      </w:r>
      <w:r>
        <w:rPr>
          <w:noProof/>
        </w:rPr>
        <w:t>Key opportunities and potential interventions to reduce GHG emissions</w:t>
      </w:r>
      <w:r>
        <w:rPr>
          <w:noProof/>
        </w:rPr>
        <w:tab/>
      </w:r>
      <w:r>
        <w:rPr>
          <w:noProof/>
        </w:rPr>
        <w:fldChar w:fldCharType="begin"/>
      </w:r>
      <w:r>
        <w:rPr>
          <w:noProof/>
        </w:rPr>
        <w:instrText xml:space="preserve"> PAGEREF _Toc16499296 \h </w:instrText>
      </w:r>
      <w:r>
        <w:rPr>
          <w:noProof/>
        </w:rPr>
      </w:r>
      <w:r>
        <w:rPr>
          <w:noProof/>
        </w:rPr>
        <w:fldChar w:fldCharType="separate"/>
      </w:r>
      <w:r>
        <w:rPr>
          <w:noProof/>
        </w:rPr>
        <w:t>26</w:t>
      </w:r>
      <w:r>
        <w:rPr>
          <w:noProof/>
        </w:rPr>
        <w:fldChar w:fldCharType="end"/>
      </w:r>
    </w:p>
    <w:p w14:paraId="6E14564E" w14:textId="67D7CBBB" w:rsidR="009535F1" w:rsidRDefault="009535F1">
      <w:pPr>
        <w:pStyle w:val="TOC2"/>
        <w:rPr>
          <w:rFonts w:asciiTheme="minorHAnsi" w:eastAsiaTheme="minorEastAsia" w:hAnsiTheme="minorHAnsi" w:cstheme="minorBidi"/>
          <w:noProof/>
          <w:color w:val="auto"/>
          <w:sz w:val="22"/>
          <w:szCs w:val="22"/>
          <w:lang w:eastAsia="en-AU"/>
        </w:rPr>
      </w:pPr>
      <w:r>
        <w:rPr>
          <w:noProof/>
        </w:rPr>
        <w:t>5.1</w:t>
      </w:r>
      <w:r>
        <w:rPr>
          <w:rFonts w:asciiTheme="minorHAnsi" w:eastAsiaTheme="minorEastAsia" w:hAnsiTheme="minorHAnsi" w:cstheme="minorBidi"/>
          <w:noProof/>
          <w:color w:val="auto"/>
          <w:sz w:val="22"/>
          <w:szCs w:val="22"/>
          <w:lang w:eastAsia="en-AU"/>
        </w:rPr>
        <w:tab/>
      </w:r>
      <w:r>
        <w:rPr>
          <w:noProof/>
        </w:rPr>
        <w:t>Steel recycling</w:t>
      </w:r>
      <w:r>
        <w:rPr>
          <w:noProof/>
        </w:rPr>
        <w:tab/>
      </w:r>
      <w:r>
        <w:rPr>
          <w:noProof/>
        </w:rPr>
        <w:fldChar w:fldCharType="begin"/>
      </w:r>
      <w:r>
        <w:rPr>
          <w:noProof/>
        </w:rPr>
        <w:instrText xml:space="preserve"> PAGEREF _Toc16499297 \h </w:instrText>
      </w:r>
      <w:r>
        <w:rPr>
          <w:noProof/>
        </w:rPr>
      </w:r>
      <w:r>
        <w:rPr>
          <w:noProof/>
        </w:rPr>
        <w:fldChar w:fldCharType="separate"/>
      </w:r>
      <w:r>
        <w:rPr>
          <w:noProof/>
        </w:rPr>
        <w:t>27</w:t>
      </w:r>
      <w:r>
        <w:rPr>
          <w:noProof/>
        </w:rPr>
        <w:fldChar w:fldCharType="end"/>
      </w:r>
    </w:p>
    <w:p w14:paraId="1D3FDF7B" w14:textId="5E144858" w:rsidR="009535F1" w:rsidRDefault="009535F1">
      <w:pPr>
        <w:pStyle w:val="TOC2"/>
        <w:rPr>
          <w:rFonts w:asciiTheme="minorHAnsi" w:eastAsiaTheme="minorEastAsia" w:hAnsiTheme="minorHAnsi" w:cstheme="minorBidi"/>
          <w:noProof/>
          <w:color w:val="auto"/>
          <w:sz w:val="22"/>
          <w:szCs w:val="22"/>
          <w:lang w:eastAsia="en-AU"/>
        </w:rPr>
      </w:pPr>
      <w:r>
        <w:rPr>
          <w:noProof/>
        </w:rPr>
        <w:t>5.2</w:t>
      </w:r>
      <w:r>
        <w:rPr>
          <w:rFonts w:asciiTheme="minorHAnsi" w:eastAsiaTheme="minorEastAsia" w:hAnsiTheme="minorHAnsi" w:cstheme="minorBidi"/>
          <w:noProof/>
          <w:color w:val="auto"/>
          <w:sz w:val="22"/>
          <w:szCs w:val="22"/>
          <w:lang w:eastAsia="en-AU"/>
        </w:rPr>
        <w:tab/>
      </w:r>
      <w:r>
        <w:rPr>
          <w:noProof/>
        </w:rPr>
        <w:t>Plastics recycling</w:t>
      </w:r>
      <w:r>
        <w:rPr>
          <w:noProof/>
        </w:rPr>
        <w:tab/>
      </w:r>
      <w:r>
        <w:rPr>
          <w:noProof/>
        </w:rPr>
        <w:fldChar w:fldCharType="begin"/>
      </w:r>
      <w:r>
        <w:rPr>
          <w:noProof/>
        </w:rPr>
        <w:instrText xml:space="preserve"> PAGEREF _Toc16499298 \h </w:instrText>
      </w:r>
      <w:r>
        <w:rPr>
          <w:noProof/>
        </w:rPr>
      </w:r>
      <w:r>
        <w:rPr>
          <w:noProof/>
        </w:rPr>
        <w:fldChar w:fldCharType="separate"/>
      </w:r>
      <w:r>
        <w:rPr>
          <w:noProof/>
        </w:rPr>
        <w:t>30</w:t>
      </w:r>
      <w:r>
        <w:rPr>
          <w:noProof/>
        </w:rPr>
        <w:fldChar w:fldCharType="end"/>
      </w:r>
    </w:p>
    <w:p w14:paraId="366D2FF3" w14:textId="3B62425C" w:rsidR="009535F1" w:rsidRDefault="009535F1">
      <w:pPr>
        <w:pStyle w:val="TOC2"/>
        <w:rPr>
          <w:rFonts w:asciiTheme="minorHAnsi" w:eastAsiaTheme="minorEastAsia" w:hAnsiTheme="minorHAnsi" w:cstheme="minorBidi"/>
          <w:noProof/>
          <w:color w:val="auto"/>
          <w:sz w:val="22"/>
          <w:szCs w:val="22"/>
          <w:lang w:eastAsia="en-AU"/>
        </w:rPr>
      </w:pPr>
      <w:r>
        <w:rPr>
          <w:noProof/>
        </w:rPr>
        <w:t>5.3</w:t>
      </w:r>
      <w:r>
        <w:rPr>
          <w:rFonts w:asciiTheme="minorHAnsi" w:eastAsiaTheme="minorEastAsia" w:hAnsiTheme="minorHAnsi" w:cstheme="minorBidi"/>
          <w:noProof/>
          <w:color w:val="auto"/>
          <w:sz w:val="22"/>
          <w:szCs w:val="22"/>
          <w:lang w:eastAsia="en-AU"/>
        </w:rPr>
        <w:tab/>
      </w:r>
      <w:r>
        <w:rPr>
          <w:noProof/>
        </w:rPr>
        <w:t>Paper and cardboard recycling</w:t>
      </w:r>
      <w:r>
        <w:rPr>
          <w:noProof/>
        </w:rPr>
        <w:tab/>
      </w:r>
      <w:r>
        <w:rPr>
          <w:noProof/>
        </w:rPr>
        <w:fldChar w:fldCharType="begin"/>
      </w:r>
      <w:r>
        <w:rPr>
          <w:noProof/>
        </w:rPr>
        <w:instrText xml:space="preserve"> PAGEREF _Toc16499299 \h </w:instrText>
      </w:r>
      <w:r>
        <w:rPr>
          <w:noProof/>
        </w:rPr>
      </w:r>
      <w:r>
        <w:rPr>
          <w:noProof/>
        </w:rPr>
        <w:fldChar w:fldCharType="separate"/>
      </w:r>
      <w:r>
        <w:rPr>
          <w:noProof/>
        </w:rPr>
        <w:t>32</w:t>
      </w:r>
      <w:r>
        <w:rPr>
          <w:noProof/>
        </w:rPr>
        <w:fldChar w:fldCharType="end"/>
      </w:r>
    </w:p>
    <w:p w14:paraId="15D554F2" w14:textId="70307B30" w:rsidR="009535F1" w:rsidRDefault="009535F1">
      <w:pPr>
        <w:pStyle w:val="TOC2"/>
        <w:rPr>
          <w:rFonts w:asciiTheme="minorHAnsi" w:eastAsiaTheme="minorEastAsia" w:hAnsiTheme="minorHAnsi" w:cstheme="minorBidi"/>
          <w:noProof/>
          <w:color w:val="auto"/>
          <w:sz w:val="22"/>
          <w:szCs w:val="22"/>
          <w:lang w:eastAsia="en-AU"/>
        </w:rPr>
      </w:pPr>
      <w:r>
        <w:rPr>
          <w:noProof/>
        </w:rPr>
        <w:t>5.4</w:t>
      </w:r>
      <w:r>
        <w:rPr>
          <w:rFonts w:asciiTheme="minorHAnsi" w:eastAsiaTheme="minorEastAsia" w:hAnsiTheme="minorHAnsi" w:cstheme="minorBidi"/>
          <w:noProof/>
          <w:color w:val="auto"/>
          <w:sz w:val="22"/>
          <w:szCs w:val="22"/>
          <w:lang w:eastAsia="en-AU"/>
        </w:rPr>
        <w:tab/>
      </w:r>
      <w:r>
        <w:rPr>
          <w:noProof/>
        </w:rPr>
        <w:t>Licenced landfills</w:t>
      </w:r>
      <w:r>
        <w:rPr>
          <w:noProof/>
        </w:rPr>
        <w:tab/>
      </w:r>
      <w:r>
        <w:rPr>
          <w:noProof/>
        </w:rPr>
        <w:fldChar w:fldCharType="begin"/>
      </w:r>
      <w:r>
        <w:rPr>
          <w:noProof/>
        </w:rPr>
        <w:instrText xml:space="preserve"> PAGEREF _Toc16499300 \h </w:instrText>
      </w:r>
      <w:r>
        <w:rPr>
          <w:noProof/>
        </w:rPr>
      </w:r>
      <w:r>
        <w:rPr>
          <w:noProof/>
        </w:rPr>
        <w:fldChar w:fldCharType="separate"/>
      </w:r>
      <w:r>
        <w:rPr>
          <w:noProof/>
        </w:rPr>
        <w:t>35</w:t>
      </w:r>
      <w:r>
        <w:rPr>
          <w:noProof/>
        </w:rPr>
        <w:fldChar w:fldCharType="end"/>
      </w:r>
    </w:p>
    <w:p w14:paraId="34288F52" w14:textId="1AFC28EF" w:rsidR="009535F1" w:rsidRDefault="009535F1">
      <w:pPr>
        <w:pStyle w:val="TOC1"/>
        <w:rPr>
          <w:rFonts w:asciiTheme="minorHAnsi" w:eastAsiaTheme="minorEastAsia" w:hAnsiTheme="minorHAnsi" w:cstheme="minorBidi"/>
          <w:b w:val="0"/>
          <w:noProof/>
          <w:color w:val="auto"/>
          <w:sz w:val="22"/>
          <w:szCs w:val="22"/>
          <w:lang w:eastAsia="en-AU"/>
        </w:rPr>
      </w:pPr>
      <w:r w:rsidRPr="007C7C8E">
        <w:rPr>
          <w:rFonts w:asciiTheme="minorHAnsi" w:hAnsiTheme="minorHAnsi"/>
          <w:noProof/>
          <w:color w:val="82C341" w:themeColor="background1"/>
        </w:rPr>
        <w:t>6</w:t>
      </w:r>
      <w:r>
        <w:rPr>
          <w:rFonts w:asciiTheme="minorHAnsi" w:eastAsiaTheme="minorEastAsia" w:hAnsiTheme="minorHAnsi" w:cstheme="minorBidi"/>
          <w:b w:val="0"/>
          <w:noProof/>
          <w:color w:val="auto"/>
          <w:sz w:val="22"/>
          <w:szCs w:val="22"/>
          <w:lang w:eastAsia="en-AU"/>
        </w:rPr>
        <w:tab/>
      </w:r>
      <w:r>
        <w:rPr>
          <w:noProof/>
        </w:rPr>
        <w:t>References</w:t>
      </w:r>
      <w:r>
        <w:rPr>
          <w:noProof/>
        </w:rPr>
        <w:tab/>
      </w:r>
      <w:r>
        <w:rPr>
          <w:noProof/>
        </w:rPr>
        <w:fldChar w:fldCharType="begin"/>
      </w:r>
      <w:r>
        <w:rPr>
          <w:noProof/>
        </w:rPr>
        <w:instrText xml:space="preserve"> PAGEREF _Toc16499301 \h </w:instrText>
      </w:r>
      <w:r>
        <w:rPr>
          <w:noProof/>
        </w:rPr>
      </w:r>
      <w:r>
        <w:rPr>
          <w:noProof/>
        </w:rPr>
        <w:fldChar w:fldCharType="separate"/>
      </w:r>
      <w:r>
        <w:rPr>
          <w:noProof/>
        </w:rPr>
        <w:t>39</w:t>
      </w:r>
      <w:r>
        <w:rPr>
          <w:noProof/>
        </w:rPr>
        <w:fldChar w:fldCharType="end"/>
      </w:r>
    </w:p>
    <w:p w14:paraId="08474F0A" w14:textId="357842B8" w:rsidR="00B66891" w:rsidRDefault="007A2CA7" w:rsidP="0045125A">
      <w:pPr>
        <w:rPr>
          <w:rFonts w:ascii="Arial Bold" w:hAnsi="Arial Bold"/>
          <w:b/>
          <w:color w:val="FFFFFF" w:themeColor="background2"/>
        </w:rPr>
      </w:pPr>
      <w:r>
        <w:rPr>
          <w:rFonts w:ascii="Arial Bold" w:hAnsi="Arial Bold"/>
          <w:b/>
          <w:color w:val="FFFFFF" w:themeColor="background2"/>
        </w:rPr>
        <w:fldChar w:fldCharType="end"/>
      </w:r>
    </w:p>
    <w:p w14:paraId="32AFF133" w14:textId="77777777" w:rsidR="00647203" w:rsidRPr="00647203" w:rsidRDefault="00647203" w:rsidP="00647203"/>
    <w:p w14:paraId="39424DB2" w14:textId="04C42D59" w:rsidR="00647203" w:rsidRDefault="00647203" w:rsidP="00BB1865"/>
    <w:p w14:paraId="750C73AA" w14:textId="10DBC966" w:rsidR="006D43FD" w:rsidRDefault="006D43FD" w:rsidP="00BB1865"/>
    <w:p w14:paraId="5ACA081F" w14:textId="218CAB4D" w:rsidR="006D43FD" w:rsidRDefault="006D43FD" w:rsidP="00BB1865">
      <w:pPr>
        <w:sectPr w:rsidR="006D43FD" w:rsidSect="006F7E30">
          <w:headerReference w:type="even" r:id="rId23"/>
          <w:headerReference w:type="default" r:id="rId24"/>
          <w:footerReference w:type="even" r:id="rId25"/>
          <w:footerReference w:type="default" r:id="rId26"/>
          <w:pgSz w:w="11906" w:h="16838" w:code="9"/>
          <w:pgMar w:top="1474" w:right="1021" w:bottom="1134" w:left="3175" w:header="851" w:footer="369" w:gutter="0"/>
          <w:cols w:space="708"/>
          <w:docGrid w:linePitch="360"/>
        </w:sectPr>
      </w:pPr>
    </w:p>
    <w:p w14:paraId="3FAB8233" w14:textId="40C0C97A" w:rsidR="00CC389F" w:rsidRPr="0045125A" w:rsidRDefault="00A66076" w:rsidP="00CC389F">
      <w:pPr>
        <w:pStyle w:val="SectionDividerTitle"/>
        <w:framePr w:wrap="around"/>
      </w:pPr>
      <w:bookmarkStart w:id="2" w:name="_Toc16499275"/>
      <w:r>
        <w:lastRenderedPageBreak/>
        <w:t>Introduction</w:t>
      </w:r>
      <w:bookmarkEnd w:id="2"/>
    </w:p>
    <w:p w14:paraId="0DA15A6E" w14:textId="705A9BA5" w:rsidR="000E305D" w:rsidRDefault="00D85F28" w:rsidP="000E305D">
      <w:pPr>
        <w:spacing w:after="0" w:line="240" w:lineRule="auto"/>
      </w:pPr>
      <w:r>
        <w:t xml:space="preserve">The </w:t>
      </w:r>
      <w:r w:rsidR="000E305D" w:rsidRPr="00612ED0">
        <w:rPr>
          <w:rStyle w:val="BookTitle"/>
        </w:rPr>
        <w:t xml:space="preserve">Statewide Waste and Resource Recovery </w:t>
      </w:r>
      <w:r w:rsidRPr="00612ED0">
        <w:rPr>
          <w:rStyle w:val="BookTitle"/>
        </w:rPr>
        <w:t xml:space="preserve">Infrastructure Plan </w:t>
      </w:r>
      <w:r w:rsidRPr="00CB2256">
        <w:t>(SWRRIP),</w:t>
      </w:r>
      <w:r w:rsidR="000E305D" w:rsidRPr="00612ED0">
        <w:rPr>
          <w:rStyle w:val="BookTitle"/>
        </w:rPr>
        <w:t xml:space="preserve"> </w:t>
      </w:r>
      <w:r w:rsidR="000E305D" w:rsidRPr="00CB2256">
        <w:t>published by Sustainabil</w:t>
      </w:r>
      <w:r w:rsidRPr="00CB2256">
        <w:t>ity Victoria</w:t>
      </w:r>
      <w:r>
        <w:t xml:space="preserve"> (SV) in </w:t>
      </w:r>
      <w:r w:rsidR="00CD35D4">
        <w:t xml:space="preserve">June 2015 and updated </w:t>
      </w:r>
      <w:r>
        <w:t xml:space="preserve">April 2018 </w:t>
      </w:r>
      <w:r w:rsidR="000E305D">
        <w:t>identifies that one of the biggest challenges to Victoria over the next 30 years will be mitigating and adapting</w:t>
      </w:r>
      <w:r w:rsidR="001E26AB">
        <w:t xml:space="preserve"> to the impact of climate change (refer Section 2.7)</w:t>
      </w:r>
      <w:r w:rsidR="000E305D">
        <w:t xml:space="preserve">. The SWRRIP outlines the role of the waste and resource recovery sector and includes Action 3.6 - </w:t>
      </w:r>
      <w:r w:rsidR="000E305D" w:rsidRPr="00CB2256">
        <w:rPr>
          <w:i/>
        </w:rPr>
        <w:t>to carry out research and provide guidance to industry and local government to reduce greenhouse gas emissions and to mitigate the impact of climate change on waste and resource recovery facilities and services</w:t>
      </w:r>
      <w:r w:rsidR="000E305D">
        <w:t xml:space="preserve">. </w:t>
      </w:r>
    </w:p>
    <w:p w14:paraId="5F120D90" w14:textId="00F85192" w:rsidR="004424D9" w:rsidRDefault="004424D9" w:rsidP="000E305D">
      <w:pPr>
        <w:spacing w:after="0" w:line="240" w:lineRule="auto"/>
      </w:pPr>
    </w:p>
    <w:p w14:paraId="515E087B" w14:textId="1EE39CE6" w:rsidR="004424D9" w:rsidRDefault="004424D9" w:rsidP="000E305D">
      <w:pPr>
        <w:spacing w:after="0" w:line="240" w:lineRule="auto"/>
      </w:pPr>
      <w:r>
        <w:t xml:space="preserve">. </w:t>
      </w:r>
    </w:p>
    <w:p w14:paraId="4F87EE27" w14:textId="77777777" w:rsidR="000E305D" w:rsidRDefault="000E305D" w:rsidP="000E305D">
      <w:pPr>
        <w:spacing w:after="0" w:line="240" w:lineRule="auto"/>
      </w:pPr>
    </w:p>
    <w:p w14:paraId="0216EB7B" w14:textId="6632F5F9" w:rsidR="000E305D" w:rsidRDefault="00CD35D4" w:rsidP="000E305D">
      <w:pPr>
        <w:spacing w:after="0" w:line="240" w:lineRule="auto"/>
      </w:pPr>
      <w:r>
        <w:t>SV</w:t>
      </w:r>
      <w:r w:rsidR="000E305D">
        <w:t xml:space="preserve"> engaged Randell Environmental Consulting (REC)</w:t>
      </w:r>
      <w:r w:rsidR="00CB2256">
        <w:t>,</w:t>
      </w:r>
      <w:r w:rsidR="000E305D">
        <w:t xml:space="preserve"> in association with Blue Environment and </w:t>
      </w:r>
      <w:r w:rsidR="000E305D" w:rsidRPr="00AA2DCF">
        <w:t>RMIT</w:t>
      </w:r>
      <w:r w:rsidR="00CB2256" w:rsidRPr="00AA2DCF">
        <w:t>,</w:t>
      </w:r>
      <w:r w:rsidR="000E305D" w:rsidRPr="00AA2DCF">
        <w:t xml:space="preserve"> to complete an assessment of greenhouse gases (GHG) emissions from the waste sector</w:t>
      </w:r>
      <w:r w:rsidR="00AA2DCF" w:rsidRPr="00AA2DCF">
        <w:t xml:space="preserve"> in 2016</w:t>
      </w:r>
      <w:r w:rsidR="000E305D" w:rsidRPr="00AA2DCF">
        <w:t>.</w:t>
      </w:r>
    </w:p>
    <w:p w14:paraId="7258525C" w14:textId="77777777" w:rsidR="000E305D" w:rsidRDefault="000E305D" w:rsidP="000E305D">
      <w:pPr>
        <w:spacing w:after="0" w:line="240" w:lineRule="auto"/>
      </w:pPr>
    </w:p>
    <w:p w14:paraId="44548608" w14:textId="74CF857E" w:rsidR="000E305D" w:rsidRDefault="000E305D" w:rsidP="000E305D">
      <w:pPr>
        <w:spacing w:after="0" w:line="240" w:lineRule="auto"/>
      </w:pPr>
      <w:r>
        <w:t xml:space="preserve">The </w:t>
      </w:r>
      <w:r w:rsidR="00CB2256">
        <w:t>study</w:t>
      </w:r>
      <w:r>
        <w:t xml:space="preserve"> included:</w:t>
      </w:r>
    </w:p>
    <w:p w14:paraId="79A6AB29" w14:textId="10B462BB" w:rsidR="000E305D" w:rsidRDefault="00316CF7" w:rsidP="000E305D">
      <w:pPr>
        <w:pStyle w:val="ListBullet"/>
      </w:pPr>
      <w:r>
        <w:t xml:space="preserve">a </w:t>
      </w:r>
      <w:r w:rsidR="000E305D">
        <w:t>GHG emissions profile of the waste</w:t>
      </w:r>
      <w:r w:rsidR="00CB2256">
        <w:t xml:space="preserve"> and resource recovery for</w:t>
      </w:r>
      <w:r w:rsidR="000E305D">
        <w:t xml:space="preserve"> </w:t>
      </w:r>
      <w:r w:rsidR="00B656E3">
        <w:t xml:space="preserve">the </w:t>
      </w:r>
      <w:r w:rsidR="000E305D">
        <w:t>sector</w:t>
      </w:r>
      <w:r w:rsidR="00CB2256">
        <w:t xml:space="preserve"> for 2014-15</w:t>
      </w:r>
      <w:r w:rsidR="000E305D">
        <w:t xml:space="preserve"> including</w:t>
      </w:r>
      <w:r w:rsidR="00CB2256">
        <w:t xml:space="preserve"> collection, sorting, reprocessing, energy recovery and disposal to landfill of solid non-hazardous waste</w:t>
      </w:r>
      <w:r w:rsidR="00BF4BC0">
        <w:t xml:space="preserve">; </w:t>
      </w:r>
      <w:r w:rsidR="000E305D">
        <w:t xml:space="preserve">taking into consideration emissions associated with transport, energy, and fugitive emissions </w:t>
      </w:r>
    </w:p>
    <w:p w14:paraId="584FFA71" w14:textId="2B3A8739" w:rsidR="00CB2256" w:rsidRDefault="00CB2256" w:rsidP="000E305D">
      <w:pPr>
        <w:pStyle w:val="ListBullet"/>
      </w:pPr>
      <w:r>
        <w:t>GHG emissions model for the sector – enabling analysis for scope 1, 2 and 3 emissions normalised by different factors</w:t>
      </w:r>
    </w:p>
    <w:p w14:paraId="0A0134F7" w14:textId="6B16C8C4" w:rsidR="000E305D" w:rsidRDefault="00316CF7" w:rsidP="000E305D">
      <w:pPr>
        <w:pStyle w:val="ListBullet"/>
      </w:pPr>
      <w:r>
        <w:t>high</w:t>
      </w:r>
      <w:r w:rsidR="00B656E3">
        <w:t>-</w:t>
      </w:r>
      <w:r w:rsidR="000E305D">
        <w:t>level opportunities</w:t>
      </w:r>
      <w:r w:rsidR="00CB2256">
        <w:t xml:space="preserve"> for emissions reductions across the sector</w:t>
      </w:r>
    </w:p>
    <w:p w14:paraId="6833CB75" w14:textId="58E45091" w:rsidR="000E305D" w:rsidRDefault="00316CF7" w:rsidP="000E305D">
      <w:pPr>
        <w:pStyle w:val="ListBullet"/>
      </w:pPr>
      <w:r>
        <w:t xml:space="preserve">potential </w:t>
      </w:r>
      <w:r w:rsidR="000E305D">
        <w:t xml:space="preserve">interventions for government or industry to reduce GHG emissions </w:t>
      </w:r>
      <w:r w:rsidR="00CB2256">
        <w:t>for the most emission</w:t>
      </w:r>
      <w:r w:rsidR="00B656E3">
        <w:t>s-</w:t>
      </w:r>
      <w:r w:rsidR="00CB2256">
        <w:t>intensive activities.</w:t>
      </w:r>
    </w:p>
    <w:p w14:paraId="46516456" w14:textId="2A0DE9E4" w:rsidR="000E305D" w:rsidRDefault="00AA2DCF" w:rsidP="000E305D">
      <w:pPr>
        <w:spacing w:after="0" w:line="240" w:lineRule="auto"/>
      </w:pPr>
      <w:r>
        <w:t>This report outlines the findings and opportunities</w:t>
      </w:r>
      <w:r w:rsidR="00F83220">
        <w:t xml:space="preserve"> for the sector. It will also help inform the </w:t>
      </w:r>
      <w:r w:rsidR="003503CB">
        <w:t xml:space="preserve">first </w:t>
      </w:r>
      <w:r w:rsidR="007B56C2">
        <w:t xml:space="preserve">five-yearly waste </w:t>
      </w:r>
      <w:r w:rsidR="00F83220">
        <w:t>sector pledge</w:t>
      </w:r>
      <w:r w:rsidR="007B56C2">
        <w:t>, which will describe</w:t>
      </w:r>
      <w:r w:rsidR="00F83220">
        <w:t xml:space="preserve"> government actions to reduce Victoria’s emissions</w:t>
      </w:r>
      <w:r w:rsidR="00F83220" w:rsidRPr="00F83220">
        <w:t xml:space="preserve"> </w:t>
      </w:r>
      <w:r w:rsidR="007B56C2">
        <w:t>as required</w:t>
      </w:r>
      <w:r w:rsidR="00F83220">
        <w:t xml:space="preserve"> under Victoria’s </w:t>
      </w:r>
      <w:r w:rsidR="00F83220" w:rsidRPr="004424D9">
        <w:rPr>
          <w:i/>
        </w:rPr>
        <w:t xml:space="preserve">Climate Change Act </w:t>
      </w:r>
      <w:r w:rsidR="007B56C2">
        <w:t>2017. T</w:t>
      </w:r>
      <w:r w:rsidR="00F83220">
        <w:t xml:space="preserve">he first </w:t>
      </w:r>
      <w:r w:rsidR="007B56C2">
        <w:t xml:space="preserve">sector </w:t>
      </w:r>
      <w:r w:rsidR="00F83220">
        <w:t>pledges for the period to 2025 will be finalised by August 2020.</w:t>
      </w:r>
    </w:p>
    <w:p w14:paraId="5F0A2314" w14:textId="0AD50B88" w:rsidR="004424D9" w:rsidRDefault="004424D9" w:rsidP="004424D9">
      <w:pPr>
        <w:rPr>
          <w:rFonts w:ascii="VIC" w:hAnsi="VIC"/>
          <w:b/>
          <w:bCs/>
          <w:color w:val="FF0000"/>
          <w:sz w:val="24"/>
          <w:szCs w:val="24"/>
          <w:lang w:val="en" w:eastAsia="en-AU"/>
        </w:rPr>
      </w:pPr>
      <w:r>
        <w:rPr>
          <w:rFonts w:ascii="VIC" w:hAnsi="VIC"/>
          <w:b/>
          <w:bCs/>
          <w:color w:val="FF0000"/>
          <w:sz w:val="24"/>
          <w:szCs w:val="24"/>
          <w:lang w:val="en" w:eastAsia="en-AU"/>
        </w:rPr>
        <w:t xml:space="preserve"> </w:t>
      </w:r>
    </w:p>
    <w:p w14:paraId="485CDA84" w14:textId="0346C101" w:rsidR="004C42D4" w:rsidRDefault="004C42D4" w:rsidP="004424D9">
      <w:pPr>
        <w:spacing w:after="0" w:line="240" w:lineRule="auto"/>
        <w:sectPr w:rsidR="004C42D4" w:rsidSect="002211F4">
          <w:headerReference w:type="first" r:id="rId27"/>
          <w:footerReference w:type="first" r:id="rId28"/>
          <w:pgSz w:w="11906" w:h="16838" w:code="9"/>
          <w:pgMar w:top="1474" w:right="964" w:bottom="1134" w:left="3175" w:header="851" w:footer="369" w:gutter="0"/>
          <w:cols w:space="708"/>
          <w:titlePg/>
          <w:docGrid w:linePitch="360"/>
        </w:sectPr>
      </w:pPr>
    </w:p>
    <w:p w14:paraId="60E3754E" w14:textId="0ACBC370" w:rsidR="005E3D92" w:rsidRPr="0045125A" w:rsidRDefault="00CB2256" w:rsidP="005E3D92">
      <w:pPr>
        <w:pStyle w:val="SectionDividerTitle"/>
        <w:framePr w:wrap="around"/>
      </w:pPr>
      <w:bookmarkStart w:id="3" w:name="_Toc16499276"/>
      <w:r w:rsidRPr="00CA5DC3">
        <w:lastRenderedPageBreak/>
        <w:t xml:space="preserve">Summary </w:t>
      </w:r>
      <w:r>
        <w:t xml:space="preserve">– key findings </w:t>
      </w:r>
      <w:r w:rsidRPr="00CA5DC3">
        <w:t>and opportunities to reduce GHG</w:t>
      </w:r>
      <w:r>
        <w:t xml:space="preserve"> emissions</w:t>
      </w:r>
      <w:bookmarkEnd w:id="3"/>
      <w:r>
        <w:t xml:space="preserve"> </w:t>
      </w:r>
    </w:p>
    <w:p w14:paraId="6EC6C942" w14:textId="3A0B9039" w:rsidR="00CB2256" w:rsidRPr="00CB2256" w:rsidRDefault="008B27DF" w:rsidP="00CB2256">
      <w:r>
        <w:t>The following outlines the main</w:t>
      </w:r>
      <w:r w:rsidR="00CB2256" w:rsidRPr="00CB2256">
        <w:t xml:space="preserve"> findings</w:t>
      </w:r>
      <w:r w:rsidR="00A45726">
        <w:t xml:space="preserve"> from the GHG emissions profile</w:t>
      </w:r>
      <w:r w:rsidR="006F2F45">
        <w:t xml:space="preserve"> for 2014-15</w:t>
      </w:r>
      <w:r w:rsidR="00CB2256" w:rsidRPr="00CB2256">
        <w:t xml:space="preserve"> and </w:t>
      </w:r>
      <w:r>
        <w:t xml:space="preserve">key </w:t>
      </w:r>
      <w:r w:rsidR="00CB2256" w:rsidRPr="00CB2256">
        <w:t>opportuniti</w:t>
      </w:r>
      <w:r w:rsidR="00A45726">
        <w:t xml:space="preserve">es to reduce emissions from Victoria’s waste and resource recovery </w:t>
      </w:r>
      <w:r w:rsidR="00CB2256" w:rsidRPr="00CB2256">
        <w:t xml:space="preserve">sector. </w:t>
      </w:r>
    </w:p>
    <w:p w14:paraId="5B23E74E" w14:textId="77777777" w:rsidR="00CB2256" w:rsidRPr="00CB2256" w:rsidRDefault="00CB2256" w:rsidP="000E2248">
      <w:pPr>
        <w:pStyle w:val="Heading1Numbered"/>
      </w:pPr>
      <w:bookmarkStart w:id="4" w:name="_Toc16499277"/>
      <w:r w:rsidRPr="00CB2256">
        <w:t>Overall waste sector emissions</w:t>
      </w:r>
      <w:bookmarkEnd w:id="4"/>
    </w:p>
    <w:p w14:paraId="02A50078" w14:textId="52FA46C7" w:rsidR="00CB2256" w:rsidRPr="00CB2256" w:rsidRDefault="00CB2256" w:rsidP="00CB2256">
      <w:pPr>
        <w:numPr>
          <w:ilvl w:val="0"/>
          <w:numId w:val="11"/>
        </w:numPr>
        <w:spacing w:after="0"/>
        <w:contextualSpacing/>
      </w:pPr>
      <w:r w:rsidRPr="00CB2256">
        <w:t xml:space="preserve">The emissions profile for waste managed in Victoria is significantly different to the emissions profile for waste generated in Victoria. </w:t>
      </w:r>
      <w:r w:rsidR="0051173E">
        <w:t xml:space="preserve">This study considers both, but focuses on waste managed in Victoria. </w:t>
      </w:r>
      <w:r w:rsidRPr="00CB2256">
        <w:t>The most significant differences i</w:t>
      </w:r>
      <w:r w:rsidR="006F2F45">
        <w:t>n the waste generation profile we</w:t>
      </w:r>
      <w:r w:rsidRPr="00CB2256">
        <w:t>re:</w:t>
      </w:r>
    </w:p>
    <w:p w14:paraId="0F0FB837" w14:textId="02623E46" w:rsidR="00CB2256" w:rsidRPr="00CB2256" w:rsidRDefault="00316CF7" w:rsidP="00CB2256">
      <w:pPr>
        <w:numPr>
          <w:ilvl w:val="1"/>
          <w:numId w:val="11"/>
        </w:numPr>
        <w:contextualSpacing/>
      </w:pPr>
      <w:r>
        <w:t>h</w:t>
      </w:r>
      <w:r w:rsidRPr="00CB2256">
        <w:t xml:space="preserve">igher </w:t>
      </w:r>
      <w:r w:rsidR="00CB2256" w:rsidRPr="00CB2256">
        <w:t xml:space="preserve">emissions </w:t>
      </w:r>
      <w:r w:rsidR="00C333C2">
        <w:t>for</w:t>
      </w:r>
      <w:r w:rsidR="00CB2256" w:rsidRPr="00CB2256">
        <w:t xml:space="preserve"> the </w:t>
      </w:r>
      <w:r w:rsidR="00C333C2">
        <w:t>re</w:t>
      </w:r>
      <w:r w:rsidR="00CB2256" w:rsidRPr="00CB2256">
        <w:t>processing of</w:t>
      </w:r>
      <w:r w:rsidR="00C333C2">
        <w:t xml:space="preserve"> paper/cardboard and aluminium</w:t>
      </w:r>
    </w:p>
    <w:p w14:paraId="691AC76F" w14:textId="5B621572" w:rsidR="00CB2256" w:rsidRPr="00CB2256" w:rsidRDefault="00316CF7" w:rsidP="00CB2256">
      <w:pPr>
        <w:numPr>
          <w:ilvl w:val="1"/>
          <w:numId w:val="11"/>
        </w:numPr>
        <w:contextualSpacing/>
      </w:pPr>
      <w:r>
        <w:t>h</w:t>
      </w:r>
      <w:r w:rsidRPr="00CB2256">
        <w:t xml:space="preserve">igher </w:t>
      </w:r>
      <w:r w:rsidR="00CB2256" w:rsidRPr="00CB2256">
        <w:t xml:space="preserve">emission offsets </w:t>
      </w:r>
      <w:r w:rsidR="00C333C2">
        <w:t>from</w:t>
      </w:r>
      <w:r w:rsidR="00CB2256" w:rsidRPr="00CB2256">
        <w:t xml:space="preserve"> the recycling of aluminium, paper/cardboard and steel  </w:t>
      </w:r>
    </w:p>
    <w:p w14:paraId="4361D9AC" w14:textId="56AC6F62" w:rsidR="00CB2256" w:rsidRDefault="00316CF7" w:rsidP="00CB2256">
      <w:pPr>
        <w:numPr>
          <w:ilvl w:val="1"/>
          <w:numId w:val="11"/>
        </w:numPr>
        <w:contextualSpacing/>
      </w:pPr>
      <w:r>
        <w:t>o</w:t>
      </w:r>
      <w:r w:rsidRPr="00CB2256">
        <w:t xml:space="preserve">nce </w:t>
      </w:r>
      <w:r w:rsidR="00CB2256" w:rsidRPr="00CB2256">
        <w:t>recycling offsets are included (scope 1</w:t>
      </w:r>
      <w:r w:rsidR="006F2F45">
        <w:t>-3), steel infrastructure shifted</w:t>
      </w:r>
      <w:r w:rsidR="00CB2256" w:rsidRPr="00CB2256">
        <w:t xml:space="preserve"> from the largest emitter of GHG</w:t>
      </w:r>
      <w:r w:rsidR="00B10757">
        <w:t xml:space="preserve"> emissions</w:t>
      </w:r>
      <w:r w:rsidR="00CB2256" w:rsidRPr="00CB2256">
        <w:t xml:space="preserve"> to the largest GHG ‘sink’. </w:t>
      </w:r>
      <w:r w:rsidR="00C333C2">
        <w:t>However, o</w:t>
      </w:r>
      <w:r w:rsidR="00CB2256" w:rsidRPr="00CB2256">
        <w:t>pportunities exist to improve steel recycling efficiency. Indeed, with commodity prices remaining at sustained lows, the steel recycling industry may be interested in reducing operating costs by reducing electricity consumption, and in turn GHG emissions.</w:t>
      </w:r>
    </w:p>
    <w:p w14:paraId="75FD5F61" w14:textId="2E8715A7" w:rsidR="00A45726" w:rsidRPr="00CB2256" w:rsidRDefault="00A45726" w:rsidP="00A45726">
      <w:pPr>
        <w:numPr>
          <w:ilvl w:val="0"/>
          <w:numId w:val="11"/>
        </w:numPr>
        <w:contextualSpacing/>
      </w:pPr>
      <w:r w:rsidRPr="00CB2256">
        <w:t>S</w:t>
      </w:r>
      <w:r w:rsidR="006F2F45">
        <w:t>ignificant amounts of wastes were</w:t>
      </w:r>
      <w:r w:rsidRPr="00CB2256">
        <w:t xml:space="preserve"> exported for processing (nationally and internationally). Aluminium </w:t>
      </w:r>
      <w:r w:rsidR="006F2F45">
        <w:t>wa</w:t>
      </w:r>
      <w:r w:rsidRPr="00CB2256">
        <w:t>s almost entirely recycled outside Vict</w:t>
      </w:r>
      <w:r w:rsidR="006F2F45">
        <w:t>oria</w:t>
      </w:r>
      <w:r w:rsidR="00C333C2">
        <w:t>, as was m</w:t>
      </w:r>
      <w:r w:rsidR="006F2F45">
        <w:t xml:space="preserve">ost </w:t>
      </w:r>
      <w:r w:rsidR="00C333C2">
        <w:t xml:space="preserve">of the </w:t>
      </w:r>
      <w:r w:rsidR="006F2F45">
        <w:t>paper</w:t>
      </w:r>
      <w:r w:rsidR="00C333C2">
        <w:t>/</w:t>
      </w:r>
      <w:r w:rsidR="006F2F45">
        <w:t>cardboard</w:t>
      </w:r>
      <w:r w:rsidRPr="00CB2256">
        <w:t>. For steel and plastic ab</w:t>
      </w:r>
      <w:r>
        <w:t>out half of the recycling occurred</w:t>
      </w:r>
      <w:r w:rsidRPr="00CB2256">
        <w:t xml:space="preserve"> in</w:t>
      </w:r>
      <w:r>
        <w:t xml:space="preserve"> Victoria and around half occurred outside Victoria.</w:t>
      </w:r>
      <w:r w:rsidR="00C333C2">
        <w:rPr>
          <w:rStyle w:val="FootnoteReference"/>
        </w:rPr>
        <w:footnoteReference w:id="2"/>
      </w:r>
    </w:p>
    <w:p w14:paraId="1BE867FD" w14:textId="77777777" w:rsidR="00CB2256" w:rsidRPr="00CB2256" w:rsidRDefault="00CB2256" w:rsidP="000E2248">
      <w:pPr>
        <w:pStyle w:val="Heading1Numbered"/>
      </w:pPr>
      <w:bookmarkStart w:id="5" w:name="_Toc16499278"/>
      <w:r w:rsidRPr="00CB2256">
        <w:t>Gross emissions from infrastructure (scope 1-2)</w:t>
      </w:r>
      <w:bookmarkEnd w:id="5"/>
    </w:p>
    <w:p w14:paraId="6D4468D5" w14:textId="0A969154" w:rsidR="00B10757" w:rsidRPr="00CB2256" w:rsidRDefault="00B10757" w:rsidP="00B10757">
      <w:pPr>
        <w:numPr>
          <w:ilvl w:val="0"/>
          <w:numId w:val="11"/>
        </w:numPr>
        <w:contextualSpacing/>
      </w:pPr>
      <w:r w:rsidRPr="00CB2256">
        <w:t>Total emissions from electricity cons</w:t>
      </w:r>
      <w:r w:rsidR="006F2F45">
        <w:t>umption during steel recycling wa</w:t>
      </w:r>
      <w:r w:rsidRPr="00CB2256">
        <w:t>s the largest gross contributor from the sector</w:t>
      </w:r>
      <w:r w:rsidR="0051173E">
        <w:t>, with plastics recycling also a significant contributor</w:t>
      </w:r>
      <w:r w:rsidRPr="00CB2256">
        <w:t>. These emissions could be significantly reduced by using electricity from renewable or less emissions</w:t>
      </w:r>
      <w:r w:rsidR="005D1666">
        <w:t>-</w:t>
      </w:r>
      <w:r w:rsidRPr="00CB2256">
        <w:t xml:space="preserve">intensive energy sources.  </w:t>
      </w:r>
    </w:p>
    <w:p w14:paraId="07A09AA4" w14:textId="47DBCA6F" w:rsidR="00B10757" w:rsidRPr="008B27DF" w:rsidRDefault="006F2F45" w:rsidP="00B10757">
      <w:pPr>
        <w:numPr>
          <w:ilvl w:val="0"/>
          <w:numId w:val="11"/>
        </w:numPr>
        <w:contextualSpacing/>
      </w:pPr>
      <w:r>
        <w:t>Licensed landfills we</w:t>
      </w:r>
      <w:r w:rsidR="00B10757" w:rsidRPr="00CB2256">
        <w:t xml:space="preserve">re the largest gross emitter of total GHG emissions from site </w:t>
      </w:r>
      <w:r w:rsidR="00B10757" w:rsidRPr="008B27DF">
        <w:t>operations (from landfill gas). These emissions could be significantly reduced by improving landfill gas capture and energy recovery rates</w:t>
      </w:r>
      <w:r w:rsidR="00B10757" w:rsidRPr="008B27DF">
        <w:rPr>
          <w:sz w:val="14"/>
          <w:vertAlign w:val="superscript"/>
        </w:rPr>
        <w:footnoteReference w:id="3"/>
      </w:r>
      <w:r w:rsidR="00B10757" w:rsidRPr="008B27DF">
        <w:t xml:space="preserve">.  </w:t>
      </w:r>
    </w:p>
    <w:p w14:paraId="3DEA19D8" w14:textId="394BED6B" w:rsidR="00CB2256" w:rsidRPr="00CB2256" w:rsidRDefault="005D1666" w:rsidP="00CB2256">
      <w:pPr>
        <w:numPr>
          <w:ilvl w:val="0"/>
          <w:numId w:val="11"/>
        </w:numPr>
        <w:contextualSpacing/>
      </w:pPr>
      <w:r>
        <w:t>Per tonne, u</w:t>
      </w:r>
      <w:r w:rsidR="00CB2256" w:rsidRPr="00CB2256">
        <w:t>nlicensed landfill infr</w:t>
      </w:r>
      <w:r w:rsidR="006F2F45">
        <w:t>astructure emissions we</w:t>
      </w:r>
      <w:r w:rsidR="00CB2256" w:rsidRPr="00CB2256">
        <w:t>re by far the highest; however, given the tonnages r</w:t>
      </w:r>
      <w:r w:rsidR="006F2F45">
        <w:t>eceived, overall emissions we</w:t>
      </w:r>
      <w:r w:rsidR="00CB2256" w:rsidRPr="00CB2256">
        <w:t xml:space="preserve">re not significant. </w:t>
      </w:r>
    </w:p>
    <w:p w14:paraId="6409017F" w14:textId="2522B346" w:rsidR="00CB2256" w:rsidRPr="00CB2256" w:rsidRDefault="00CB2256" w:rsidP="00CB2256">
      <w:pPr>
        <w:numPr>
          <w:ilvl w:val="0"/>
          <w:numId w:val="11"/>
        </w:numPr>
        <w:contextualSpacing/>
      </w:pPr>
      <w:r w:rsidRPr="008B27DF">
        <w:lastRenderedPageBreak/>
        <w:t>Gross total emissions from organics</w:t>
      </w:r>
      <w:r w:rsidRPr="00CB2256">
        <w:t xml:space="preserve"> recycling via open windrow and in-vessel composting </w:t>
      </w:r>
      <w:r w:rsidR="006F2F45">
        <w:t>we</w:t>
      </w:r>
      <w:r w:rsidRPr="00CB2256">
        <w:t xml:space="preserve">re minor in the context of the overall Victorian sector GHG emissions. </w:t>
      </w:r>
    </w:p>
    <w:p w14:paraId="488B51DC" w14:textId="77777777" w:rsidR="00CB2256" w:rsidRPr="00CB2256" w:rsidRDefault="00CB2256" w:rsidP="00CB2256">
      <w:pPr>
        <w:numPr>
          <w:ilvl w:val="0"/>
          <w:numId w:val="11"/>
        </w:numPr>
        <w:contextualSpacing/>
      </w:pPr>
      <w:r w:rsidRPr="00CB2256">
        <w:t xml:space="preserve">If aluminium and paper/cardboard were processed in Victoria, rather than interstate or overseas, the Victorian sector emissions (for infrastructure emissions scope 1 and 2) would be significantly higher. </w:t>
      </w:r>
    </w:p>
    <w:p w14:paraId="047DCD9D" w14:textId="77777777" w:rsidR="00CB2256" w:rsidRPr="00CB2256" w:rsidRDefault="00CB2256" w:rsidP="000E2248">
      <w:pPr>
        <w:pStyle w:val="Heading1Numbered"/>
      </w:pPr>
      <w:bookmarkStart w:id="6" w:name="_Toc16499279"/>
      <w:r w:rsidRPr="00CB2256">
        <w:t>Transport emissions</w:t>
      </w:r>
      <w:bookmarkEnd w:id="6"/>
    </w:p>
    <w:p w14:paraId="6945B994" w14:textId="2754848D" w:rsidR="00CB2256" w:rsidRPr="00CB2256" w:rsidRDefault="00CB2256" w:rsidP="00CB2256">
      <w:pPr>
        <w:numPr>
          <w:ilvl w:val="0"/>
          <w:numId w:val="11"/>
        </w:numPr>
        <w:contextualSpacing/>
      </w:pPr>
      <w:r w:rsidRPr="00CB2256">
        <w:t xml:space="preserve">For all infrastructure </w:t>
      </w:r>
      <w:r w:rsidR="005D1666" w:rsidRPr="00CB2256">
        <w:t xml:space="preserve">types </w:t>
      </w:r>
      <w:r w:rsidR="005D1666">
        <w:t xml:space="preserve">– </w:t>
      </w:r>
      <w:r w:rsidRPr="00CB2256">
        <w:t>apart from R</w:t>
      </w:r>
      <w:r w:rsidR="009B1819">
        <w:t>esource Recovery Centres/Transfer Stations (R</w:t>
      </w:r>
      <w:r w:rsidRPr="00CB2256">
        <w:t>RC</w:t>
      </w:r>
      <w:r w:rsidR="009B1819">
        <w:t>)</w:t>
      </w:r>
      <w:r w:rsidRPr="00CB2256">
        <w:t xml:space="preserve"> and </w:t>
      </w:r>
      <w:r w:rsidR="009B1819">
        <w:t>Sorting/Materials Recovery Facilit</w:t>
      </w:r>
      <w:r w:rsidR="006F2F45">
        <w:t>ies</w:t>
      </w:r>
      <w:r w:rsidR="009B1819">
        <w:t xml:space="preserve"> (</w:t>
      </w:r>
      <w:r w:rsidRPr="00CB2256">
        <w:t>MRFs)</w:t>
      </w:r>
      <w:r w:rsidR="005D1666">
        <w:t xml:space="preserve"> – </w:t>
      </w:r>
      <w:r w:rsidRPr="00CB2256">
        <w:t xml:space="preserve">transport emissions (scope 1-3) per tonne of waste received </w:t>
      </w:r>
      <w:r w:rsidR="006F2F45">
        <w:t>we</w:t>
      </w:r>
      <w:r w:rsidRPr="00CB2256">
        <w:t xml:space="preserve">re only a small portion of the emissions from each infrastructure type. </w:t>
      </w:r>
    </w:p>
    <w:p w14:paraId="32ED4FCA" w14:textId="725B5125" w:rsidR="00CB2256" w:rsidRPr="00CB2256" w:rsidRDefault="009B1819" w:rsidP="00CB2256">
      <w:pPr>
        <w:numPr>
          <w:ilvl w:val="0"/>
          <w:numId w:val="11"/>
        </w:numPr>
        <w:contextualSpacing/>
      </w:pPr>
      <w:r>
        <w:t>Construction and Demolition (</w:t>
      </w:r>
      <w:r w:rsidR="00CB2256" w:rsidRPr="00CB2256">
        <w:t>C&amp;D</w:t>
      </w:r>
      <w:r>
        <w:t>)</w:t>
      </w:r>
      <w:r w:rsidR="00CB2256" w:rsidRPr="00CB2256">
        <w:t xml:space="preserve"> waste co</w:t>
      </w:r>
      <w:r w:rsidR="006F2F45">
        <w:t>llection for recycling results were</w:t>
      </w:r>
      <w:r w:rsidR="00CB2256" w:rsidRPr="00CB2256">
        <w:t xml:space="preserve"> by far the largest GHG emissions per tonne</w:t>
      </w:r>
      <w:r w:rsidR="006F2F45">
        <w:t>,</w:t>
      </w:r>
      <w:r w:rsidR="00CB2256" w:rsidRPr="00CB2256">
        <w:t xml:space="preserve"> followed by </w:t>
      </w:r>
      <w:r w:rsidRPr="00CB2256">
        <w:t>C</w:t>
      </w:r>
      <w:r>
        <w:t>ommercial and Industrial (C</w:t>
      </w:r>
      <w:r w:rsidR="00CB2256" w:rsidRPr="00CB2256">
        <w:t>&amp;I</w:t>
      </w:r>
      <w:r>
        <w:t>)</w:t>
      </w:r>
      <w:r w:rsidR="00CB2256" w:rsidRPr="00CB2256">
        <w:t xml:space="preserve"> organics collection. </w:t>
      </w:r>
      <w:r w:rsidR="00095593">
        <w:t>T</w:t>
      </w:r>
      <w:r w:rsidR="00CB2256" w:rsidRPr="00CB2256">
        <w:t xml:space="preserve">here may be opportunities to improve the collection network efficiency for these materials.   </w:t>
      </w:r>
    </w:p>
    <w:p w14:paraId="551AB6DF" w14:textId="69BD73B6" w:rsidR="00CB2256" w:rsidRPr="00CB2256" w:rsidRDefault="00095593" w:rsidP="00CB2256">
      <w:pPr>
        <w:numPr>
          <w:ilvl w:val="0"/>
          <w:numId w:val="11"/>
        </w:numPr>
        <w:contextualSpacing/>
      </w:pPr>
      <w:r>
        <w:t>E</w:t>
      </w:r>
      <w:r w:rsidR="00CB2256" w:rsidRPr="00CB2256">
        <w:t xml:space="preserve">missions </w:t>
      </w:r>
      <w:r w:rsidR="0093214E">
        <w:t>from</w:t>
      </w:r>
      <w:r w:rsidR="00CB2256" w:rsidRPr="00CB2256">
        <w:t xml:space="preserve"> paper/cardboard transport to interstate recycling infrastructure dominate</w:t>
      </w:r>
      <w:r w:rsidR="006F2F45">
        <w:t>d</w:t>
      </w:r>
      <w:r w:rsidR="00CB2256" w:rsidRPr="00CB2256">
        <w:t xml:space="preserve"> the </w:t>
      </w:r>
      <w:r>
        <w:t xml:space="preserve">transport </w:t>
      </w:r>
      <w:r w:rsidR="00CB2256" w:rsidRPr="00CB2256">
        <w:t xml:space="preserve">emissions profile. Opportunities may exist </w:t>
      </w:r>
      <w:r w:rsidR="0093214E">
        <w:t>to</w:t>
      </w:r>
      <w:r w:rsidR="00CB2256" w:rsidRPr="00CB2256">
        <w:t xml:space="preserve"> consolid</w:t>
      </w:r>
      <w:r w:rsidR="0093214E">
        <w:t>ate</w:t>
      </w:r>
      <w:r w:rsidR="00CB2256" w:rsidRPr="00CB2256">
        <w:t xml:space="preserve"> paper</w:t>
      </w:r>
      <w:r>
        <w:t xml:space="preserve">/cardboard before transport for </w:t>
      </w:r>
      <w:r w:rsidR="00CB2256" w:rsidRPr="00CB2256">
        <w:t>bulk hauling.</w:t>
      </w:r>
    </w:p>
    <w:p w14:paraId="7CE67594" w14:textId="77777777" w:rsidR="00CB2256" w:rsidRPr="00CB2256" w:rsidRDefault="00CB2256" w:rsidP="000E2248">
      <w:pPr>
        <w:pStyle w:val="Heading1Numbered"/>
      </w:pPr>
      <w:bookmarkStart w:id="7" w:name="_Toc16499280"/>
      <w:r w:rsidRPr="00CB2256">
        <w:t>Net emissions from waste sector infrastructure and transport (scopes 1-3)</w:t>
      </w:r>
      <w:bookmarkEnd w:id="7"/>
    </w:p>
    <w:p w14:paraId="3039B689" w14:textId="77777777" w:rsidR="00CB2256" w:rsidRPr="00CB2256" w:rsidRDefault="00CB2256" w:rsidP="00CB2256">
      <w:pPr>
        <w:numPr>
          <w:ilvl w:val="0"/>
          <w:numId w:val="11"/>
        </w:numPr>
        <w:contextualSpacing/>
      </w:pPr>
      <w:r w:rsidRPr="00CB2256">
        <w:t xml:space="preserve">Steel recycling in Victoria is ‘carbon negative’ despite having the most significant scope 2 emissions and the exporting of significant tonnages to international markets for processing. </w:t>
      </w:r>
    </w:p>
    <w:p w14:paraId="311C84B4" w14:textId="77777777" w:rsidR="00CB2256" w:rsidRPr="00CB2256" w:rsidRDefault="00CB2256" w:rsidP="00CB2256">
      <w:pPr>
        <w:numPr>
          <w:ilvl w:val="0"/>
          <w:numId w:val="11"/>
        </w:numPr>
        <w:contextualSpacing/>
      </w:pPr>
      <w:r w:rsidRPr="00CB2256">
        <w:t xml:space="preserve">Glass recycling, plastic recycling, open windrow and in-vessel composting are carbon negative in Victoria. </w:t>
      </w:r>
    </w:p>
    <w:p w14:paraId="2E1BCC8D" w14:textId="0B0C0642" w:rsidR="00CB2256" w:rsidRPr="00CB2256" w:rsidRDefault="00CB2256" w:rsidP="00CB2256">
      <w:pPr>
        <w:numPr>
          <w:ilvl w:val="0"/>
          <w:numId w:val="11"/>
        </w:numPr>
        <w:contextualSpacing/>
      </w:pPr>
      <w:r w:rsidRPr="00CB2256">
        <w:t>Licensed landfill emissions are offset by about a third from electricity generation from landfill gas burning. Opportunities exist to improve landfill gas recovery and further offset landfill GHG emissions.</w:t>
      </w:r>
    </w:p>
    <w:p w14:paraId="7B830AEC" w14:textId="0CBA8613" w:rsidR="00CB2256" w:rsidRPr="00CB2256" w:rsidRDefault="008E08BC" w:rsidP="000E2248">
      <w:pPr>
        <w:pStyle w:val="Heading1Numbered"/>
      </w:pPr>
      <w:bookmarkStart w:id="8" w:name="_Toc16499281"/>
      <w:r>
        <w:t xml:space="preserve">Potential </w:t>
      </w:r>
      <w:r w:rsidR="00CB2256" w:rsidRPr="00CB2256">
        <w:t>GHG emissions reduction</w:t>
      </w:r>
      <w:r>
        <w:t>s</w:t>
      </w:r>
      <w:bookmarkEnd w:id="8"/>
      <w:r>
        <w:t xml:space="preserve"> </w:t>
      </w:r>
    </w:p>
    <w:p w14:paraId="7CB78B6A" w14:textId="08B7E744" w:rsidR="00E06265" w:rsidRDefault="00E06265" w:rsidP="00E06265">
      <w:r>
        <w:t>The following examples outline the potential scale of emissions reductions:</w:t>
      </w:r>
    </w:p>
    <w:p w14:paraId="37962970" w14:textId="382B142E" w:rsidR="00E06265" w:rsidRPr="00CB2256" w:rsidRDefault="00E06265" w:rsidP="00E06265">
      <w:pPr>
        <w:numPr>
          <w:ilvl w:val="0"/>
          <w:numId w:val="11"/>
        </w:numPr>
        <w:contextualSpacing/>
      </w:pPr>
      <w:r w:rsidRPr="00CB2256">
        <w:t>Increasing diversion of organics from landfill by 50</w:t>
      </w:r>
      <w:r w:rsidR="00422A1A">
        <w:t xml:space="preserve"> per cent</w:t>
      </w:r>
      <w:r w:rsidR="00422A1A" w:rsidRPr="00CB2256">
        <w:t xml:space="preserve"> </w:t>
      </w:r>
      <w:r w:rsidRPr="00CB2256">
        <w:t>would result in a reduction in emissions of 12</w:t>
      </w:r>
      <w:r w:rsidR="00422A1A">
        <w:t xml:space="preserve"> per cent</w:t>
      </w:r>
      <w:r w:rsidR="00422A1A" w:rsidRPr="00CB2256">
        <w:t xml:space="preserve"> </w:t>
      </w:r>
      <w:r w:rsidRPr="00CB2256">
        <w:t>(when modelled on scope 1-3).</w:t>
      </w:r>
    </w:p>
    <w:p w14:paraId="6D46E76F" w14:textId="008FDDBF" w:rsidR="00CB2256" w:rsidRPr="00CB2256" w:rsidRDefault="00CB2256" w:rsidP="00E06265">
      <w:pPr>
        <w:numPr>
          <w:ilvl w:val="0"/>
          <w:numId w:val="11"/>
        </w:numPr>
        <w:contextualSpacing/>
      </w:pPr>
      <w:r w:rsidRPr="00CB2256">
        <w:t>Halving the transport distances to MRFs for M</w:t>
      </w:r>
      <w:r w:rsidR="009B1819">
        <w:t>unicipal Solid Waste (M</w:t>
      </w:r>
      <w:r w:rsidRPr="00CB2256">
        <w:t>SW</w:t>
      </w:r>
      <w:r w:rsidR="009B1819">
        <w:t>)</w:t>
      </w:r>
      <w:r w:rsidRPr="00CB2256">
        <w:t xml:space="preserve"> and C&amp;I waste streams would reduce </w:t>
      </w:r>
      <w:r w:rsidR="008B5574">
        <w:t xml:space="preserve">sector </w:t>
      </w:r>
      <w:r w:rsidRPr="00CB2256">
        <w:t>emissions by about 4</w:t>
      </w:r>
      <w:r w:rsidR="00422A1A">
        <w:t xml:space="preserve"> per cent</w:t>
      </w:r>
      <w:r w:rsidR="00422A1A" w:rsidRPr="00CB2256">
        <w:t xml:space="preserve">. </w:t>
      </w:r>
    </w:p>
    <w:p w14:paraId="54297626" w14:textId="559AA5B7" w:rsidR="00CB2256" w:rsidRPr="00CB2256" w:rsidRDefault="00CB2256" w:rsidP="00CB2256">
      <w:pPr>
        <w:numPr>
          <w:ilvl w:val="0"/>
          <w:numId w:val="11"/>
        </w:numPr>
        <w:contextualSpacing/>
      </w:pPr>
      <w:r w:rsidRPr="00CB2256">
        <w:t>Increasing the average methane gas recovery rate from the assumed 60</w:t>
      </w:r>
      <w:r w:rsidR="00422A1A">
        <w:t xml:space="preserve"> per cent</w:t>
      </w:r>
      <w:r w:rsidR="00422A1A" w:rsidRPr="00CB2256">
        <w:t xml:space="preserve"> </w:t>
      </w:r>
      <w:r w:rsidRPr="00CB2256">
        <w:t>to 75</w:t>
      </w:r>
      <w:r w:rsidR="00422A1A">
        <w:t xml:space="preserve"> per cent</w:t>
      </w:r>
      <w:r w:rsidRPr="00CB2256">
        <w:t xml:space="preserve"> for all landfills would reduce emissions by around 20</w:t>
      </w:r>
      <w:r w:rsidR="00422A1A">
        <w:t xml:space="preserve"> per cent</w:t>
      </w:r>
      <w:r w:rsidR="00422A1A" w:rsidRPr="00CB2256">
        <w:t xml:space="preserve"> </w:t>
      </w:r>
      <w:r w:rsidRPr="00CB2256">
        <w:t>(alternatively, energy capture through waste</w:t>
      </w:r>
      <w:r w:rsidR="00422A1A">
        <w:t>-</w:t>
      </w:r>
      <w:r w:rsidRPr="00CB2256">
        <w:t>to</w:t>
      </w:r>
      <w:r w:rsidR="00422A1A">
        <w:t>-</w:t>
      </w:r>
      <w:r w:rsidRPr="00CB2256">
        <w:t xml:space="preserve">energy technologies </w:t>
      </w:r>
      <w:r w:rsidR="005F6C58">
        <w:t xml:space="preserve">may be preferable to </w:t>
      </w:r>
      <w:r w:rsidRPr="00CB2256">
        <w:t>landfill)</w:t>
      </w:r>
      <w:r w:rsidR="008E08BC">
        <w:t>.</w:t>
      </w:r>
    </w:p>
    <w:p w14:paraId="551821DD" w14:textId="5E61C27C" w:rsidR="00CB2256" w:rsidRDefault="002A2168" w:rsidP="002A2168">
      <w:pPr>
        <w:pStyle w:val="Heading1Numbered"/>
      </w:pPr>
      <w:bookmarkStart w:id="9" w:name="_Toc16499282"/>
      <w:r>
        <w:t>Key interventions to reduce GHG emissions</w:t>
      </w:r>
      <w:bookmarkEnd w:id="9"/>
    </w:p>
    <w:p w14:paraId="278259BC" w14:textId="13E61580" w:rsidR="002A2168" w:rsidRPr="002A2168" w:rsidRDefault="002A2168" w:rsidP="002A2168">
      <w:r w:rsidRPr="00C038D3">
        <w:t xml:space="preserve">The industries with the highest estimated emissions associated with scope 1 </w:t>
      </w:r>
      <w:r w:rsidR="006F2F45">
        <w:t>and 2 emissions we</w:t>
      </w:r>
      <w:r>
        <w:t>re</w:t>
      </w:r>
      <w:r w:rsidRPr="00C038D3">
        <w:t xml:space="preserve"> steel recycling, licensed landfill, plastic recycling and paper</w:t>
      </w:r>
      <w:r>
        <w:t>/cardboard</w:t>
      </w:r>
      <w:r w:rsidRPr="00C038D3">
        <w:t xml:space="preserve"> recycling</w:t>
      </w:r>
      <w:r>
        <w:t xml:space="preserve">. Key interventions include process improvements, use of improved technologies and </w:t>
      </w:r>
      <w:r w:rsidRPr="00716AAC">
        <w:t xml:space="preserve">use of renewable or less GHG intensive sources of electricity. These are outlined in </w:t>
      </w:r>
      <w:r w:rsidR="00716AAC">
        <w:t xml:space="preserve">detail in </w:t>
      </w:r>
      <w:r w:rsidRPr="00716AAC">
        <w:t xml:space="preserve">section </w:t>
      </w:r>
      <w:r w:rsidR="00716AAC" w:rsidRPr="00716AAC">
        <w:t>5.</w:t>
      </w:r>
    </w:p>
    <w:p w14:paraId="19D80011" w14:textId="77777777" w:rsidR="00CB2256" w:rsidRPr="00CB2256" w:rsidRDefault="00CB2256" w:rsidP="00CB2256">
      <w:pPr>
        <w:spacing w:after="0" w:line="240" w:lineRule="auto"/>
      </w:pPr>
    </w:p>
    <w:p w14:paraId="23E5AE17" w14:textId="77777777" w:rsidR="00F561ED" w:rsidRDefault="00F561ED" w:rsidP="00F561ED">
      <w:pPr>
        <w:sectPr w:rsidR="00F561ED" w:rsidSect="002211F4">
          <w:pgSz w:w="11906" w:h="16838" w:code="9"/>
          <w:pgMar w:top="1474" w:right="964" w:bottom="1134" w:left="3175" w:header="851" w:footer="369" w:gutter="0"/>
          <w:cols w:space="708"/>
          <w:titlePg/>
          <w:docGrid w:linePitch="360"/>
        </w:sectPr>
      </w:pPr>
    </w:p>
    <w:p w14:paraId="27F67664" w14:textId="56782354" w:rsidR="00F561ED" w:rsidRPr="0045125A" w:rsidRDefault="00F561ED" w:rsidP="00F561ED">
      <w:pPr>
        <w:pStyle w:val="SectionDividerTitle"/>
        <w:framePr w:wrap="around"/>
      </w:pPr>
      <w:bookmarkStart w:id="10" w:name="_Toc16499283"/>
      <w:r>
        <w:lastRenderedPageBreak/>
        <w:t>Method</w:t>
      </w:r>
      <w:bookmarkEnd w:id="10"/>
    </w:p>
    <w:p w14:paraId="7D818026" w14:textId="7501B325" w:rsidR="00F561ED" w:rsidRDefault="00F561ED" w:rsidP="00F561ED">
      <w:pPr>
        <w:pStyle w:val="Heading1Numbered"/>
      </w:pPr>
      <w:bookmarkStart w:id="11" w:name="_Toc16499284"/>
      <w:r>
        <w:t>Data frameworks and sources</w:t>
      </w:r>
      <w:bookmarkEnd w:id="11"/>
    </w:p>
    <w:p w14:paraId="6C1E275E" w14:textId="0BDBE693" w:rsidR="00F561ED" w:rsidRDefault="00F561ED" w:rsidP="00F561ED">
      <w:pPr>
        <w:spacing w:after="53"/>
        <w:ind w:left="9" w:right="95"/>
      </w:pPr>
      <w:r>
        <w:t xml:space="preserve">The accounting systems for </w:t>
      </w:r>
      <w:r w:rsidR="003627DA">
        <w:t>GHG</w:t>
      </w:r>
      <w:r>
        <w:t xml:space="preserve"> emissions and sinks are well-developed. Primary references for these include:</w:t>
      </w:r>
    </w:p>
    <w:p w14:paraId="5BD92660" w14:textId="20FEAA11" w:rsidR="00F561ED" w:rsidRDefault="0077299C" w:rsidP="004C1F4D">
      <w:pPr>
        <w:pStyle w:val="ListBullet"/>
      </w:pPr>
      <w:hyperlink r:id="rId29">
        <w:r w:rsidR="00F561ED">
          <w:t xml:space="preserve">National Greenhouse and Energy Reporting (Measurement) </w:t>
        </w:r>
      </w:hyperlink>
      <w:hyperlink r:id="rId30">
        <w:r w:rsidR="00F561ED">
          <w:t>Determination</w:t>
        </w:r>
      </w:hyperlink>
      <w:r w:rsidR="00F561ED">
        <w:t xml:space="preserve"> (the NGER Determination) and associated technical guidelines</w:t>
      </w:r>
    </w:p>
    <w:p w14:paraId="34A21A00" w14:textId="2476E7C5" w:rsidR="00F561ED" w:rsidRDefault="0077299C" w:rsidP="004C1F4D">
      <w:pPr>
        <w:pStyle w:val="ListBullet"/>
      </w:pPr>
      <w:hyperlink r:id="rId31">
        <w:r w:rsidR="00F561ED">
          <w:t>National Greenhouse Accounts Factors</w:t>
        </w:r>
      </w:hyperlink>
    </w:p>
    <w:p w14:paraId="49CC45C5" w14:textId="1D286094" w:rsidR="00F561ED" w:rsidRDefault="0077299C" w:rsidP="004C1F4D">
      <w:pPr>
        <w:pStyle w:val="ListBullet"/>
      </w:pPr>
      <w:hyperlink r:id="rId32">
        <w:r w:rsidR="00F561ED">
          <w:t xml:space="preserve">Australian Greenhouse Emissions Information System </w:t>
        </w:r>
      </w:hyperlink>
      <w:r w:rsidR="00F561ED">
        <w:t>(from which</w:t>
      </w:r>
      <w:r w:rsidR="00422A1A">
        <w:t xml:space="preserve"> </w:t>
      </w:r>
      <w:r w:rsidR="00F561ED">
        <w:t>the average recovery rate for landfill gas in Victoria can be derived).</w:t>
      </w:r>
    </w:p>
    <w:p w14:paraId="3C9D7341" w14:textId="4CDD2F52" w:rsidR="00F561ED" w:rsidRDefault="003627DA" w:rsidP="003627DA">
      <w:r>
        <w:t>These references provide</w:t>
      </w:r>
      <w:r w:rsidR="00F561ED">
        <w:t xml:space="preserve"> key factors, such as average fugitive emissions per tonne of waste composted or landfilled, or emissions per unit of diesel consumed. They also set an overarching framework of assumptions, such as ignoring oxidation of organic matter to produce carbon dioxide on the grounds that this is part of the natural carbon cycle.</w:t>
      </w:r>
    </w:p>
    <w:p w14:paraId="4AD3BAFC" w14:textId="73D2839D" w:rsidR="003627DA" w:rsidRDefault="00F561ED" w:rsidP="003627DA">
      <w:r>
        <w:t xml:space="preserve">These primary references did not provide comprehensive data on emissions from </w:t>
      </w:r>
      <w:r w:rsidR="003627DA">
        <w:t xml:space="preserve">specific </w:t>
      </w:r>
      <w:r>
        <w:t xml:space="preserve">operations. Many of these were individually constructed for this project using a range of sources, such as life cycle assessments </w:t>
      </w:r>
      <w:r w:rsidR="003627DA">
        <w:t xml:space="preserve">(LCAs) </w:t>
      </w:r>
      <w:r>
        <w:t>and industry studies. These studies considered: consumption of gas, diesel and power; oxidation of plastics (for waste to energy facilities); fugitive emissions; and waste throughputs (so that data could be presented on a ‘per tonne processed’ basis).</w:t>
      </w:r>
    </w:p>
    <w:p w14:paraId="0C208795" w14:textId="36A2BC0F" w:rsidR="00B4556D" w:rsidRDefault="00B4556D" w:rsidP="003627DA">
      <w:r w:rsidRPr="003627DA">
        <w:t xml:space="preserve">The full list of references used is listed </w:t>
      </w:r>
      <w:r w:rsidR="006F2F45">
        <w:t xml:space="preserve">section </w:t>
      </w:r>
      <w:r w:rsidR="008F176E">
        <w:t>6</w:t>
      </w:r>
      <w:r w:rsidRPr="003627DA">
        <w:t>.</w:t>
      </w:r>
    </w:p>
    <w:p w14:paraId="6D7A4E5F" w14:textId="0C1F795F" w:rsidR="00F561ED" w:rsidRDefault="00F561ED" w:rsidP="005E2444">
      <w:pPr>
        <w:pStyle w:val="Heading1Numbered"/>
      </w:pPr>
      <w:bookmarkStart w:id="12" w:name="_Toc16499285"/>
      <w:r>
        <w:t xml:space="preserve">Study boundaries and NGERS </w:t>
      </w:r>
      <w:r w:rsidR="008F176E">
        <w:t xml:space="preserve">scope </w:t>
      </w:r>
      <w:r>
        <w:t>1, 2 and 3 emissions</w:t>
      </w:r>
      <w:bookmarkEnd w:id="12"/>
    </w:p>
    <w:p w14:paraId="081D956A" w14:textId="77777777" w:rsidR="00F561ED" w:rsidRDefault="00F561ED" w:rsidP="00F561ED">
      <w:pPr>
        <w:ind w:left="9" w:right="14"/>
      </w:pPr>
      <w:r>
        <w:t xml:space="preserve">The interactions between the waste sector and climate change can be examined within different boundaries. </w:t>
      </w:r>
    </w:p>
    <w:p w14:paraId="71F9C392" w14:textId="0A5C2992" w:rsidR="00F561ED" w:rsidRDefault="00F561ED" w:rsidP="00F561ED">
      <w:pPr>
        <w:ind w:left="9" w:right="14"/>
      </w:pPr>
      <w:r>
        <w:t xml:space="preserve">The Intergovernmental Panel on Climate Change (IPCC) system, which is used for national accounting, includes only ‘end-of-pipe’ emissions. In this system, outlined in </w:t>
      </w:r>
      <w:r w:rsidR="008F176E">
        <w:t xml:space="preserve">chapter </w:t>
      </w:r>
      <w:r>
        <w:t>5 of the NGER Determination, emissions from solid waste are restricted to: methane emissions from landfills; methane and nitrous oxide emissions from organics processing and landfill gas flares; and carbon dioxide (CO</w:t>
      </w:r>
      <w:r>
        <w:rPr>
          <w:sz w:val="15"/>
          <w:vertAlign w:val="subscript"/>
        </w:rPr>
        <w:t>2</w:t>
      </w:r>
      <w:r>
        <w:t>) from thermal processing of fossil-fuel based waste.</w:t>
      </w:r>
    </w:p>
    <w:p w14:paraId="15D09D7F" w14:textId="77123BCE" w:rsidR="00F561ED" w:rsidRDefault="00F561ED" w:rsidP="00F561ED">
      <w:pPr>
        <w:ind w:left="9" w:right="14"/>
      </w:pPr>
      <w:r>
        <w:t>In NGER reporting, which applies to faci</w:t>
      </w:r>
      <w:r w:rsidR="003627DA">
        <w:t xml:space="preserve">lities emitting more than 25 kt </w:t>
      </w:r>
      <w:r>
        <w:t>CO</w:t>
      </w:r>
      <w:r>
        <w:rPr>
          <w:sz w:val="15"/>
          <w:vertAlign w:val="subscript"/>
        </w:rPr>
        <w:t>2</w:t>
      </w:r>
      <w:r>
        <w:t xml:space="preserve"> equivalent (CO</w:t>
      </w:r>
      <w:r>
        <w:rPr>
          <w:sz w:val="15"/>
          <w:vertAlign w:val="subscript"/>
        </w:rPr>
        <w:t>2</w:t>
      </w:r>
      <w:r>
        <w:t xml:space="preserve">-e) emissions, waste sector reporters must include </w:t>
      </w:r>
      <w:r w:rsidR="005E2444">
        <w:t>all</w:t>
      </w:r>
      <w:r>
        <w:t xml:space="preserve"> thei</w:t>
      </w:r>
      <w:r w:rsidR="005E2444">
        <w:t>r direct (‘scope 1’</w:t>
      </w:r>
      <w:r>
        <w:t xml:space="preserve">) emissions (including from fossil fuel use) as well as indirect emissions from electricity use (‘scope 2’). </w:t>
      </w:r>
    </w:p>
    <w:p w14:paraId="2F975B30" w14:textId="2A69DBFB" w:rsidR="0055734C" w:rsidRDefault="00F561ED" w:rsidP="0055734C">
      <w:pPr>
        <w:ind w:left="9" w:right="14"/>
      </w:pPr>
      <w:r>
        <w:t xml:space="preserve">Some other indirect aspects (‘scope 3’) </w:t>
      </w:r>
      <w:r w:rsidR="003627DA">
        <w:t xml:space="preserve">are excluded from both </w:t>
      </w:r>
      <w:r>
        <w:t xml:space="preserve">systems, but are typically included in holistic studies of the solid waste sector’s emissions, </w:t>
      </w:r>
      <w:r w:rsidRPr="003627DA">
        <w:t>such as in LCAs. T</w:t>
      </w:r>
      <w:r>
        <w:t xml:space="preserve">hese </w:t>
      </w:r>
      <w:r>
        <w:lastRenderedPageBreak/>
        <w:t>include, for example, offsets from recycling (</w:t>
      </w:r>
      <w:r w:rsidR="005E2444">
        <w:t xml:space="preserve">e.g. </w:t>
      </w:r>
      <w:r>
        <w:t>metal recycling</w:t>
      </w:r>
      <w:r w:rsidR="005E2444">
        <w:t xml:space="preserve"> produces</w:t>
      </w:r>
      <w:r>
        <w:t xml:space="preserve"> much fewer emissions than virgin manufacture so there is a carbon benefit to the extent that recycling offsets virgin manufacture) and offsets of fossil fuel energy by renewable energy sourced from landfill gas.</w:t>
      </w:r>
    </w:p>
    <w:p w14:paraId="3441966C" w14:textId="42663168" w:rsidR="001F5270" w:rsidRDefault="001F5270" w:rsidP="001F5270">
      <w:pPr>
        <w:spacing w:after="140"/>
        <w:ind w:left="11" w:right="11"/>
      </w:pPr>
      <w:r>
        <w:t xml:space="preserve">We included these aspects </w:t>
      </w:r>
      <w:r w:rsidR="00DD7F30">
        <w:t xml:space="preserve">in </w:t>
      </w:r>
      <w:r>
        <w:t>this study</w:t>
      </w:r>
      <w:r w:rsidR="000817BB">
        <w:t xml:space="preserve">; </w:t>
      </w:r>
      <w:r>
        <w:t xml:space="preserve">the emissions modelling allows for the boundary to be adjusted to include or exclude scope 3. The boundaries of the emissions modelling are discussed </w:t>
      </w:r>
      <w:r w:rsidRPr="00470899">
        <w:t xml:space="preserve">further </w:t>
      </w:r>
      <w:r w:rsidRPr="00EF554A">
        <w:t xml:space="preserve">in </w:t>
      </w:r>
      <w:r w:rsidR="008F176E">
        <w:t>s</w:t>
      </w:r>
      <w:r w:rsidR="008F176E" w:rsidRPr="00EF554A">
        <w:t xml:space="preserve">ection </w:t>
      </w:r>
      <w:r w:rsidRPr="00EF554A">
        <w:t>3.3.</w:t>
      </w:r>
    </w:p>
    <w:p w14:paraId="3B9E9950" w14:textId="1FA67FB2" w:rsidR="001F5270" w:rsidRDefault="008E556B" w:rsidP="001F5270">
      <w:pPr>
        <w:pStyle w:val="TableCaption"/>
      </w:pPr>
      <w:r>
        <w:t xml:space="preserve">TABLE </w:t>
      </w:r>
      <w:r w:rsidR="001F5270">
        <w:t>1</w:t>
      </w:r>
      <w:r>
        <w:t>:</w:t>
      </w:r>
      <w:r w:rsidR="001F5270">
        <w:t xml:space="preserve"> Scope 1,2 and 3 emissions definitions for this report</w:t>
      </w:r>
      <w:r w:rsidR="000E2248">
        <w:rPr>
          <w:rStyle w:val="FootnoteReference"/>
        </w:rPr>
        <w:footnoteReference w:id="4"/>
      </w:r>
    </w:p>
    <w:tbl>
      <w:tblPr>
        <w:tblStyle w:val="SVTable"/>
        <w:tblW w:w="5000" w:type="pct"/>
        <w:tblLook w:val="04E0" w:firstRow="1" w:lastRow="1" w:firstColumn="1" w:lastColumn="0" w:noHBand="0" w:noVBand="1"/>
      </w:tblPr>
      <w:tblGrid>
        <w:gridCol w:w="1968"/>
        <w:gridCol w:w="2681"/>
        <w:gridCol w:w="3118"/>
      </w:tblGrid>
      <w:tr w:rsidR="00470899" w:rsidRPr="00456498" w14:paraId="6AC0D659" w14:textId="77777777" w:rsidTr="00D17275">
        <w:trPr>
          <w:cnfStyle w:val="100000000000" w:firstRow="1" w:lastRow="0" w:firstColumn="0" w:lastColumn="0" w:oddVBand="0" w:evenVBand="0" w:oddHBand="0" w:evenHBand="0" w:firstRowFirstColumn="0" w:firstRowLastColumn="0" w:lastRowFirstColumn="0" w:lastRowLastColumn="0"/>
        </w:trPr>
        <w:tc>
          <w:tcPr>
            <w:tcW w:w="1267" w:type="pct"/>
          </w:tcPr>
          <w:p w14:paraId="0489F5B7" w14:textId="491E8D31" w:rsidR="00470899" w:rsidRPr="00456498" w:rsidRDefault="00470899" w:rsidP="00A0546D">
            <w:pPr>
              <w:pStyle w:val="TableHeading"/>
            </w:pPr>
            <w:r>
              <w:t>Scope 1</w:t>
            </w:r>
            <w:r w:rsidRPr="00456498">
              <w:t xml:space="preserve"> </w:t>
            </w:r>
            <w:r>
              <w:t>emissions</w:t>
            </w:r>
          </w:p>
        </w:tc>
        <w:tc>
          <w:tcPr>
            <w:tcW w:w="1726" w:type="pct"/>
          </w:tcPr>
          <w:p w14:paraId="3BA42A79" w14:textId="2CD82532" w:rsidR="00470899" w:rsidRPr="00456498" w:rsidRDefault="00470899" w:rsidP="00A0546D">
            <w:pPr>
              <w:pStyle w:val="TableHeading"/>
            </w:pPr>
            <w:r>
              <w:t>Scope 2 emissions</w:t>
            </w:r>
          </w:p>
        </w:tc>
        <w:tc>
          <w:tcPr>
            <w:tcW w:w="2007" w:type="pct"/>
          </w:tcPr>
          <w:p w14:paraId="23FE3841" w14:textId="796770A2" w:rsidR="00470899" w:rsidRPr="00456498" w:rsidRDefault="00470899" w:rsidP="00A0546D">
            <w:pPr>
              <w:pStyle w:val="TableHeading"/>
            </w:pPr>
            <w:r>
              <w:t>Scope 3 emissions</w:t>
            </w:r>
          </w:p>
        </w:tc>
      </w:tr>
      <w:tr w:rsidR="00470899" w:rsidRPr="00C71DEF" w14:paraId="4435BACA" w14:textId="77777777" w:rsidTr="00C71DEF">
        <w:trPr>
          <w:cnfStyle w:val="010000000000" w:firstRow="0" w:lastRow="1" w:firstColumn="0" w:lastColumn="0" w:oddVBand="0" w:evenVBand="0" w:oddHBand="0" w:evenHBand="0" w:firstRowFirstColumn="0" w:firstRowLastColumn="0" w:lastRowFirstColumn="0" w:lastRowLastColumn="0"/>
        </w:trPr>
        <w:tc>
          <w:tcPr>
            <w:tcW w:w="1267" w:type="pct"/>
            <w:shd w:val="clear" w:color="auto" w:fill="auto"/>
          </w:tcPr>
          <w:p w14:paraId="22426256" w14:textId="77777777" w:rsidR="00470899" w:rsidRPr="00C71DEF" w:rsidRDefault="00470899" w:rsidP="00524A0F">
            <w:pPr>
              <w:pStyle w:val="TableBullet"/>
              <w:ind w:left="317" w:hanging="142"/>
              <w:rPr>
                <w:b w:val="0"/>
              </w:rPr>
            </w:pPr>
            <w:r w:rsidRPr="00C71DEF">
              <w:rPr>
                <w:b w:val="0"/>
              </w:rPr>
              <w:t>Direct emissions from waste infrastructure (e.g. use of fossil fuels, emission of landfill methane)</w:t>
            </w:r>
          </w:p>
          <w:p w14:paraId="02EC1224" w14:textId="668DE7DF" w:rsidR="00470899" w:rsidRPr="00C71DEF" w:rsidRDefault="00470899" w:rsidP="00524A0F">
            <w:pPr>
              <w:pStyle w:val="TableBullet"/>
              <w:ind w:left="317" w:hanging="142"/>
              <w:rPr>
                <w:b w:val="0"/>
              </w:rPr>
            </w:pPr>
            <w:r w:rsidRPr="00C71DEF">
              <w:rPr>
                <w:b w:val="0"/>
              </w:rPr>
              <w:t>Emissions from intra-state transport of waste including transport from collections and processing (illustrated in Figure 1)</w:t>
            </w:r>
          </w:p>
        </w:tc>
        <w:tc>
          <w:tcPr>
            <w:tcW w:w="1726" w:type="pct"/>
            <w:shd w:val="clear" w:color="auto" w:fill="auto"/>
          </w:tcPr>
          <w:p w14:paraId="3580A195" w14:textId="3EDCAE3E" w:rsidR="00470899" w:rsidRPr="00C71DEF" w:rsidRDefault="00470899" w:rsidP="00524A0F">
            <w:pPr>
              <w:pStyle w:val="TableBullet"/>
              <w:ind w:left="330" w:hanging="142"/>
              <w:rPr>
                <w:b w:val="0"/>
              </w:rPr>
            </w:pPr>
            <w:r w:rsidRPr="00C71DEF">
              <w:rPr>
                <w:b w:val="0"/>
              </w:rPr>
              <w:t>Emissions that result from electricity use by Victorian waste infrastructure (i.e. emissions from the burning of coal at power stations).</w:t>
            </w:r>
          </w:p>
        </w:tc>
        <w:tc>
          <w:tcPr>
            <w:tcW w:w="2007" w:type="pct"/>
            <w:shd w:val="clear" w:color="auto" w:fill="auto"/>
          </w:tcPr>
          <w:p w14:paraId="0C0AA533" w14:textId="6DDEDAAD" w:rsidR="00470899" w:rsidRPr="00C71DEF" w:rsidRDefault="00ED0A19" w:rsidP="00A0546D">
            <w:pPr>
              <w:pStyle w:val="TableText"/>
              <w:rPr>
                <w:b w:val="0"/>
              </w:rPr>
            </w:pPr>
            <w:r w:rsidRPr="00C71DEF">
              <w:rPr>
                <w:b w:val="0"/>
              </w:rPr>
              <w:t>Scope 3 emissions are more complex as they include both GHG emission reductions (offsets) and emission contributions. The scope 3 emissions included are:</w:t>
            </w:r>
          </w:p>
          <w:p w14:paraId="61F59E0F" w14:textId="6FA27A99" w:rsidR="00ED0A19" w:rsidRPr="00C71DEF" w:rsidRDefault="00ED0A19" w:rsidP="00524A0F">
            <w:pPr>
              <w:pStyle w:val="TableBullet"/>
              <w:ind w:left="294" w:hanging="141"/>
              <w:rPr>
                <w:b w:val="0"/>
              </w:rPr>
            </w:pPr>
            <w:r w:rsidRPr="00C71DEF">
              <w:rPr>
                <w:b w:val="0"/>
              </w:rPr>
              <w:t>Offsets from use of recycled materials (assuming 1:1 substitution of average virgin product). E.g., aluminium has a large GHG offset because of the energy savings from recycling aluminium compared to smelting alumina to create aluminium.</w:t>
            </w:r>
          </w:p>
          <w:p w14:paraId="3EC49D9D" w14:textId="77777777" w:rsidR="00ED0A19" w:rsidRPr="00C71DEF" w:rsidRDefault="00ED0A19" w:rsidP="00524A0F">
            <w:pPr>
              <w:pStyle w:val="TableBullet"/>
              <w:ind w:left="294" w:hanging="141"/>
              <w:rPr>
                <w:b w:val="0"/>
              </w:rPr>
            </w:pPr>
            <w:r w:rsidRPr="00C71DEF">
              <w:rPr>
                <w:b w:val="0"/>
              </w:rPr>
              <w:t>Offsets from use of renewable energy derived from waste (assuming 1:1 substitution of average Victorian electricity). For example, offsets from landfill gas energy recovery</w:t>
            </w:r>
          </w:p>
          <w:p w14:paraId="052BF6E1" w14:textId="77777777" w:rsidR="00ED0A19" w:rsidRPr="00C71DEF" w:rsidRDefault="00ED0A19" w:rsidP="00524A0F">
            <w:pPr>
              <w:pStyle w:val="TableBullet"/>
              <w:ind w:left="294" w:hanging="141"/>
              <w:rPr>
                <w:b w:val="0"/>
              </w:rPr>
            </w:pPr>
            <w:r w:rsidRPr="00C71DEF">
              <w:rPr>
                <w:b w:val="0"/>
              </w:rPr>
              <w:t>Offsets from sequestration of biogenic carbon in soils and landfills (assuming average ‘permanent storage’ = proportion remaining after 100 years). Examples, carbon storage in landfills and carbon storage from compost in soils.</w:t>
            </w:r>
          </w:p>
          <w:p w14:paraId="4F60A526" w14:textId="77777777" w:rsidR="00ED0A19" w:rsidRPr="00C71DEF" w:rsidRDefault="00ED0A19" w:rsidP="00524A0F">
            <w:pPr>
              <w:pStyle w:val="TableBullet"/>
              <w:ind w:left="294" w:hanging="141"/>
              <w:rPr>
                <w:b w:val="0"/>
              </w:rPr>
            </w:pPr>
            <w:r w:rsidRPr="00C71DEF">
              <w:rPr>
                <w:b w:val="0"/>
              </w:rPr>
              <w:t>Emissions associated with the extraction, processing and delivery of fossil fuels that are considered in scope 1 and scope 2 emissions. Example, emissions from extraction and refining of crude oil to produce diesel and petrol.</w:t>
            </w:r>
          </w:p>
          <w:p w14:paraId="22C394F2" w14:textId="5B243B42" w:rsidR="00ED0A19" w:rsidRPr="00C71DEF" w:rsidRDefault="00ED0A19" w:rsidP="00524A0F">
            <w:pPr>
              <w:pStyle w:val="TableBullet"/>
              <w:ind w:left="294" w:hanging="141"/>
              <w:rPr>
                <w:b w:val="0"/>
              </w:rPr>
            </w:pPr>
            <w:r w:rsidRPr="00C71DEF">
              <w:rPr>
                <w:b w:val="0"/>
              </w:rPr>
              <w:t>Emissions from international shipping of wastes.</w:t>
            </w:r>
          </w:p>
        </w:tc>
      </w:tr>
    </w:tbl>
    <w:p w14:paraId="0C899D63" w14:textId="5CBA8965" w:rsidR="00470899" w:rsidRDefault="00470899" w:rsidP="0055734C">
      <w:pPr>
        <w:ind w:left="9" w:right="14"/>
      </w:pPr>
    </w:p>
    <w:p w14:paraId="2B6EC4B6" w14:textId="77777777" w:rsidR="00524A0F" w:rsidRDefault="00524A0F">
      <w:pPr>
        <w:spacing w:after="0" w:line="240" w:lineRule="auto"/>
        <w:rPr>
          <w:rFonts w:asciiTheme="majorHAnsi" w:eastAsiaTheme="majorEastAsia" w:hAnsiTheme="majorHAnsi" w:cstheme="majorBidi"/>
          <w:bCs/>
          <w:color w:val="82C341" w:themeColor="accent1"/>
          <w:sz w:val="28"/>
          <w:szCs w:val="28"/>
        </w:rPr>
      </w:pPr>
      <w:r>
        <w:br w:type="page"/>
      </w:r>
    </w:p>
    <w:p w14:paraId="5ADCB41C" w14:textId="23C1DAAB" w:rsidR="0055734C" w:rsidRDefault="0055734C" w:rsidP="00B4556D">
      <w:pPr>
        <w:pStyle w:val="Heading1Numbered"/>
      </w:pPr>
      <w:bookmarkStart w:id="13" w:name="_Ref15303174"/>
      <w:bookmarkStart w:id="14" w:name="_Toc16499286"/>
      <w:r>
        <w:lastRenderedPageBreak/>
        <w:t xml:space="preserve">GHG </w:t>
      </w:r>
      <w:r w:rsidRPr="00B4556D">
        <w:t>emissions</w:t>
      </w:r>
      <w:r>
        <w:t xml:space="preserve"> modelling </w:t>
      </w:r>
      <w:r w:rsidR="00470899">
        <w:t xml:space="preserve">- </w:t>
      </w:r>
      <w:r w:rsidR="008F176E">
        <w:t xml:space="preserve">scope </w:t>
      </w:r>
      <w:r>
        <w:t>1, 2, and 3 emissions boundaries</w:t>
      </w:r>
      <w:bookmarkEnd w:id="13"/>
      <w:bookmarkEnd w:id="14"/>
    </w:p>
    <w:p w14:paraId="5FF66B5D" w14:textId="71947F19" w:rsidR="0055734C" w:rsidRDefault="0055734C" w:rsidP="003627DA">
      <w:r>
        <w:t>The following boundaries are applied under NGERS scope 1, 2, and 3 emissions. To understand the results, these boundaries need to be well understood.</w:t>
      </w:r>
    </w:p>
    <w:p w14:paraId="0B81BCC9" w14:textId="28A824FD" w:rsidR="0055734C" w:rsidRDefault="0055734C" w:rsidP="003627DA">
      <w:r w:rsidRPr="003627DA">
        <w:t>Figure 1</w:t>
      </w:r>
      <w:r w:rsidR="004C1F4D">
        <w:t xml:space="preserve"> </w:t>
      </w:r>
      <w:r w:rsidRPr="003627DA">
        <w:t>provides</w:t>
      </w:r>
      <w:r>
        <w:t xml:space="preserve"> an illustration of the boundaries of the GHG modelling</w:t>
      </w:r>
      <w:r w:rsidR="00EF554A">
        <w:t>,</w:t>
      </w:r>
      <w:r>
        <w:t xml:space="preserve"> including the boundaries for NGERS scope 1, 2, and 3 emissions.</w:t>
      </w:r>
    </w:p>
    <w:p w14:paraId="0B341103" w14:textId="77777777" w:rsidR="0055734C" w:rsidRDefault="0055734C" w:rsidP="0055734C">
      <w:pPr>
        <w:spacing w:after="50"/>
        <w:ind w:left="9" w:right="14"/>
      </w:pPr>
      <w:r>
        <w:t>The following needs to be noted on scope 3 emissions inclusions:</w:t>
      </w:r>
    </w:p>
    <w:p w14:paraId="677D5716" w14:textId="5C59C4B0" w:rsidR="0055734C" w:rsidRDefault="00693F2F" w:rsidP="000C5E8A">
      <w:pPr>
        <w:pStyle w:val="ListBullet"/>
      </w:pPr>
      <w:r>
        <w:t xml:space="preserve">these </w:t>
      </w:r>
      <w:r w:rsidR="0055734C">
        <w:t>are not ‘true’ scope 3 emissions as this term is designed for use by companies</w:t>
      </w:r>
    </w:p>
    <w:p w14:paraId="4E82CD45" w14:textId="5680F26D" w:rsidR="0055734C" w:rsidRDefault="00693F2F" w:rsidP="000C5E8A">
      <w:pPr>
        <w:pStyle w:val="ListBullet"/>
      </w:pPr>
      <w:r>
        <w:t xml:space="preserve">values </w:t>
      </w:r>
      <w:r w:rsidR="0055734C">
        <w:t>and factors are based on best available average values obtained without primary research</w:t>
      </w:r>
    </w:p>
    <w:p w14:paraId="6776C9D5" w14:textId="4BAB936E" w:rsidR="006B6977" w:rsidRDefault="00693F2F" w:rsidP="006B6977">
      <w:pPr>
        <w:pStyle w:val="ListBullet"/>
      </w:pPr>
      <w:r>
        <w:t>o</w:t>
      </w:r>
      <w:r w:rsidR="0055734C">
        <w:t xml:space="preserve">ther emission sources typically included in scope 3 emissions are considerably less significant and are not included in the emissions modelling. </w:t>
      </w:r>
    </w:p>
    <w:p w14:paraId="3CA4490D" w14:textId="4C73CF2C" w:rsidR="0055734C" w:rsidRDefault="00BB1390" w:rsidP="006B6977">
      <w:pPr>
        <w:pStyle w:val="FigureCaption"/>
      </w:pPr>
      <w:r w:rsidRPr="006B6977">
        <w:t>FIGURE</w:t>
      </w:r>
      <w:r>
        <w:t xml:space="preserve"> </w:t>
      </w:r>
      <w:r w:rsidR="004C1F4D">
        <w:t>1</w:t>
      </w:r>
      <w:r>
        <w:t xml:space="preserve">: </w:t>
      </w:r>
      <w:r w:rsidR="0055734C">
        <w:t xml:space="preserve">GHG </w:t>
      </w:r>
      <w:r>
        <w:t>emissions modelling boundaries, including NGERS scope 1, 2 and 3</w:t>
      </w:r>
    </w:p>
    <w:p w14:paraId="6724219E" w14:textId="5340377A" w:rsidR="0055734C" w:rsidRDefault="0055734C" w:rsidP="00F561ED">
      <w:pPr>
        <w:spacing w:after="539"/>
        <w:ind w:left="9" w:right="14"/>
      </w:pPr>
      <w:r>
        <w:rPr>
          <w:noProof/>
          <w:lang w:eastAsia="en-AU"/>
        </w:rPr>
        <w:drawing>
          <wp:inline distT="0" distB="0" distL="0" distR="0" wp14:anchorId="619D2F37" wp14:editId="005D0C6B">
            <wp:extent cx="4932045" cy="3705275"/>
            <wp:effectExtent l="0" t="0" r="1905" b="9525"/>
            <wp:docPr id="46241" name="Picture 46241"/>
            <wp:cNvGraphicFramePr/>
            <a:graphic xmlns:a="http://schemas.openxmlformats.org/drawingml/2006/main">
              <a:graphicData uri="http://schemas.openxmlformats.org/drawingml/2006/picture">
                <pic:pic xmlns:pic="http://schemas.openxmlformats.org/drawingml/2006/picture">
                  <pic:nvPicPr>
                    <pic:cNvPr id="46241" name="Picture 46241"/>
                    <pic:cNvPicPr/>
                  </pic:nvPicPr>
                  <pic:blipFill>
                    <a:blip r:embed="rId33"/>
                    <a:stretch>
                      <a:fillRect/>
                    </a:stretch>
                  </pic:blipFill>
                  <pic:spPr>
                    <a:xfrm>
                      <a:off x="0" y="0"/>
                      <a:ext cx="4932045" cy="3705275"/>
                    </a:xfrm>
                    <a:prstGeom prst="rect">
                      <a:avLst/>
                    </a:prstGeom>
                  </pic:spPr>
                </pic:pic>
              </a:graphicData>
            </a:graphic>
          </wp:inline>
        </w:drawing>
      </w:r>
    </w:p>
    <w:p w14:paraId="7669F611" w14:textId="77777777" w:rsidR="006210D1" w:rsidRDefault="006210D1">
      <w:pPr>
        <w:spacing w:after="0" w:line="240" w:lineRule="auto"/>
        <w:rPr>
          <w:rFonts w:asciiTheme="majorHAnsi" w:eastAsiaTheme="majorEastAsia" w:hAnsiTheme="majorHAnsi" w:cstheme="majorBidi"/>
          <w:bCs/>
          <w:color w:val="82C341" w:themeColor="accent1"/>
          <w:sz w:val="28"/>
          <w:szCs w:val="28"/>
        </w:rPr>
      </w:pPr>
      <w:r>
        <w:br w:type="page"/>
      </w:r>
    </w:p>
    <w:p w14:paraId="7D1EDAFE" w14:textId="1F14A77C" w:rsidR="00B4556D" w:rsidRDefault="00B4556D" w:rsidP="00B4556D">
      <w:pPr>
        <w:pStyle w:val="Heading1Numbered"/>
      </w:pPr>
      <w:bookmarkStart w:id="15" w:name="_Toc16499287"/>
      <w:r>
        <w:lastRenderedPageBreak/>
        <w:t>GHG waste sector model transport boundary</w:t>
      </w:r>
      <w:bookmarkEnd w:id="15"/>
      <w:r>
        <w:t xml:space="preserve"> </w:t>
      </w:r>
    </w:p>
    <w:p w14:paraId="23C43A29" w14:textId="4906CB4F" w:rsidR="00B4556D" w:rsidRDefault="00446192" w:rsidP="00B4556D">
      <w:pPr>
        <w:ind w:left="9" w:right="14"/>
      </w:pPr>
      <w:r w:rsidRPr="00EF554A">
        <w:t>Table</w:t>
      </w:r>
      <w:r w:rsidR="006D35CF" w:rsidRPr="00EF554A">
        <w:t xml:space="preserve">s </w:t>
      </w:r>
      <w:r w:rsidR="00026206" w:rsidRPr="00EF554A">
        <w:t>2 and 3 (</w:t>
      </w:r>
      <w:r w:rsidRPr="00EF554A">
        <w:t>below</w:t>
      </w:r>
      <w:r w:rsidR="00026206">
        <w:t>) pertain</w:t>
      </w:r>
      <w:r>
        <w:t xml:space="preserve"> to</w:t>
      </w:r>
      <w:r w:rsidR="00B4556D">
        <w:t xml:space="preserve"> the study boundary of the transport </w:t>
      </w:r>
      <w:r>
        <w:t>modelling component</w:t>
      </w:r>
      <w:r w:rsidR="00B4556D">
        <w:t>.</w:t>
      </w:r>
    </w:p>
    <w:p w14:paraId="3D1C77F7" w14:textId="437BA793" w:rsidR="00446192" w:rsidRPr="001F4CB0" w:rsidRDefault="00026206" w:rsidP="00F10FCE">
      <w:pPr>
        <w:pStyle w:val="TableCaptionWide"/>
      </w:pPr>
      <w:r w:rsidRPr="001F4CB0">
        <w:rPr>
          <w:color w:val="82C341"/>
        </w:rPr>
        <w:t>TABLE 2</w:t>
      </w:r>
      <w:r w:rsidR="00F10FCE" w:rsidRPr="001F4CB0">
        <w:rPr>
          <w:color w:val="82C341"/>
        </w:rPr>
        <w:t>: Boundary summary of waste sources for transport inclusions</w:t>
      </w:r>
    </w:p>
    <w:tbl>
      <w:tblPr>
        <w:tblStyle w:val="SVTable"/>
        <w:tblW w:w="6300" w:type="pct"/>
        <w:tblInd w:w="-1984" w:type="dxa"/>
        <w:tblLook w:val="04E0" w:firstRow="1" w:lastRow="1" w:firstColumn="1" w:lastColumn="0" w:noHBand="0" w:noVBand="1"/>
      </w:tblPr>
      <w:tblGrid>
        <w:gridCol w:w="1171"/>
        <w:gridCol w:w="1079"/>
        <w:gridCol w:w="1079"/>
        <w:gridCol w:w="1077"/>
        <w:gridCol w:w="1076"/>
        <w:gridCol w:w="1076"/>
        <w:gridCol w:w="1076"/>
        <w:gridCol w:w="1076"/>
        <w:gridCol w:w="1076"/>
      </w:tblGrid>
      <w:tr w:rsidR="00F10FCE" w:rsidRPr="00456498" w14:paraId="58E84B1E" w14:textId="696E0729" w:rsidTr="00C71DEF">
        <w:trPr>
          <w:cnfStyle w:val="100000000000" w:firstRow="1" w:lastRow="0" w:firstColumn="0" w:lastColumn="0" w:oddVBand="0" w:evenVBand="0" w:oddHBand="0" w:evenHBand="0" w:firstRowFirstColumn="0" w:firstRowLastColumn="0" w:lastRowFirstColumn="0" w:lastRowLastColumn="0"/>
        </w:trPr>
        <w:tc>
          <w:tcPr>
            <w:tcW w:w="598" w:type="pct"/>
          </w:tcPr>
          <w:p w14:paraId="6EB1FC75" w14:textId="20C8462E" w:rsidR="00F10FCE" w:rsidRPr="00456498" w:rsidRDefault="00F10FCE" w:rsidP="00A0546D">
            <w:pPr>
              <w:pStyle w:val="TableHeading"/>
            </w:pPr>
            <w:r>
              <w:t>Waste sources</w:t>
            </w:r>
            <w:r w:rsidRPr="00456498">
              <w:t xml:space="preserve"> </w:t>
            </w:r>
          </w:p>
        </w:tc>
        <w:tc>
          <w:tcPr>
            <w:tcW w:w="551" w:type="pct"/>
          </w:tcPr>
          <w:p w14:paraId="3DB961DE" w14:textId="65B40B88" w:rsidR="00F10FCE" w:rsidRPr="00456498" w:rsidRDefault="00F10FCE" w:rsidP="00A0546D">
            <w:pPr>
              <w:pStyle w:val="TableHeading"/>
            </w:pPr>
            <w:r>
              <w:t>MSW recycling</w:t>
            </w:r>
          </w:p>
        </w:tc>
        <w:tc>
          <w:tcPr>
            <w:tcW w:w="551" w:type="pct"/>
          </w:tcPr>
          <w:p w14:paraId="06EFB663" w14:textId="4BA5D491" w:rsidR="00F10FCE" w:rsidRPr="00456498" w:rsidRDefault="00F10FCE" w:rsidP="00A0546D">
            <w:pPr>
              <w:pStyle w:val="TableHeading"/>
            </w:pPr>
            <w:r>
              <w:t>C&amp;I recycling</w:t>
            </w:r>
          </w:p>
        </w:tc>
        <w:tc>
          <w:tcPr>
            <w:tcW w:w="550" w:type="pct"/>
          </w:tcPr>
          <w:p w14:paraId="3D2F0ECA" w14:textId="664B41BD" w:rsidR="00F10FCE" w:rsidRPr="00456498" w:rsidRDefault="00F10FCE" w:rsidP="00A0546D">
            <w:pPr>
              <w:pStyle w:val="TableHeading"/>
            </w:pPr>
            <w:r>
              <w:t>C&amp;D recycling</w:t>
            </w:r>
          </w:p>
        </w:tc>
        <w:tc>
          <w:tcPr>
            <w:tcW w:w="550" w:type="pct"/>
          </w:tcPr>
          <w:p w14:paraId="51571FA4" w14:textId="6E5AD109" w:rsidR="00F10FCE" w:rsidRPr="00456498" w:rsidRDefault="00F10FCE" w:rsidP="00A0546D">
            <w:pPr>
              <w:pStyle w:val="TableHeading"/>
            </w:pPr>
            <w:r>
              <w:t>MSW organics</w:t>
            </w:r>
          </w:p>
        </w:tc>
        <w:tc>
          <w:tcPr>
            <w:tcW w:w="550" w:type="pct"/>
          </w:tcPr>
          <w:p w14:paraId="1665C2A1" w14:textId="341DF8B5" w:rsidR="00F10FCE" w:rsidRPr="00456498" w:rsidRDefault="00F10FCE" w:rsidP="00A0546D">
            <w:pPr>
              <w:pStyle w:val="TableHeading"/>
            </w:pPr>
            <w:r>
              <w:t>C&amp;I organics</w:t>
            </w:r>
          </w:p>
        </w:tc>
        <w:tc>
          <w:tcPr>
            <w:tcW w:w="550" w:type="pct"/>
          </w:tcPr>
          <w:p w14:paraId="7EE26BD6" w14:textId="00829843" w:rsidR="00F10FCE" w:rsidRPr="00456498" w:rsidRDefault="00F10FCE" w:rsidP="00A0546D">
            <w:pPr>
              <w:pStyle w:val="TableHeading"/>
            </w:pPr>
            <w:r>
              <w:t>MSW landfill</w:t>
            </w:r>
          </w:p>
        </w:tc>
        <w:tc>
          <w:tcPr>
            <w:tcW w:w="550" w:type="pct"/>
          </w:tcPr>
          <w:p w14:paraId="691EDE6A" w14:textId="2297D2B5" w:rsidR="00F10FCE" w:rsidRPr="00456498" w:rsidRDefault="00F10FCE" w:rsidP="00A0546D">
            <w:pPr>
              <w:pStyle w:val="TableHeading"/>
            </w:pPr>
            <w:r>
              <w:t>C&amp;I landfill</w:t>
            </w:r>
          </w:p>
        </w:tc>
        <w:tc>
          <w:tcPr>
            <w:tcW w:w="550" w:type="pct"/>
          </w:tcPr>
          <w:p w14:paraId="526BF091" w14:textId="4E3E5215" w:rsidR="00F10FCE" w:rsidRPr="00456498" w:rsidRDefault="00F10FCE" w:rsidP="00A0546D">
            <w:pPr>
              <w:pStyle w:val="TableHeading"/>
            </w:pPr>
            <w:r>
              <w:t>C&amp;D landfill</w:t>
            </w:r>
          </w:p>
        </w:tc>
      </w:tr>
      <w:tr w:rsidR="00F10FCE" w:rsidRPr="00456498" w14:paraId="3B61983A" w14:textId="7EC4BDCB" w:rsidTr="00C71DEF">
        <w:tc>
          <w:tcPr>
            <w:tcW w:w="598" w:type="pct"/>
          </w:tcPr>
          <w:p w14:paraId="62969351" w14:textId="4FA7F348" w:rsidR="00F10FCE" w:rsidRPr="00456498" w:rsidRDefault="00F10FCE" w:rsidP="00A0546D">
            <w:pPr>
              <w:pStyle w:val="TableText"/>
            </w:pPr>
            <w:r>
              <w:t>Collections (filling the truck)</w:t>
            </w:r>
          </w:p>
        </w:tc>
        <w:tc>
          <w:tcPr>
            <w:tcW w:w="551" w:type="pct"/>
          </w:tcPr>
          <w:p w14:paraId="0689F00F" w14:textId="3F9E941A" w:rsidR="00F10FCE" w:rsidRPr="00F10FCE" w:rsidRDefault="00F10FCE" w:rsidP="00F10FCE">
            <w:pPr>
              <w:spacing w:before="120"/>
              <w:rPr>
                <w:rFonts w:ascii="Symbol" w:hAnsi="Symbol"/>
              </w:rPr>
            </w:pPr>
            <w:r>
              <w:rPr>
                <w:rFonts w:ascii="MS Gothic" w:eastAsia="MS Gothic" w:hAnsi="MS Gothic" w:cs="MS Gothic"/>
                <w:sz w:val="20"/>
              </w:rPr>
              <w:t>✓</w:t>
            </w:r>
          </w:p>
        </w:tc>
        <w:tc>
          <w:tcPr>
            <w:tcW w:w="551" w:type="pct"/>
          </w:tcPr>
          <w:p w14:paraId="3FEBAD04" w14:textId="4773E5D7" w:rsidR="00F10FCE" w:rsidRPr="00456498" w:rsidRDefault="00F10FCE" w:rsidP="00F10FCE">
            <w:pPr>
              <w:pStyle w:val="TableBullet"/>
              <w:numPr>
                <w:ilvl w:val="0"/>
                <w:numId w:val="0"/>
              </w:numPr>
              <w:ind w:left="227" w:hanging="227"/>
            </w:pPr>
            <w:r>
              <w:rPr>
                <w:rFonts w:ascii="MS Gothic" w:eastAsia="MS Gothic" w:hAnsi="MS Gothic" w:cs="MS Gothic"/>
                <w:sz w:val="20"/>
              </w:rPr>
              <w:t>✓</w:t>
            </w:r>
          </w:p>
        </w:tc>
        <w:tc>
          <w:tcPr>
            <w:tcW w:w="550" w:type="pct"/>
          </w:tcPr>
          <w:p w14:paraId="459E66F6" w14:textId="2A7F543C" w:rsidR="00F10FCE" w:rsidRPr="00456498" w:rsidRDefault="00F10FCE" w:rsidP="00F10FCE">
            <w:pPr>
              <w:pStyle w:val="TableBullet"/>
              <w:numPr>
                <w:ilvl w:val="0"/>
                <w:numId w:val="0"/>
              </w:numPr>
              <w:ind w:left="227" w:hanging="227"/>
            </w:pPr>
            <w:r>
              <w:rPr>
                <w:rFonts w:ascii="MS Gothic" w:eastAsia="MS Gothic" w:hAnsi="MS Gothic" w:cs="MS Gothic"/>
                <w:sz w:val="20"/>
              </w:rPr>
              <w:t>✓</w:t>
            </w:r>
          </w:p>
        </w:tc>
        <w:tc>
          <w:tcPr>
            <w:tcW w:w="550" w:type="pct"/>
          </w:tcPr>
          <w:p w14:paraId="68E0D1B8" w14:textId="3F3750EE" w:rsidR="00F10FCE" w:rsidRPr="00456498" w:rsidRDefault="00F10FCE" w:rsidP="00A0546D">
            <w:pPr>
              <w:pStyle w:val="TableText"/>
            </w:pPr>
            <w:r>
              <w:rPr>
                <w:rFonts w:ascii="MS Gothic" w:eastAsia="MS Gothic" w:hAnsi="MS Gothic" w:cs="MS Gothic"/>
                <w:sz w:val="20"/>
              </w:rPr>
              <w:t>✓</w:t>
            </w:r>
          </w:p>
        </w:tc>
        <w:tc>
          <w:tcPr>
            <w:tcW w:w="550" w:type="pct"/>
          </w:tcPr>
          <w:p w14:paraId="13DA5E55" w14:textId="3BD09F5D" w:rsidR="00F10FCE" w:rsidRPr="00456498" w:rsidRDefault="00F10FCE" w:rsidP="00A0546D">
            <w:pPr>
              <w:pStyle w:val="TableText"/>
            </w:pPr>
            <w:r>
              <w:rPr>
                <w:rFonts w:ascii="MS Gothic" w:eastAsia="MS Gothic" w:hAnsi="MS Gothic" w:cs="MS Gothic"/>
                <w:sz w:val="20"/>
              </w:rPr>
              <w:t>✓</w:t>
            </w:r>
          </w:p>
        </w:tc>
        <w:tc>
          <w:tcPr>
            <w:tcW w:w="550" w:type="pct"/>
          </w:tcPr>
          <w:p w14:paraId="4679E114" w14:textId="48E22CD7" w:rsidR="00F10FCE" w:rsidRPr="00456498" w:rsidRDefault="00F10FCE" w:rsidP="00A0546D">
            <w:pPr>
              <w:pStyle w:val="TableText"/>
            </w:pPr>
            <w:r>
              <w:rPr>
                <w:rFonts w:ascii="MS Gothic" w:eastAsia="MS Gothic" w:hAnsi="MS Gothic" w:cs="MS Gothic"/>
                <w:sz w:val="20"/>
              </w:rPr>
              <w:t>✓</w:t>
            </w:r>
          </w:p>
        </w:tc>
        <w:tc>
          <w:tcPr>
            <w:tcW w:w="550" w:type="pct"/>
          </w:tcPr>
          <w:p w14:paraId="2EEAD29E" w14:textId="4FA3E278" w:rsidR="00F10FCE" w:rsidRPr="00456498" w:rsidRDefault="00F10FCE" w:rsidP="00A0546D">
            <w:pPr>
              <w:pStyle w:val="TableText"/>
            </w:pPr>
            <w:r>
              <w:rPr>
                <w:rFonts w:ascii="MS Gothic" w:eastAsia="MS Gothic" w:hAnsi="MS Gothic" w:cs="MS Gothic"/>
                <w:sz w:val="20"/>
              </w:rPr>
              <w:t>✓</w:t>
            </w:r>
          </w:p>
        </w:tc>
        <w:tc>
          <w:tcPr>
            <w:tcW w:w="550" w:type="pct"/>
          </w:tcPr>
          <w:p w14:paraId="11247BC8" w14:textId="244A1D7F" w:rsidR="00F10FCE" w:rsidRPr="00456498" w:rsidRDefault="00F10FCE" w:rsidP="00A0546D">
            <w:pPr>
              <w:pStyle w:val="TableText"/>
            </w:pPr>
            <w:r>
              <w:rPr>
                <w:rFonts w:ascii="MS Gothic" w:eastAsia="MS Gothic" w:hAnsi="MS Gothic" w:cs="MS Gothic"/>
                <w:sz w:val="20"/>
              </w:rPr>
              <w:t>✓</w:t>
            </w:r>
          </w:p>
        </w:tc>
      </w:tr>
      <w:tr w:rsidR="00F10FCE" w:rsidRPr="00456498" w14:paraId="5FF583E9" w14:textId="35145475" w:rsidTr="00C71DEF">
        <w:tc>
          <w:tcPr>
            <w:tcW w:w="598" w:type="pct"/>
          </w:tcPr>
          <w:p w14:paraId="2A19CF80" w14:textId="7F284BDB" w:rsidR="00F10FCE" w:rsidRPr="00456498" w:rsidRDefault="00F10FCE" w:rsidP="00A0546D">
            <w:pPr>
              <w:pStyle w:val="TableText"/>
            </w:pPr>
            <w:r>
              <w:t>Drop off to transfer station</w:t>
            </w:r>
            <w:r w:rsidRPr="00456498">
              <w:t xml:space="preserve"> </w:t>
            </w:r>
          </w:p>
        </w:tc>
        <w:tc>
          <w:tcPr>
            <w:tcW w:w="551" w:type="pct"/>
          </w:tcPr>
          <w:p w14:paraId="3004CFE6" w14:textId="1A6AF06A" w:rsidR="00F10FCE" w:rsidRPr="00456498" w:rsidRDefault="00F10FCE" w:rsidP="00F10FCE">
            <w:pPr>
              <w:pStyle w:val="TableBullet"/>
              <w:numPr>
                <w:ilvl w:val="0"/>
                <w:numId w:val="0"/>
              </w:numPr>
              <w:ind w:left="227" w:hanging="227"/>
            </w:pPr>
            <w:r>
              <w:rPr>
                <w:rFonts w:ascii="MS Gothic" w:eastAsia="MS Gothic" w:hAnsi="MS Gothic" w:cs="MS Gothic"/>
                <w:sz w:val="20"/>
              </w:rPr>
              <w:t>✓</w:t>
            </w:r>
          </w:p>
        </w:tc>
        <w:tc>
          <w:tcPr>
            <w:tcW w:w="551" w:type="pct"/>
          </w:tcPr>
          <w:p w14:paraId="302CA6C8" w14:textId="2BAEDF94" w:rsidR="00F10FCE" w:rsidRPr="00456498" w:rsidRDefault="00F10FCE" w:rsidP="00F10FCE">
            <w:pPr>
              <w:pStyle w:val="TableBullet"/>
              <w:numPr>
                <w:ilvl w:val="0"/>
                <w:numId w:val="0"/>
              </w:numPr>
            </w:pPr>
            <w:r>
              <w:rPr>
                <w:rFonts w:ascii="MS Gothic" w:eastAsia="MS Gothic" w:hAnsi="MS Gothic" w:cs="MS Gothic"/>
                <w:sz w:val="20"/>
              </w:rPr>
              <w:t>✓</w:t>
            </w:r>
          </w:p>
        </w:tc>
        <w:tc>
          <w:tcPr>
            <w:tcW w:w="550" w:type="pct"/>
          </w:tcPr>
          <w:p w14:paraId="3B3A2097" w14:textId="4CA0163D" w:rsidR="00F10FCE" w:rsidRPr="00456498" w:rsidRDefault="00F10FCE" w:rsidP="00F10FCE">
            <w:pPr>
              <w:pStyle w:val="TableBullet"/>
              <w:numPr>
                <w:ilvl w:val="0"/>
                <w:numId w:val="0"/>
              </w:numPr>
            </w:pPr>
            <w:r>
              <w:rPr>
                <w:rFonts w:ascii="MS Gothic" w:eastAsia="MS Gothic" w:hAnsi="MS Gothic" w:cs="MS Gothic"/>
                <w:sz w:val="20"/>
              </w:rPr>
              <w:t>✓</w:t>
            </w:r>
          </w:p>
        </w:tc>
        <w:tc>
          <w:tcPr>
            <w:tcW w:w="550" w:type="pct"/>
          </w:tcPr>
          <w:p w14:paraId="40011872" w14:textId="7CBA2D44" w:rsidR="00F10FCE" w:rsidRPr="00456498" w:rsidRDefault="00F10FCE" w:rsidP="00A0546D">
            <w:pPr>
              <w:pStyle w:val="TableText"/>
            </w:pPr>
            <w:r>
              <w:rPr>
                <w:rFonts w:ascii="MS Gothic" w:eastAsia="MS Gothic" w:hAnsi="MS Gothic" w:cs="MS Gothic"/>
                <w:sz w:val="20"/>
              </w:rPr>
              <w:t>✓</w:t>
            </w:r>
          </w:p>
        </w:tc>
        <w:tc>
          <w:tcPr>
            <w:tcW w:w="550" w:type="pct"/>
          </w:tcPr>
          <w:p w14:paraId="0513B438" w14:textId="5D7A9F85" w:rsidR="00F10FCE" w:rsidRPr="00456498" w:rsidRDefault="00F10FCE" w:rsidP="00A0546D">
            <w:pPr>
              <w:pStyle w:val="TableText"/>
            </w:pPr>
            <w:r>
              <w:rPr>
                <w:rFonts w:ascii="MS Gothic" w:eastAsia="MS Gothic" w:hAnsi="MS Gothic" w:cs="MS Gothic"/>
                <w:sz w:val="20"/>
              </w:rPr>
              <w:t>✓</w:t>
            </w:r>
          </w:p>
        </w:tc>
        <w:tc>
          <w:tcPr>
            <w:tcW w:w="550" w:type="pct"/>
          </w:tcPr>
          <w:p w14:paraId="7983FF3A" w14:textId="02A7C212" w:rsidR="00F10FCE" w:rsidRPr="00456498" w:rsidRDefault="00F10FCE" w:rsidP="00A0546D">
            <w:pPr>
              <w:pStyle w:val="TableText"/>
            </w:pPr>
            <w:r>
              <w:rPr>
                <w:rFonts w:ascii="MS Gothic" w:eastAsia="MS Gothic" w:hAnsi="MS Gothic" w:cs="MS Gothic"/>
                <w:sz w:val="20"/>
              </w:rPr>
              <w:t>✓</w:t>
            </w:r>
          </w:p>
        </w:tc>
        <w:tc>
          <w:tcPr>
            <w:tcW w:w="550" w:type="pct"/>
          </w:tcPr>
          <w:p w14:paraId="403BF778" w14:textId="6D3732AC" w:rsidR="00F10FCE" w:rsidRPr="00456498" w:rsidRDefault="00F10FCE" w:rsidP="00A0546D">
            <w:pPr>
              <w:pStyle w:val="TableText"/>
            </w:pPr>
            <w:r>
              <w:rPr>
                <w:rFonts w:ascii="MS Gothic" w:eastAsia="MS Gothic" w:hAnsi="MS Gothic" w:cs="MS Gothic"/>
                <w:sz w:val="20"/>
              </w:rPr>
              <w:t>✓</w:t>
            </w:r>
          </w:p>
        </w:tc>
        <w:tc>
          <w:tcPr>
            <w:tcW w:w="550" w:type="pct"/>
          </w:tcPr>
          <w:p w14:paraId="797F6E28" w14:textId="227B4DCA" w:rsidR="00F10FCE" w:rsidRPr="00456498" w:rsidRDefault="00F10FCE" w:rsidP="00A0546D">
            <w:pPr>
              <w:pStyle w:val="TableText"/>
            </w:pPr>
            <w:r>
              <w:t>NA</w:t>
            </w:r>
          </w:p>
        </w:tc>
      </w:tr>
      <w:tr w:rsidR="00F10FCE" w:rsidRPr="00C71DEF" w14:paraId="006E0852" w14:textId="537B6633" w:rsidTr="00C71DEF">
        <w:trPr>
          <w:cnfStyle w:val="010000000000" w:firstRow="0" w:lastRow="1" w:firstColumn="0" w:lastColumn="0" w:oddVBand="0" w:evenVBand="0" w:oddHBand="0" w:evenHBand="0" w:firstRowFirstColumn="0" w:firstRowLastColumn="0" w:lastRowFirstColumn="0" w:lastRowLastColumn="0"/>
        </w:trPr>
        <w:tc>
          <w:tcPr>
            <w:tcW w:w="598" w:type="pct"/>
            <w:shd w:val="clear" w:color="auto" w:fill="auto"/>
          </w:tcPr>
          <w:p w14:paraId="68D26AFE" w14:textId="73806F3F" w:rsidR="00F10FCE" w:rsidRPr="00C71DEF" w:rsidRDefault="00F10FCE" w:rsidP="00A0546D">
            <w:pPr>
              <w:pStyle w:val="TableText"/>
              <w:rPr>
                <w:b w:val="0"/>
              </w:rPr>
            </w:pPr>
            <w:r w:rsidRPr="00C71DEF">
              <w:rPr>
                <w:b w:val="0"/>
              </w:rPr>
              <w:t xml:space="preserve">Delivery to MRF or landfill </w:t>
            </w:r>
          </w:p>
        </w:tc>
        <w:tc>
          <w:tcPr>
            <w:tcW w:w="551" w:type="pct"/>
            <w:shd w:val="clear" w:color="auto" w:fill="auto"/>
          </w:tcPr>
          <w:p w14:paraId="337BA1E6" w14:textId="4756EA2F" w:rsidR="00F10FCE" w:rsidRPr="00C71DEF" w:rsidRDefault="00F10FCE" w:rsidP="00A0546D">
            <w:pPr>
              <w:pStyle w:val="TableText"/>
              <w:rPr>
                <w:b w:val="0"/>
              </w:rPr>
            </w:pPr>
            <w:r w:rsidRPr="00C71DEF">
              <w:rPr>
                <w:rFonts w:ascii="MS Gothic" w:eastAsia="MS Gothic" w:hAnsi="MS Gothic" w:cs="MS Gothic"/>
                <w:b w:val="0"/>
                <w:sz w:val="20"/>
              </w:rPr>
              <w:t>✓</w:t>
            </w:r>
          </w:p>
        </w:tc>
        <w:tc>
          <w:tcPr>
            <w:tcW w:w="551" w:type="pct"/>
            <w:shd w:val="clear" w:color="auto" w:fill="auto"/>
          </w:tcPr>
          <w:p w14:paraId="75E1578D" w14:textId="028C9F32" w:rsidR="00F10FCE" w:rsidRPr="00C71DEF" w:rsidRDefault="00F10FCE" w:rsidP="00A0546D">
            <w:pPr>
              <w:pStyle w:val="TableText"/>
              <w:rPr>
                <w:b w:val="0"/>
              </w:rPr>
            </w:pPr>
            <w:r w:rsidRPr="00C71DEF">
              <w:rPr>
                <w:rFonts w:ascii="MS Gothic" w:eastAsia="MS Gothic" w:hAnsi="MS Gothic" w:cs="MS Gothic"/>
                <w:b w:val="0"/>
                <w:sz w:val="20"/>
              </w:rPr>
              <w:t>✓</w:t>
            </w:r>
          </w:p>
        </w:tc>
        <w:tc>
          <w:tcPr>
            <w:tcW w:w="550" w:type="pct"/>
            <w:shd w:val="clear" w:color="auto" w:fill="auto"/>
          </w:tcPr>
          <w:p w14:paraId="6B5F7AF2" w14:textId="406A37CA" w:rsidR="00F10FCE" w:rsidRPr="00C71DEF" w:rsidRDefault="00F10FCE" w:rsidP="00A0546D">
            <w:pPr>
              <w:pStyle w:val="TableText"/>
              <w:rPr>
                <w:b w:val="0"/>
              </w:rPr>
            </w:pPr>
            <w:r w:rsidRPr="00C71DEF">
              <w:rPr>
                <w:b w:val="0"/>
              </w:rPr>
              <w:t>NA</w:t>
            </w:r>
          </w:p>
        </w:tc>
        <w:tc>
          <w:tcPr>
            <w:tcW w:w="550" w:type="pct"/>
            <w:shd w:val="clear" w:color="auto" w:fill="auto"/>
          </w:tcPr>
          <w:p w14:paraId="48FC8C9A" w14:textId="4CFB3B4E" w:rsidR="00F10FCE" w:rsidRPr="00C71DEF" w:rsidRDefault="00F10FCE" w:rsidP="00A0546D">
            <w:pPr>
              <w:pStyle w:val="TableText"/>
              <w:rPr>
                <w:b w:val="0"/>
              </w:rPr>
            </w:pPr>
            <w:r w:rsidRPr="00C71DEF">
              <w:rPr>
                <w:b w:val="0"/>
              </w:rPr>
              <w:t>NA</w:t>
            </w:r>
          </w:p>
        </w:tc>
        <w:tc>
          <w:tcPr>
            <w:tcW w:w="550" w:type="pct"/>
            <w:shd w:val="clear" w:color="auto" w:fill="auto"/>
          </w:tcPr>
          <w:p w14:paraId="1BAABEFF" w14:textId="0A45D4F5" w:rsidR="00F10FCE" w:rsidRPr="00C71DEF" w:rsidRDefault="00F10FCE" w:rsidP="00A0546D">
            <w:pPr>
              <w:pStyle w:val="TableText"/>
              <w:rPr>
                <w:b w:val="0"/>
              </w:rPr>
            </w:pPr>
            <w:r w:rsidRPr="00C71DEF">
              <w:rPr>
                <w:b w:val="0"/>
              </w:rPr>
              <w:t>NA</w:t>
            </w:r>
          </w:p>
        </w:tc>
        <w:tc>
          <w:tcPr>
            <w:tcW w:w="550" w:type="pct"/>
            <w:shd w:val="clear" w:color="auto" w:fill="auto"/>
          </w:tcPr>
          <w:p w14:paraId="47BD2C3F" w14:textId="4DE5A666" w:rsidR="00F10FCE" w:rsidRPr="00C71DEF" w:rsidRDefault="00F10FCE" w:rsidP="00A0546D">
            <w:pPr>
              <w:pStyle w:val="TableText"/>
              <w:rPr>
                <w:b w:val="0"/>
              </w:rPr>
            </w:pPr>
            <w:r w:rsidRPr="00C71DEF">
              <w:rPr>
                <w:rFonts w:ascii="MS Gothic" w:eastAsia="MS Gothic" w:hAnsi="MS Gothic" w:cs="MS Gothic"/>
                <w:b w:val="0"/>
                <w:sz w:val="20"/>
              </w:rPr>
              <w:t>✓</w:t>
            </w:r>
          </w:p>
        </w:tc>
        <w:tc>
          <w:tcPr>
            <w:tcW w:w="550" w:type="pct"/>
            <w:shd w:val="clear" w:color="auto" w:fill="auto"/>
          </w:tcPr>
          <w:p w14:paraId="04B282BC" w14:textId="5A80ABB8" w:rsidR="00F10FCE" w:rsidRPr="00C71DEF" w:rsidRDefault="00F10FCE" w:rsidP="00A0546D">
            <w:pPr>
              <w:pStyle w:val="TableText"/>
              <w:rPr>
                <w:b w:val="0"/>
              </w:rPr>
            </w:pPr>
            <w:r w:rsidRPr="00C71DEF">
              <w:rPr>
                <w:rFonts w:ascii="MS Gothic" w:eastAsia="MS Gothic" w:hAnsi="MS Gothic" w:cs="MS Gothic"/>
                <w:b w:val="0"/>
                <w:sz w:val="20"/>
              </w:rPr>
              <w:t>✓</w:t>
            </w:r>
          </w:p>
        </w:tc>
        <w:tc>
          <w:tcPr>
            <w:tcW w:w="550" w:type="pct"/>
            <w:shd w:val="clear" w:color="auto" w:fill="auto"/>
          </w:tcPr>
          <w:p w14:paraId="4DD2E45F" w14:textId="59B93ED4" w:rsidR="00F10FCE" w:rsidRPr="00C71DEF" w:rsidRDefault="00F10FCE" w:rsidP="00A0546D">
            <w:pPr>
              <w:pStyle w:val="TableText"/>
              <w:rPr>
                <w:b w:val="0"/>
              </w:rPr>
            </w:pPr>
            <w:r w:rsidRPr="00C71DEF">
              <w:rPr>
                <w:rFonts w:ascii="MS Gothic" w:eastAsia="MS Gothic" w:hAnsi="MS Gothic" w:cs="MS Gothic"/>
                <w:b w:val="0"/>
                <w:sz w:val="20"/>
              </w:rPr>
              <w:t>✓</w:t>
            </w:r>
          </w:p>
        </w:tc>
      </w:tr>
    </w:tbl>
    <w:p w14:paraId="56E1A6EE" w14:textId="216EEA2B" w:rsidR="00F10FCE" w:rsidRDefault="00F10FCE" w:rsidP="00B4556D">
      <w:pPr>
        <w:ind w:left="9" w:right="14"/>
      </w:pPr>
    </w:p>
    <w:p w14:paraId="34FD8595" w14:textId="4D6877DC" w:rsidR="00F10FCE" w:rsidRPr="00026206" w:rsidRDefault="00026206" w:rsidP="00026206">
      <w:pPr>
        <w:pStyle w:val="TableCaptionWide"/>
        <w:rPr>
          <w:b/>
        </w:rPr>
      </w:pPr>
      <w:r w:rsidRPr="00026206">
        <w:rPr>
          <w:b/>
        </w:rPr>
        <w:t>TABLE 3</w:t>
      </w:r>
      <w:r w:rsidR="00F10FCE" w:rsidRPr="00026206">
        <w:rPr>
          <w:b/>
        </w:rPr>
        <w:t>: Boundary summary of separated materials for transport inclusions</w:t>
      </w:r>
    </w:p>
    <w:tbl>
      <w:tblPr>
        <w:tblStyle w:val="SVTable"/>
        <w:tblW w:w="6300" w:type="pct"/>
        <w:tblInd w:w="-1984" w:type="dxa"/>
        <w:tblLook w:val="04E0" w:firstRow="1" w:lastRow="1" w:firstColumn="1" w:lastColumn="0" w:noHBand="0" w:noVBand="1"/>
      </w:tblPr>
      <w:tblGrid>
        <w:gridCol w:w="1126"/>
        <w:gridCol w:w="957"/>
        <w:gridCol w:w="957"/>
        <w:gridCol w:w="957"/>
        <w:gridCol w:w="957"/>
        <w:gridCol w:w="1010"/>
        <w:gridCol w:w="957"/>
        <w:gridCol w:w="957"/>
        <w:gridCol w:w="957"/>
        <w:gridCol w:w="951"/>
      </w:tblGrid>
      <w:tr w:rsidR="00F10FCE" w:rsidRPr="00456498" w14:paraId="4DAC4196" w14:textId="39E33F4D" w:rsidTr="006D35CF">
        <w:trPr>
          <w:cnfStyle w:val="100000000000" w:firstRow="1" w:lastRow="0" w:firstColumn="0" w:lastColumn="0" w:oddVBand="0" w:evenVBand="0" w:oddHBand="0" w:evenHBand="0" w:firstRowFirstColumn="0" w:firstRowLastColumn="0" w:lastRowFirstColumn="0" w:lastRowLastColumn="0"/>
        </w:trPr>
        <w:tc>
          <w:tcPr>
            <w:tcW w:w="575" w:type="pct"/>
          </w:tcPr>
          <w:p w14:paraId="23EFE56E" w14:textId="317EB8BB" w:rsidR="00F10FCE" w:rsidRPr="006D35CF" w:rsidRDefault="00F10FCE" w:rsidP="00A0546D">
            <w:pPr>
              <w:pStyle w:val="TableHeading"/>
              <w:rPr>
                <w:b/>
              </w:rPr>
            </w:pPr>
            <w:r w:rsidRPr="006D35CF">
              <w:rPr>
                <w:b/>
              </w:rPr>
              <w:t>Separated material recycling</w:t>
            </w:r>
          </w:p>
        </w:tc>
        <w:tc>
          <w:tcPr>
            <w:tcW w:w="489" w:type="pct"/>
          </w:tcPr>
          <w:p w14:paraId="45417976" w14:textId="747A9C3E" w:rsidR="00F10FCE" w:rsidRPr="00456498" w:rsidRDefault="00F10FCE" w:rsidP="00A0546D">
            <w:pPr>
              <w:pStyle w:val="TableHeading"/>
            </w:pPr>
            <w:r>
              <w:t>Paper</w:t>
            </w:r>
          </w:p>
        </w:tc>
        <w:tc>
          <w:tcPr>
            <w:tcW w:w="489" w:type="pct"/>
          </w:tcPr>
          <w:p w14:paraId="7BDD8F29" w14:textId="114F2B7D" w:rsidR="00F10FCE" w:rsidRPr="00456498" w:rsidRDefault="00F10FCE" w:rsidP="00A0546D">
            <w:pPr>
              <w:pStyle w:val="TableHeading"/>
            </w:pPr>
            <w:r>
              <w:t>Glass</w:t>
            </w:r>
          </w:p>
        </w:tc>
        <w:tc>
          <w:tcPr>
            <w:tcW w:w="489" w:type="pct"/>
          </w:tcPr>
          <w:p w14:paraId="7DCA1C4A" w14:textId="3D0548B2" w:rsidR="00F10FCE" w:rsidRPr="00456498" w:rsidRDefault="00F10FCE" w:rsidP="00A0546D">
            <w:pPr>
              <w:pStyle w:val="TableHeading"/>
            </w:pPr>
            <w:r>
              <w:t>Plastic</w:t>
            </w:r>
          </w:p>
        </w:tc>
        <w:tc>
          <w:tcPr>
            <w:tcW w:w="489" w:type="pct"/>
          </w:tcPr>
          <w:p w14:paraId="4EB24E8C" w14:textId="495568C9" w:rsidR="00F10FCE" w:rsidRDefault="00F10FCE" w:rsidP="00A0546D">
            <w:pPr>
              <w:pStyle w:val="TableHeading"/>
            </w:pPr>
            <w:r>
              <w:t>Steel</w:t>
            </w:r>
          </w:p>
        </w:tc>
        <w:tc>
          <w:tcPr>
            <w:tcW w:w="516" w:type="pct"/>
          </w:tcPr>
          <w:p w14:paraId="5B69FFAE" w14:textId="4AFBC141" w:rsidR="00F10FCE" w:rsidRDefault="00F10FCE" w:rsidP="00A0546D">
            <w:pPr>
              <w:pStyle w:val="TableHeading"/>
            </w:pPr>
            <w:r>
              <w:t>Aluminium</w:t>
            </w:r>
          </w:p>
        </w:tc>
        <w:tc>
          <w:tcPr>
            <w:tcW w:w="489" w:type="pct"/>
          </w:tcPr>
          <w:p w14:paraId="17301C8B" w14:textId="3BDAF8B1" w:rsidR="00F10FCE" w:rsidRDefault="006D35CF" w:rsidP="00A0546D">
            <w:pPr>
              <w:pStyle w:val="TableHeading"/>
            </w:pPr>
            <w:r>
              <w:t>Rubber / tyres</w:t>
            </w:r>
          </w:p>
        </w:tc>
        <w:tc>
          <w:tcPr>
            <w:tcW w:w="489" w:type="pct"/>
          </w:tcPr>
          <w:p w14:paraId="4F5C160E" w14:textId="77E62840" w:rsidR="00F10FCE" w:rsidRDefault="006D35CF" w:rsidP="00A0546D">
            <w:pPr>
              <w:pStyle w:val="TableHeading"/>
            </w:pPr>
            <w:r w:rsidRPr="006B6977">
              <w:t>C&amp;D</w:t>
            </w:r>
          </w:p>
        </w:tc>
        <w:tc>
          <w:tcPr>
            <w:tcW w:w="489" w:type="pct"/>
          </w:tcPr>
          <w:p w14:paraId="21D1E14C" w14:textId="30ABBFE2" w:rsidR="00F10FCE" w:rsidRDefault="006D35CF" w:rsidP="00A0546D">
            <w:pPr>
              <w:pStyle w:val="TableHeading"/>
            </w:pPr>
            <w:r>
              <w:t>Organics</w:t>
            </w:r>
          </w:p>
        </w:tc>
        <w:tc>
          <w:tcPr>
            <w:tcW w:w="486" w:type="pct"/>
          </w:tcPr>
          <w:p w14:paraId="5E004C81" w14:textId="7658F113" w:rsidR="00F10FCE" w:rsidRDefault="006D35CF" w:rsidP="00A0546D">
            <w:pPr>
              <w:pStyle w:val="TableHeading"/>
            </w:pPr>
            <w:r>
              <w:t>Textiles</w:t>
            </w:r>
          </w:p>
        </w:tc>
      </w:tr>
      <w:tr w:rsidR="006D35CF" w:rsidRPr="00456498" w14:paraId="54B1D59C" w14:textId="4C83E168" w:rsidTr="006D35CF">
        <w:tc>
          <w:tcPr>
            <w:tcW w:w="575" w:type="pct"/>
          </w:tcPr>
          <w:p w14:paraId="645CF753" w14:textId="42138209" w:rsidR="006D35CF" w:rsidRPr="00456498" w:rsidRDefault="006D35CF" w:rsidP="006D35CF">
            <w:pPr>
              <w:pStyle w:val="TableText"/>
            </w:pPr>
            <w:r>
              <w:t>Subsequent delivery to processor or exporter</w:t>
            </w:r>
          </w:p>
        </w:tc>
        <w:tc>
          <w:tcPr>
            <w:tcW w:w="489" w:type="pct"/>
          </w:tcPr>
          <w:p w14:paraId="5D891134" w14:textId="457070E4" w:rsidR="006D35CF" w:rsidRPr="00456498" w:rsidRDefault="006D35CF" w:rsidP="006D35CF">
            <w:pPr>
              <w:pStyle w:val="TableBullet"/>
              <w:numPr>
                <w:ilvl w:val="0"/>
                <w:numId w:val="0"/>
              </w:numPr>
              <w:ind w:left="227" w:hanging="227"/>
            </w:pPr>
            <w:r>
              <w:rPr>
                <w:rFonts w:ascii="MS Gothic" w:eastAsia="MS Gothic" w:hAnsi="MS Gothic" w:cs="MS Gothic"/>
                <w:sz w:val="20"/>
              </w:rPr>
              <w:t>✓</w:t>
            </w:r>
          </w:p>
        </w:tc>
        <w:tc>
          <w:tcPr>
            <w:tcW w:w="489" w:type="pct"/>
          </w:tcPr>
          <w:p w14:paraId="6E65E0DD" w14:textId="64559539" w:rsidR="006D35CF" w:rsidRPr="00456498" w:rsidRDefault="006D35CF" w:rsidP="006D35CF">
            <w:pPr>
              <w:pStyle w:val="TableText"/>
            </w:pPr>
            <w:r>
              <w:rPr>
                <w:rFonts w:ascii="MS Gothic" w:eastAsia="MS Gothic" w:hAnsi="MS Gothic" w:cs="MS Gothic"/>
                <w:sz w:val="20"/>
              </w:rPr>
              <w:t>✓</w:t>
            </w:r>
          </w:p>
        </w:tc>
        <w:tc>
          <w:tcPr>
            <w:tcW w:w="489" w:type="pct"/>
          </w:tcPr>
          <w:p w14:paraId="55706A7B" w14:textId="424A894B" w:rsidR="006D35CF" w:rsidRPr="00456498" w:rsidRDefault="006D35CF" w:rsidP="006D35CF">
            <w:pPr>
              <w:pStyle w:val="TableText"/>
            </w:pPr>
            <w:r>
              <w:rPr>
                <w:rFonts w:ascii="MS Gothic" w:eastAsia="MS Gothic" w:hAnsi="MS Gothic" w:cs="MS Gothic"/>
                <w:sz w:val="20"/>
              </w:rPr>
              <w:t>✓</w:t>
            </w:r>
          </w:p>
        </w:tc>
        <w:tc>
          <w:tcPr>
            <w:tcW w:w="489" w:type="pct"/>
          </w:tcPr>
          <w:p w14:paraId="1DCC2C31" w14:textId="4081D711" w:rsidR="006D35CF" w:rsidRPr="00456498" w:rsidRDefault="006D35CF" w:rsidP="006D35CF">
            <w:pPr>
              <w:pStyle w:val="TableText"/>
            </w:pPr>
            <w:r>
              <w:rPr>
                <w:rFonts w:ascii="MS Gothic" w:eastAsia="MS Gothic" w:hAnsi="MS Gothic" w:cs="MS Gothic"/>
                <w:sz w:val="20"/>
              </w:rPr>
              <w:t>✓</w:t>
            </w:r>
          </w:p>
        </w:tc>
        <w:tc>
          <w:tcPr>
            <w:tcW w:w="516" w:type="pct"/>
          </w:tcPr>
          <w:p w14:paraId="09D6FDA3" w14:textId="50247254" w:rsidR="006D35CF" w:rsidRPr="00456498" w:rsidRDefault="006D35CF" w:rsidP="006D35CF">
            <w:pPr>
              <w:pStyle w:val="TableText"/>
            </w:pPr>
            <w:r>
              <w:rPr>
                <w:rFonts w:ascii="MS Gothic" w:eastAsia="MS Gothic" w:hAnsi="MS Gothic" w:cs="MS Gothic"/>
                <w:sz w:val="20"/>
              </w:rPr>
              <w:t>✓</w:t>
            </w:r>
          </w:p>
        </w:tc>
        <w:tc>
          <w:tcPr>
            <w:tcW w:w="489" w:type="pct"/>
          </w:tcPr>
          <w:p w14:paraId="0F1E1AA6" w14:textId="2142E17A" w:rsidR="006D35CF" w:rsidRPr="00456498" w:rsidRDefault="006D35CF" w:rsidP="006D35CF">
            <w:pPr>
              <w:pStyle w:val="TableText"/>
            </w:pPr>
            <w:r>
              <w:rPr>
                <w:rFonts w:ascii="MS Gothic" w:eastAsia="MS Gothic" w:hAnsi="MS Gothic" w:cs="MS Gothic"/>
                <w:sz w:val="20"/>
              </w:rPr>
              <w:t>✓</w:t>
            </w:r>
          </w:p>
        </w:tc>
        <w:tc>
          <w:tcPr>
            <w:tcW w:w="489" w:type="pct"/>
          </w:tcPr>
          <w:p w14:paraId="5D3DC3F5" w14:textId="1DD0BA72" w:rsidR="006D35CF" w:rsidRPr="00456498" w:rsidRDefault="006D35CF" w:rsidP="006D35CF">
            <w:pPr>
              <w:pStyle w:val="TableText"/>
            </w:pPr>
            <w:r>
              <w:rPr>
                <w:rFonts w:ascii="MS Gothic" w:eastAsia="MS Gothic" w:hAnsi="MS Gothic" w:cs="MS Gothic"/>
                <w:sz w:val="20"/>
              </w:rPr>
              <w:t>✓</w:t>
            </w:r>
          </w:p>
        </w:tc>
        <w:tc>
          <w:tcPr>
            <w:tcW w:w="489" w:type="pct"/>
          </w:tcPr>
          <w:p w14:paraId="66A27BD8" w14:textId="6B8D78EF" w:rsidR="006D35CF" w:rsidRPr="00456498" w:rsidRDefault="006D35CF" w:rsidP="006D35CF">
            <w:pPr>
              <w:pStyle w:val="TableText"/>
            </w:pPr>
            <w:r>
              <w:rPr>
                <w:rFonts w:ascii="MS Gothic" w:eastAsia="MS Gothic" w:hAnsi="MS Gothic" w:cs="MS Gothic"/>
                <w:sz w:val="20"/>
              </w:rPr>
              <w:t>✓</w:t>
            </w:r>
          </w:p>
        </w:tc>
        <w:tc>
          <w:tcPr>
            <w:tcW w:w="486" w:type="pct"/>
          </w:tcPr>
          <w:p w14:paraId="7A6B25E0" w14:textId="6E97A040" w:rsidR="006D35CF" w:rsidRPr="00456498" w:rsidRDefault="006D35CF" w:rsidP="006D35CF">
            <w:pPr>
              <w:pStyle w:val="TableText"/>
            </w:pPr>
            <w:r>
              <w:rPr>
                <w:rFonts w:ascii="MS Gothic" w:eastAsia="MS Gothic" w:hAnsi="MS Gothic" w:cs="MS Gothic"/>
                <w:sz w:val="20"/>
              </w:rPr>
              <w:t>✓</w:t>
            </w:r>
          </w:p>
        </w:tc>
      </w:tr>
      <w:tr w:rsidR="006D35CF" w:rsidRPr="00456498" w14:paraId="5EE18936" w14:textId="7B98ED12" w:rsidTr="00A0546D">
        <w:tc>
          <w:tcPr>
            <w:tcW w:w="575" w:type="pct"/>
          </w:tcPr>
          <w:p w14:paraId="455CB536" w14:textId="638033C5" w:rsidR="006D35CF" w:rsidRPr="00456498" w:rsidRDefault="006D35CF" w:rsidP="006D35CF">
            <w:pPr>
              <w:pStyle w:val="TableText"/>
            </w:pPr>
            <w:r>
              <w:t>Delivery to foreign port/ processor</w:t>
            </w:r>
          </w:p>
        </w:tc>
        <w:tc>
          <w:tcPr>
            <w:tcW w:w="489" w:type="pct"/>
            <w:tcBorders>
              <w:top w:val="single" w:sz="2" w:space="0" w:color="A7A9AB"/>
              <w:left w:val="nil"/>
              <w:bottom w:val="single" w:sz="2" w:space="0" w:color="A7A9AB"/>
              <w:right w:val="nil"/>
            </w:tcBorders>
            <w:vAlign w:val="center"/>
          </w:tcPr>
          <w:p w14:paraId="10A0B5E8" w14:textId="1E470B33" w:rsidR="006D35CF" w:rsidRPr="00456498" w:rsidRDefault="006D35CF" w:rsidP="006D35CF">
            <w:pPr>
              <w:pStyle w:val="TableBullet"/>
              <w:numPr>
                <w:ilvl w:val="0"/>
                <w:numId w:val="0"/>
              </w:numPr>
              <w:ind w:left="227" w:hanging="227"/>
            </w:pPr>
            <w:r>
              <w:t xml:space="preserve">S1&amp;2 NA S3 </w:t>
            </w:r>
            <w:r>
              <w:rPr>
                <w:rFonts w:ascii="MS Gothic" w:eastAsia="MS Gothic" w:hAnsi="MS Gothic" w:cs="MS Gothic"/>
                <w:sz w:val="20"/>
              </w:rPr>
              <w:t>✓</w:t>
            </w:r>
          </w:p>
        </w:tc>
        <w:tc>
          <w:tcPr>
            <w:tcW w:w="489" w:type="pct"/>
            <w:tcBorders>
              <w:top w:val="single" w:sz="2" w:space="0" w:color="A7A9AB"/>
              <w:left w:val="nil"/>
              <w:bottom w:val="single" w:sz="2" w:space="0" w:color="A7A9AB"/>
              <w:right w:val="nil"/>
            </w:tcBorders>
            <w:vAlign w:val="center"/>
          </w:tcPr>
          <w:p w14:paraId="006F3E3B" w14:textId="26855FB2" w:rsidR="006D35CF" w:rsidRPr="00456498" w:rsidRDefault="006D35CF" w:rsidP="006D35CF">
            <w:pPr>
              <w:pStyle w:val="TableText"/>
            </w:pPr>
            <w:r>
              <w:t xml:space="preserve">S1&amp;2 NA S3 </w:t>
            </w:r>
            <w:r>
              <w:rPr>
                <w:rFonts w:ascii="MS Gothic" w:eastAsia="MS Gothic" w:hAnsi="MS Gothic" w:cs="MS Gothic"/>
                <w:sz w:val="20"/>
              </w:rPr>
              <w:t>✓</w:t>
            </w:r>
          </w:p>
        </w:tc>
        <w:tc>
          <w:tcPr>
            <w:tcW w:w="489" w:type="pct"/>
            <w:tcBorders>
              <w:top w:val="single" w:sz="2" w:space="0" w:color="A7A9AB"/>
              <w:left w:val="nil"/>
              <w:bottom w:val="single" w:sz="2" w:space="0" w:color="A7A9AB"/>
              <w:right w:val="nil"/>
            </w:tcBorders>
            <w:vAlign w:val="center"/>
          </w:tcPr>
          <w:p w14:paraId="46B312B5" w14:textId="65B50408" w:rsidR="006D35CF" w:rsidRPr="00456498" w:rsidRDefault="006D35CF" w:rsidP="006D35CF">
            <w:pPr>
              <w:pStyle w:val="TableText"/>
            </w:pPr>
            <w:r>
              <w:t xml:space="preserve">S1&amp;2 NA S3 </w:t>
            </w:r>
            <w:r>
              <w:rPr>
                <w:rFonts w:ascii="MS Gothic" w:eastAsia="MS Gothic" w:hAnsi="MS Gothic" w:cs="MS Gothic"/>
                <w:sz w:val="20"/>
              </w:rPr>
              <w:t>✓</w:t>
            </w:r>
          </w:p>
        </w:tc>
        <w:tc>
          <w:tcPr>
            <w:tcW w:w="489" w:type="pct"/>
            <w:tcBorders>
              <w:top w:val="single" w:sz="2" w:space="0" w:color="A7A9AB"/>
              <w:left w:val="nil"/>
              <w:bottom w:val="single" w:sz="2" w:space="0" w:color="A7A9AB"/>
              <w:right w:val="nil"/>
            </w:tcBorders>
            <w:vAlign w:val="center"/>
          </w:tcPr>
          <w:p w14:paraId="609B22A9" w14:textId="6C6894F9" w:rsidR="006D35CF" w:rsidRPr="00456498" w:rsidRDefault="006D35CF" w:rsidP="006D35CF">
            <w:pPr>
              <w:pStyle w:val="TableText"/>
            </w:pPr>
            <w:r>
              <w:t xml:space="preserve">S1&amp;2 NA S3 </w:t>
            </w:r>
            <w:r>
              <w:rPr>
                <w:rFonts w:ascii="MS Gothic" w:eastAsia="MS Gothic" w:hAnsi="MS Gothic" w:cs="MS Gothic"/>
                <w:sz w:val="20"/>
              </w:rPr>
              <w:t>✓</w:t>
            </w:r>
          </w:p>
        </w:tc>
        <w:tc>
          <w:tcPr>
            <w:tcW w:w="516" w:type="pct"/>
            <w:tcBorders>
              <w:top w:val="single" w:sz="2" w:space="0" w:color="A7A9AB"/>
              <w:left w:val="nil"/>
              <w:bottom w:val="single" w:sz="2" w:space="0" w:color="A7A9AB"/>
              <w:right w:val="nil"/>
            </w:tcBorders>
            <w:vAlign w:val="center"/>
          </w:tcPr>
          <w:p w14:paraId="3072578B" w14:textId="03280E25" w:rsidR="006D35CF" w:rsidRPr="00456498" w:rsidRDefault="006D35CF" w:rsidP="006D35CF">
            <w:pPr>
              <w:pStyle w:val="TableText"/>
            </w:pPr>
            <w:r>
              <w:t xml:space="preserve">S1&amp;2 NA S3 </w:t>
            </w:r>
            <w:r>
              <w:rPr>
                <w:rFonts w:ascii="MS Gothic" w:eastAsia="MS Gothic" w:hAnsi="MS Gothic" w:cs="MS Gothic"/>
                <w:sz w:val="20"/>
              </w:rPr>
              <w:t>✓</w:t>
            </w:r>
          </w:p>
        </w:tc>
        <w:tc>
          <w:tcPr>
            <w:tcW w:w="489" w:type="pct"/>
            <w:tcBorders>
              <w:top w:val="single" w:sz="2" w:space="0" w:color="A7A9AB"/>
              <w:left w:val="nil"/>
              <w:bottom w:val="single" w:sz="2" w:space="0" w:color="A7A9AB"/>
              <w:right w:val="nil"/>
            </w:tcBorders>
            <w:vAlign w:val="center"/>
          </w:tcPr>
          <w:p w14:paraId="09385E2D" w14:textId="32B35452" w:rsidR="006D35CF" w:rsidRPr="00456498" w:rsidRDefault="006D35CF" w:rsidP="006D35CF">
            <w:pPr>
              <w:pStyle w:val="TableText"/>
            </w:pPr>
            <w:r>
              <w:t xml:space="preserve">S1&amp;2 NA S3 </w:t>
            </w:r>
            <w:r>
              <w:rPr>
                <w:rFonts w:ascii="MS Gothic" w:eastAsia="MS Gothic" w:hAnsi="MS Gothic" w:cs="MS Gothic"/>
                <w:sz w:val="20"/>
              </w:rPr>
              <w:t>✓</w:t>
            </w:r>
          </w:p>
        </w:tc>
        <w:tc>
          <w:tcPr>
            <w:tcW w:w="489" w:type="pct"/>
            <w:tcBorders>
              <w:top w:val="single" w:sz="2" w:space="0" w:color="A7A9AB"/>
              <w:left w:val="nil"/>
              <w:bottom w:val="single" w:sz="2" w:space="0" w:color="A7A9AB"/>
              <w:right w:val="nil"/>
            </w:tcBorders>
          </w:tcPr>
          <w:p w14:paraId="25CC7B12" w14:textId="01C4BB0F" w:rsidR="006D35CF" w:rsidRPr="00456498" w:rsidRDefault="006D35CF" w:rsidP="006D35CF">
            <w:pPr>
              <w:pStyle w:val="TableText"/>
              <w:spacing w:line="260" w:lineRule="atLeast"/>
            </w:pPr>
            <w:r>
              <w:t>NA</w:t>
            </w:r>
          </w:p>
        </w:tc>
        <w:tc>
          <w:tcPr>
            <w:tcW w:w="489" w:type="pct"/>
            <w:tcBorders>
              <w:top w:val="single" w:sz="2" w:space="0" w:color="A7A9AB"/>
              <w:left w:val="nil"/>
              <w:bottom w:val="single" w:sz="2" w:space="0" w:color="A7A9AB"/>
              <w:right w:val="nil"/>
            </w:tcBorders>
          </w:tcPr>
          <w:p w14:paraId="011AA929" w14:textId="5AD077DE" w:rsidR="006D35CF" w:rsidRPr="00456498" w:rsidRDefault="006D35CF" w:rsidP="006D35CF">
            <w:pPr>
              <w:pStyle w:val="TableText"/>
              <w:spacing w:line="260" w:lineRule="atLeast"/>
            </w:pPr>
            <w:r>
              <w:t>NA</w:t>
            </w:r>
          </w:p>
        </w:tc>
        <w:tc>
          <w:tcPr>
            <w:tcW w:w="486" w:type="pct"/>
            <w:tcBorders>
              <w:top w:val="single" w:sz="2" w:space="0" w:color="A7A9AB"/>
              <w:left w:val="nil"/>
              <w:bottom w:val="single" w:sz="2" w:space="0" w:color="A7A9AB"/>
              <w:right w:val="nil"/>
            </w:tcBorders>
            <w:vAlign w:val="center"/>
          </w:tcPr>
          <w:p w14:paraId="34CBBE8E" w14:textId="58C672DD" w:rsidR="006D35CF" w:rsidRPr="00456498" w:rsidRDefault="006D35CF" w:rsidP="006D35CF">
            <w:pPr>
              <w:pStyle w:val="TableText"/>
            </w:pPr>
            <w:r>
              <w:t xml:space="preserve">S1&amp;2 NA S3 </w:t>
            </w:r>
            <w:r>
              <w:rPr>
                <w:rFonts w:ascii="MS Gothic" w:eastAsia="MS Gothic" w:hAnsi="MS Gothic" w:cs="MS Gothic"/>
                <w:sz w:val="20"/>
              </w:rPr>
              <w:t>✓</w:t>
            </w:r>
          </w:p>
        </w:tc>
      </w:tr>
      <w:tr w:rsidR="006D35CF" w:rsidRPr="00456498" w14:paraId="062CBA2B" w14:textId="075A2089" w:rsidTr="006D35CF">
        <w:tc>
          <w:tcPr>
            <w:tcW w:w="575" w:type="pct"/>
          </w:tcPr>
          <w:p w14:paraId="0D59D1A9" w14:textId="2BA50908" w:rsidR="006D35CF" w:rsidRPr="00456498" w:rsidRDefault="006D35CF" w:rsidP="006D35CF">
            <w:pPr>
              <w:pStyle w:val="TableText"/>
            </w:pPr>
            <w:r>
              <w:t>Delivery of product to market</w:t>
            </w:r>
          </w:p>
        </w:tc>
        <w:tc>
          <w:tcPr>
            <w:tcW w:w="489" w:type="pct"/>
          </w:tcPr>
          <w:p w14:paraId="49CCE93B" w14:textId="3CC19146" w:rsidR="006D35CF" w:rsidRPr="00456498" w:rsidRDefault="006D35CF" w:rsidP="006D35CF">
            <w:pPr>
              <w:pStyle w:val="TableText"/>
            </w:pPr>
            <w:r>
              <w:rPr>
                <w:rFonts w:ascii="MS Gothic" w:eastAsia="MS Gothic" w:hAnsi="MS Gothic" w:cs="MS Gothic"/>
                <w:sz w:val="20"/>
              </w:rPr>
              <w:t>✓</w:t>
            </w:r>
          </w:p>
        </w:tc>
        <w:tc>
          <w:tcPr>
            <w:tcW w:w="489" w:type="pct"/>
          </w:tcPr>
          <w:p w14:paraId="551C560C" w14:textId="68EEF189" w:rsidR="006D35CF" w:rsidRPr="00456498" w:rsidRDefault="006D35CF" w:rsidP="006D35CF">
            <w:pPr>
              <w:pStyle w:val="TableText"/>
            </w:pPr>
            <w:r>
              <w:rPr>
                <w:rFonts w:ascii="MS Gothic" w:eastAsia="MS Gothic" w:hAnsi="MS Gothic" w:cs="MS Gothic"/>
                <w:sz w:val="20"/>
              </w:rPr>
              <w:t>✓</w:t>
            </w:r>
          </w:p>
        </w:tc>
        <w:tc>
          <w:tcPr>
            <w:tcW w:w="489" w:type="pct"/>
          </w:tcPr>
          <w:p w14:paraId="3B1DED7D" w14:textId="31B4FD12" w:rsidR="006D35CF" w:rsidRPr="00456498" w:rsidRDefault="006D35CF" w:rsidP="006D35CF">
            <w:pPr>
              <w:pStyle w:val="TableText"/>
            </w:pPr>
            <w:r>
              <w:rPr>
                <w:rFonts w:ascii="MS Gothic" w:eastAsia="MS Gothic" w:hAnsi="MS Gothic" w:cs="MS Gothic"/>
                <w:sz w:val="20"/>
              </w:rPr>
              <w:t>✓</w:t>
            </w:r>
          </w:p>
        </w:tc>
        <w:tc>
          <w:tcPr>
            <w:tcW w:w="489" w:type="pct"/>
          </w:tcPr>
          <w:p w14:paraId="6738848A" w14:textId="075D6F63" w:rsidR="006D35CF" w:rsidRPr="00456498" w:rsidRDefault="006D35CF" w:rsidP="006D35CF">
            <w:pPr>
              <w:pStyle w:val="TableText"/>
            </w:pPr>
            <w:r>
              <w:rPr>
                <w:rFonts w:ascii="MS Gothic" w:eastAsia="MS Gothic" w:hAnsi="MS Gothic" w:cs="MS Gothic"/>
                <w:sz w:val="20"/>
              </w:rPr>
              <w:t>✓</w:t>
            </w:r>
          </w:p>
        </w:tc>
        <w:tc>
          <w:tcPr>
            <w:tcW w:w="516" w:type="pct"/>
          </w:tcPr>
          <w:p w14:paraId="5028DC93" w14:textId="2686E642" w:rsidR="006D35CF" w:rsidRPr="00456498" w:rsidRDefault="006D35CF" w:rsidP="006D35CF">
            <w:pPr>
              <w:pStyle w:val="TableText"/>
            </w:pPr>
            <w:r>
              <w:rPr>
                <w:rFonts w:ascii="MS Gothic" w:eastAsia="MS Gothic" w:hAnsi="MS Gothic" w:cs="MS Gothic"/>
                <w:sz w:val="20"/>
              </w:rPr>
              <w:t>✓</w:t>
            </w:r>
          </w:p>
        </w:tc>
        <w:tc>
          <w:tcPr>
            <w:tcW w:w="489" w:type="pct"/>
          </w:tcPr>
          <w:p w14:paraId="52AFB40B" w14:textId="203C3BC8" w:rsidR="006D35CF" w:rsidRPr="00456498" w:rsidRDefault="006D35CF" w:rsidP="006D35CF">
            <w:pPr>
              <w:pStyle w:val="TableText"/>
            </w:pPr>
            <w:r>
              <w:rPr>
                <w:rFonts w:ascii="MS Gothic" w:eastAsia="MS Gothic" w:hAnsi="MS Gothic" w:cs="MS Gothic"/>
                <w:sz w:val="20"/>
              </w:rPr>
              <w:t>✓</w:t>
            </w:r>
          </w:p>
        </w:tc>
        <w:tc>
          <w:tcPr>
            <w:tcW w:w="489" w:type="pct"/>
          </w:tcPr>
          <w:p w14:paraId="2424B51B" w14:textId="41CE3E46" w:rsidR="006D35CF" w:rsidRPr="00456498" w:rsidRDefault="006D35CF" w:rsidP="006D35CF">
            <w:pPr>
              <w:pStyle w:val="TableText"/>
            </w:pPr>
            <w:r>
              <w:rPr>
                <w:rFonts w:ascii="MS Gothic" w:eastAsia="MS Gothic" w:hAnsi="MS Gothic" w:cs="MS Gothic"/>
                <w:sz w:val="20"/>
              </w:rPr>
              <w:t>✓</w:t>
            </w:r>
          </w:p>
        </w:tc>
        <w:tc>
          <w:tcPr>
            <w:tcW w:w="489" w:type="pct"/>
          </w:tcPr>
          <w:p w14:paraId="5DDA4F28" w14:textId="2037DC5F" w:rsidR="006D35CF" w:rsidRPr="00456498" w:rsidRDefault="006D35CF" w:rsidP="006D35CF">
            <w:pPr>
              <w:pStyle w:val="TableText"/>
            </w:pPr>
            <w:r>
              <w:rPr>
                <w:rFonts w:ascii="MS Gothic" w:eastAsia="MS Gothic" w:hAnsi="MS Gothic" w:cs="MS Gothic"/>
                <w:sz w:val="20"/>
              </w:rPr>
              <w:t>✓</w:t>
            </w:r>
          </w:p>
        </w:tc>
        <w:tc>
          <w:tcPr>
            <w:tcW w:w="486" w:type="pct"/>
          </w:tcPr>
          <w:p w14:paraId="279EDE2B" w14:textId="1A0DF34B" w:rsidR="006D35CF" w:rsidRPr="00456498" w:rsidRDefault="006D35CF" w:rsidP="006D35CF">
            <w:pPr>
              <w:pStyle w:val="TableText"/>
            </w:pPr>
            <w:r>
              <w:rPr>
                <w:rFonts w:ascii="MS Gothic" w:eastAsia="MS Gothic" w:hAnsi="MS Gothic" w:cs="MS Gothic"/>
                <w:sz w:val="20"/>
              </w:rPr>
              <w:t>✓</w:t>
            </w:r>
          </w:p>
        </w:tc>
      </w:tr>
      <w:tr w:rsidR="006D35CF" w:rsidRPr="00C71DEF" w14:paraId="1E50E7F3" w14:textId="77777777" w:rsidTr="00C71DEF">
        <w:trPr>
          <w:cnfStyle w:val="010000000000" w:firstRow="0" w:lastRow="1" w:firstColumn="0" w:lastColumn="0" w:oddVBand="0" w:evenVBand="0" w:oddHBand="0" w:evenHBand="0" w:firstRowFirstColumn="0" w:firstRowLastColumn="0" w:lastRowFirstColumn="0" w:lastRowLastColumn="0"/>
        </w:trPr>
        <w:tc>
          <w:tcPr>
            <w:tcW w:w="575" w:type="pct"/>
            <w:shd w:val="clear" w:color="auto" w:fill="auto"/>
          </w:tcPr>
          <w:p w14:paraId="0866F28B" w14:textId="7294BC26" w:rsidR="006D35CF" w:rsidRPr="00C71DEF" w:rsidRDefault="006D35CF" w:rsidP="006D35CF">
            <w:pPr>
              <w:pStyle w:val="TableText"/>
              <w:rPr>
                <w:b w:val="0"/>
              </w:rPr>
            </w:pPr>
            <w:r w:rsidRPr="00C71DEF">
              <w:rPr>
                <w:b w:val="0"/>
              </w:rPr>
              <w:t>Delivery of residuals to disposal</w:t>
            </w:r>
          </w:p>
        </w:tc>
        <w:tc>
          <w:tcPr>
            <w:tcW w:w="489" w:type="pct"/>
            <w:shd w:val="clear" w:color="auto" w:fill="auto"/>
          </w:tcPr>
          <w:p w14:paraId="70737903" w14:textId="6A98EF8C" w:rsidR="006D35CF" w:rsidRPr="00C71DEF" w:rsidRDefault="006D35CF" w:rsidP="006D35CF">
            <w:pPr>
              <w:pStyle w:val="TableText"/>
              <w:rPr>
                <w:b w:val="0"/>
              </w:rPr>
            </w:pPr>
            <w:r w:rsidRPr="00C71DEF">
              <w:rPr>
                <w:rFonts w:ascii="MS Gothic" w:eastAsia="MS Gothic" w:hAnsi="MS Gothic" w:cs="MS Gothic"/>
                <w:b w:val="0"/>
                <w:sz w:val="20"/>
              </w:rPr>
              <w:t>✓</w:t>
            </w:r>
          </w:p>
        </w:tc>
        <w:tc>
          <w:tcPr>
            <w:tcW w:w="489" w:type="pct"/>
            <w:shd w:val="clear" w:color="auto" w:fill="auto"/>
          </w:tcPr>
          <w:p w14:paraId="18F662FA" w14:textId="082AAF0C" w:rsidR="006D35CF" w:rsidRPr="00C71DEF" w:rsidRDefault="006D35CF" w:rsidP="006D35CF">
            <w:pPr>
              <w:pStyle w:val="TableText"/>
              <w:rPr>
                <w:b w:val="0"/>
              </w:rPr>
            </w:pPr>
            <w:r w:rsidRPr="00C71DEF">
              <w:rPr>
                <w:rFonts w:ascii="MS Gothic" w:eastAsia="MS Gothic" w:hAnsi="MS Gothic" w:cs="MS Gothic"/>
                <w:b w:val="0"/>
                <w:sz w:val="20"/>
              </w:rPr>
              <w:t>✓</w:t>
            </w:r>
          </w:p>
        </w:tc>
        <w:tc>
          <w:tcPr>
            <w:tcW w:w="489" w:type="pct"/>
            <w:shd w:val="clear" w:color="auto" w:fill="auto"/>
          </w:tcPr>
          <w:p w14:paraId="3F3FC01A" w14:textId="688A0306" w:rsidR="006D35CF" w:rsidRPr="00C71DEF" w:rsidRDefault="006D35CF" w:rsidP="006D35CF">
            <w:pPr>
              <w:pStyle w:val="TableText"/>
              <w:rPr>
                <w:b w:val="0"/>
              </w:rPr>
            </w:pPr>
            <w:r w:rsidRPr="00C71DEF">
              <w:rPr>
                <w:rFonts w:ascii="MS Gothic" w:eastAsia="MS Gothic" w:hAnsi="MS Gothic" w:cs="MS Gothic"/>
                <w:b w:val="0"/>
                <w:sz w:val="20"/>
              </w:rPr>
              <w:t>✓</w:t>
            </w:r>
          </w:p>
        </w:tc>
        <w:tc>
          <w:tcPr>
            <w:tcW w:w="489" w:type="pct"/>
            <w:shd w:val="clear" w:color="auto" w:fill="auto"/>
          </w:tcPr>
          <w:p w14:paraId="0BB97087" w14:textId="11A2E8B4" w:rsidR="006D35CF" w:rsidRPr="00C71DEF" w:rsidRDefault="006D35CF" w:rsidP="006D35CF">
            <w:pPr>
              <w:pStyle w:val="TableText"/>
              <w:rPr>
                <w:b w:val="0"/>
              </w:rPr>
            </w:pPr>
            <w:r w:rsidRPr="00C71DEF">
              <w:rPr>
                <w:rFonts w:ascii="MS Gothic" w:eastAsia="MS Gothic" w:hAnsi="MS Gothic" w:cs="MS Gothic"/>
                <w:b w:val="0"/>
                <w:sz w:val="20"/>
              </w:rPr>
              <w:t>✓</w:t>
            </w:r>
          </w:p>
        </w:tc>
        <w:tc>
          <w:tcPr>
            <w:tcW w:w="516" w:type="pct"/>
            <w:shd w:val="clear" w:color="auto" w:fill="auto"/>
          </w:tcPr>
          <w:p w14:paraId="641E9EAB" w14:textId="31C60DF8" w:rsidR="006D35CF" w:rsidRPr="00C71DEF" w:rsidRDefault="006D35CF" w:rsidP="006D35CF">
            <w:pPr>
              <w:pStyle w:val="TableText"/>
              <w:rPr>
                <w:b w:val="0"/>
              </w:rPr>
            </w:pPr>
            <w:r w:rsidRPr="00C71DEF">
              <w:rPr>
                <w:rFonts w:ascii="MS Gothic" w:eastAsia="MS Gothic" w:hAnsi="MS Gothic" w:cs="MS Gothic"/>
                <w:b w:val="0"/>
                <w:sz w:val="20"/>
              </w:rPr>
              <w:t>✓</w:t>
            </w:r>
          </w:p>
        </w:tc>
        <w:tc>
          <w:tcPr>
            <w:tcW w:w="489" w:type="pct"/>
            <w:shd w:val="clear" w:color="auto" w:fill="auto"/>
          </w:tcPr>
          <w:p w14:paraId="05B9E5BC" w14:textId="1612AF00" w:rsidR="006D35CF" w:rsidRPr="00C71DEF" w:rsidRDefault="006D35CF" w:rsidP="006D35CF">
            <w:pPr>
              <w:pStyle w:val="TableText"/>
              <w:rPr>
                <w:b w:val="0"/>
              </w:rPr>
            </w:pPr>
            <w:r w:rsidRPr="00C71DEF">
              <w:rPr>
                <w:rFonts w:ascii="MS Gothic" w:eastAsia="MS Gothic" w:hAnsi="MS Gothic" w:cs="MS Gothic"/>
                <w:b w:val="0"/>
                <w:sz w:val="20"/>
              </w:rPr>
              <w:t>✓</w:t>
            </w:r>
          </w:p>
        </w:tc>
        <w:tc>
          <w:tcPr>
            <w:tcW w:w="489" w:type="pct"/>
            <w:shd w:val="clear" w:color="auto" w:fill="auto"/>
          </w:tcPr>
          <w:p w14:paraId="47AF0815" w14:textId="65D0468C" w:rsidR="006D35CF" w:rsidRPr="00C71DEF" w:rsidRDefault="006D35CF" w:rsidP="006D35CF">
            <w:pPr>
              <w:pStyle w:val="TableText"/>
              <w:rPr>
                <w:b w:val="0"/>
              </w:rPr>
            </w:pPr>
            <w:r w:rsidRPr="00C71DEF">
              <w:rPr>
                <w:rFonts w:ascii="MS Gothic" w:eastAsia="MS Gothic" w:hAnsi="MS Gothic" w:cs="MS Gothic"/>
                <w:b w:val="0"/>
                <w:sz w:val="20"/>
              </w:rPr>
              <w:t>✓</w:t>
            </w:r>
          </w:p>
        </w:tc>
        <w:tc>
          <w:tcPr>
            <w:tcW w:w="489" w:type="pct"/>
            <w:shd w:val="clear" w:color="auto" w:fill="auto"/>
          </w:tcPr>
          <w:p w14:paraId="20D5DC9B" w14:textId="022F67DE" w:rsidR="006D35CF" w:rsidRPr="00C71DEF" w:rsidRDefault="006D35CF" w:rsidP="006D35CF">
            <w:pPr>
              <w:pStyle w:val="TableText"/>
              <w:rPr>
                <w:b w:val="0"/>
              </w:rPr>
            </w:pPr>
            <w:r w:rsidRPr="00C71DEF">
              <w:rPr>
                <w:rFonts w:ascii="MS Gothic" w:eastAsia="MS Gothic" w:hAnsi="MS Gothic" w:cs="MS Gothic"/>
                <w:b w:val="0"/>
                <w:sz w:val="20"/>
              </w:rPr>
              <w:t>✓</w:t>
            </w:r>
          </w:p>
        </w:tc>
        <w:tc>
          <w:tcPr>
            <w:tcW w:w="486" w:type="pct"/>
            <w:shd w:val="clear" w:color="auto" w:fill="auto"/>
          </w:tcPr>
          <w:p w14:paraId="477CEB05" w14:textId="6FB05E8D" w:rsidR="006D35CF" w:rsidRPr="00C71DEF" w:rsidRDefault="006D35CF" w:rsidP="006D35CF">
            <w:pPr>
              <w:pStyle w:val="TableText"/>
              <w:rPr>
                <w:b w:val="0"/>
              </w:rPr>
            </w:pPr>
            <w:r w:rsidRPr="00C71DEF">
              <w:rPr>
                <w:rFonts w:ascii="MS Gothic" w:eastAsia="MS Gothic" w:hAnsi="MS Gothic" w:cs="MS Gothic"/>
                <w:b w:val="0"/>
                <w:sz w:val="20"/>
              </w:rPr>
              <w:t>✓</w:t>
            </w:r>
          </w:p>
        </w:tc>
      </w:tr>
    </w:tbl>
    <w:p w14:paraId="6E560081" w14:textId="7788B880" w:rsidR="008F4799" w:rsidRDefault="008F4799" w:rsidP="006210D1">
      <w:pPr>
        <w:pStyle w:val="Heading1Numbered"/>
      </w:pPr>
      <w:bookmarkStart w:id="16" w:name="_Toc16499288"/>
      <w:r>
        <w:t>Peer review</w:t>
      </w:r>
      <w:bookmarkEnd w:id="16"/>
    </w:p>
    <w:p w14:paraId="7386AB9E" w14:textId="1E27A7EA" w:rsidR="00C34CA1" w:rsidRDefault="008F4799" w:rsidP="00596FE7">
      <w:pPr>
        <w:sectPr w:rsidR="00C34CA1" w:rsidSect="002211F4">
          <w:pgSz w:w="11906" w:h="16838" w:code="9"/>
          <w:pgMar w:top="1474" w:right="964" w:bottom="1134" w:left="3175" w:header="851" w:footer="369" w:gutter="0"/>
          <w:cols w:space="708"/>
          <w:titlePg/>
          <w:docGrid w:linePitch="360"/>
        </w:sectPr>
      </w:pPr>
      <w:r>
        <w:t>Enda Crossin of RMIT provided a detailed peer review of the GHG emissions modelling</w:t>
      </w:r>
      <w:r w:rsidR="00BF4BC0">
        <w:t>,</w:t>
      </w:r>
      <w:r w:rsidR="00693F2F">
        <w:t xml:space="preserve"> which</w:t>
      </w:r>
      <w:r>
        <w:t xml:space="preserve"> resulted in some amendments and general improvements</w:t>
      </w:r>
      <w:r w:rsidR="00693F2F">
        <w:t>.</w:t>
      </w:r>
      <w:r w:rsidR="006210D1">
        <w:t xml:space="preserve">    </w:t>
      </w:r>
    </w:p>
    <w:p w14:paraId="31AEC4E1" w14:textId="6D724B75" w:rsidR="00BC52BC" w:rsidRPr="00BC52BC" w:rsidRDefault="004B15A4" w:rsidP="002A2168">
      <w:pPr>
        <w:pStyle w:val="SectionDividerTitle"/>
        <w:framePr w:wrap="around"/>
        <w:ind w:right="139"/>
      </w:pPr>
      <w:bookmarkStart w:id="17" w:name="_Toc16499289"/>
      <w:r w:rsidRPr="004B15A4">
        <w:lastRenderedPageBreak/>
        <w:t xml:space="preserve">Results </w:t>
      </w:r>
      <w:r>
        <w:t xml:space="preserve">– </w:t>
      </w:r>
      <w:r w:rsidRPr="004B15A4">
        <w:t>GHG</w:t>
      </w:r>
      <w:r>
        <w:t xml:space="preserve"> emissions</w:t>
      </w:r>
      <w:r w:rsidR="00596FE7">
        <w:t xml:space="preserve"> from Victoria’s</w:t>
      </w:r>
      <w:r w:rsidRPr="004B15A4">
        <w:t xml:space="preserve"> waste </w:t>
      </w:r>
      <w:r w:rsidR="004149A5">
        <w:t xml:space="preserve">and resource recovery </w:t>
      </w:r>
      <w:r w:rsidRPr="004B15A4">
        <w:t>secto</w:t>
      </w:r>
      <w:r>
        <w:t>r</w:t>
      </w:r>
      <w:r w:rsidR="001F4CB0">
        <w:t xml:space="preserve"> in 2014-15</w:t>
      </w:r>
      <w:bookmarkEnd w:id="17"/>
      <w:r w:rsidR="00BC52BC" w:rsidRPr="00BC52BC">
        <w:t xml:space="preserve"> </w:t>
      </w:r>
      <w:r w:rsidR="001F4CB0">
        <w:t xml:space="preserve"> </w:t>
      </w:r>
    </w:p>
    <w:p w14:paraId="282D4838" w14:textId="2F74B48D" w:rsidR="00E35C57" w:rsidRDefault="00E35C57" w:rsidP="00E35C57">
      <w:pPr>
        <w:ind w:left="9" w:right="14"/>
      </w:pPr>
      <w:r>
        <w:t xml:space="preserve">This section provides estimates of GHG emissions from the Victorian waste </w:t>
      </w:r>
      <w:r w:rsidR="006D4782">
        <w:t xml:space="preserve">and resource recovery </w:t>
      </w:r>
      <w:r>
        <w:t>sector in 2014-15. The results are based on the tonnages of solid non-hazardous waste managed</w:t>
      </w:r>
      <w:r>
        <w:rPr>
          <w:rStyle w:val="FootnoteReference"/>
        </w:rPr>
        <w:footnoteReference w:id="5"/>
      </w:r>
      <w:r w:rsidR="00EC405B">
        <w:t xml:space="preserve"> in Victoria</w:t>
      </w:r>
      <w:r>
        <w:t>.</w:t>
      </w:r>
    </w:p>
    <w:p w14:paraId="6C384A28" w14:textId="3CD2228C" w:rsidR="00E35C57" w:rsidRDefault="00E35C57" w:rsidP="00E35C57">
      <w:pPr>
        <w:ind w:left="9" w:right="213"/>
      </w:pPr>
      <w:r w:rsidRPr="00E35C57">
        <w:t>For some waste</w:t>
      </w:r>
      <w:r w:rsidR="006D4782">
        <w:t xml:space="preserve"> types (e.g.</w:t>
      </w:r>
      <w:r w:rsidRPr="00E35C57">
        <w:t xml:space="preserve"> aluminium and paper</w:t>
      </w:r>
      <w:r w:rsidR="00EC405B">
        <w:t>/cardboard</w:t>
      </w:r>
      <w:r w:rsidRPr="00E35C57">
        <w:t>) the Victorian waste generation</w:t>
      </w:r>
      <w:r w:rsidRPr="00E35C57">
        <w:rPr>
          <w:rStyle w:val="FootnoteReference"/>
        </w:rPr>
        <w:footnoteReference w:id="6"/>
      </w:r>
      <w:r w:rsidRPr="00E35C57">
        <w:t xml:space="preserve"> tonnages</w:t>
      </w:r>
      <w:r>
        <w:t xml:space="preserve"> are significantly higher than the tonnages </w:t>
      </w:r>
      <w:r w:rsidR="00A86D83">
        <w:t>processed</w:t>
      </w:r>
      <w:r>
        <w:t xml:space="preserve"> in Victoria. </w:t>
      </w:r>
      <w:r w:rsidR="00A86D83">
        <w:t>T</w:t>
      </w:r>
      <w:r>
        <w:t xml:space="preserve">he results presented in this section detail and discuss opportunities for the emissions from waste managed in Victoria.  </w:t>
      </w:r>
    </w:p>
    <w:p w14:paraId="4681DB1D" w14:textId="77777777" w:rsidR="00E35C57" w:rsidRDefault="00E35C57" w:rsidP="00E35C57">
      <w:pPr>
        <w:spacing w:after="47"/>
        <w:ind w:left="9" w:right="14"/>
      </w:pPr>
      <w:r>
        <w:t xml:space="preserve">The results in this section are presented by: </w:t>
      </w:r>
    </w:p>
    <w:p w14:paraId="1E5BC6B0" w14:textId="0FAA80A6" w:rsidR="00E35C57" w:rsidRDefault="00693F2F" w:rsidP="00E35C57">
      <w:pPr>
        <w:pStyle w:val="TableBullet"/>
      </w:pPr>
      <w:r>
        <w:t xml:space="preserve">aggregated </w:t>
      </w:r>
      <w:r w:rsidR="00E35C57">
        <w:t>total emissions from the waste infrastructure in 2014-15</w:t>
      </w:r>
      <w:r w:rsidR="00E35C57">
        <w:rPr>
          <w:rStyle w:val="FootnoteReference"/>
        </w:rPr>
        <w:footnoteReference w:id="7"/>
      </w:r>
    </w:p>
    <w:p w14:paraId="41E20037" w14:textId="35329BDC" w:rsidR="00E35C57" w:rsidRDefault="00693F2F" w:rsidP="00E35C57">
      <w:pPr>
        <w:pStyle w:val="TableBullet"/>
      </w:pPr>
      <w:r>
        <w:t xml:space="preserve">detailed </w:t>
      </w:r>
      <w:r w:rsidR="00E35C57">
        <w:t>emissions from resource recovery and disposal (waste infrastructure emissions)</w:t>
      </w:r>
    </w:p>
    <w:p w14:paraId="162F1340" w14:textId="76012D3D" w:rsidR="00E35C57" w:rsidRDefault="00693F2F" w:rsidP="00E35C57">
      <w:pPr>
        <w:pStyle w:val="TableBullet"/>
      </w:pPr>
      <w:r>
        <w:t xml:space="preserve">detailed </w:t>
      </w:r>
      <w:r w:rsidR="00E35C57">
        <w:t>emissions from transport (transport emissions)</w:t>
      </w:r>
    </w:p>
    <w:p w14:paraId="27024CDA" w14:textId="3DBECE10" w:rsidR="00E35C57" w:rsidRDefault="00693F2F" w:rsidP="00E35C57">
      <w:pPr>
        <w:pStyle w:val="TableBullet"/>
      </w:pPr>
      <w:r>
        <w:t xml:space="preserve">the </w:t>
      </w:r>
      <w:r w:rsidR="00E35C57">
        <w:t>combined totals for the detailed emissions from infrastructure and transport.</w:t>
      </w:r>
    </w:p>
    <w:p w14:paraId="1E4B0F6E" w14:textId="19DA3566" w:rsidR="00E35C57" w:rsidRDefault="00E35C57" w:rsidP="00E35C57">
      <w:pPr>
        <w:spacing w:after="327"/>
        <w:ind w:left="9" w:right="14"/>
      </w:pPr>
      <w:r w:rsidRPr="00EC405B">
        <w:t xml:space="preserve">Each set of </w:t>
      </w:r>
      <w:r w:rsidR="001F4CB0" w:rsidRPr="00EC405B">
        <w:t xml:space="preserve">charts is followed by a </w:t>
      </w:r>
      <w:r w:rsidRPr="00EC405B">
        <w:t>discussion</w:t>
      </w:r>
      <w:r w:rsidR="006B6977">
        <w:t>. H</w:t>
      </w:r>
      <w:r w:rsidR="001F4CB0" w:rsidRPr="00EC405B">
        <w:t xml:space="preserve">igh level </w:t>
      </w:r>
      <w:r w:rsidRPr="00EC405B">
        <w:t>oppor</w:t>
      </w:r>
      <w:r w:rsidR="00A86D83" w:rsidRPr="00EC405B">
        <w:t xml:space="preserve">tunities to reduce GHG emissions </w:t>
      </w:r>
      <w:r w:rsidRPr="00EC405B">
        <w:t xml:space="preserve">mostly follows the combined totals presentation in </w:t>
      </w:r>
      <w:r w:rsidR="008F176E">
        <w:t>s</w:t>
      </w:r>
      <w:r w:rsidR="008F176E" w:rsidRPr="00EC405B">
        <w:t xml:space="preserve">ection </w:t>
      </w:r>
      <w:r w:rsidRPr="00EC405B">
        <w:t>4.4.</w:t>
      </w:r>
    </w:p>
    <w:p w14:paraId="409BA655" w14:textId="77777777" w:rsidR="00E35C57" w:rsidRDefault="00E35C57" w:rsidP="00413ADF">
      <w:pPr>
        <w:pStyle w:val="Heading2"/>
      </w:pPr>
      <w:r>
        <w:t>Gaps and ‘zero’ values in emission results</w:t>
      </w:r>
    </w:p>
    <w:p w14:paraId="2E48EDA3" w14:textId="4950FE21" w:rsidR="00E35C57" w:rsidRDefault="00C332F2" w:rsidP="00E35C57">
      <w:pPr>
        <w:ind w:left="9" w:right="14"/>
      </w:pPr>
      <w:r>
        <w:t>T</w:t>
      </w:r>
      <w:r w:rsidR="00E35C57">
        <w:t>here are several instances where zero values are reported for emiss</w:t>
      </w:r>
      <w:r w:rsidR="006C4A5C">
        <w:t xml:space="preserve">ions from waste infrastructure; </w:t>
      </w:r>
      <w:r w:rsidR="00E35C57">
        <w:t xml:space="preserve">discussed below. </w:t>
      </w:r>
    </w:p>
    <w:p w14:paraId="3ED14920" w14:textId="132DB200" w:rsidR="00E35C57" w:rsidRDefault="00E35C57" w:rsidP="00E35C57">
      <w:pPr>
        <w:ind w:left="9" w:right="75"/>
      </w:pPr>
      <w:r>
        <w:t>For both e-waste and anaer</w:t>
      </w:r>
      <w:r w:rsidR="001F4CB0">
        <w:t>obic digestion</w:t>
      </w:r>
      <w:r>
        <w:t xml:space="preserve"> infrastructure</w:t>
      </w:r>
      <w:r w:rsidR="00F4323A">
        <w:t>,</w:t>
      </w:r>
      <w:r>
        <w:t xml:space="preserve"> estimates of GHG emissions per tonne of waste received are included in the modelling. However, SV reported zero tonnage of recovery for waste types that are sent to these infrastructure types</w:t>
      </w:r>
      <w:r w:rsidR="001F4CB0">
        <w:t xml:space="preserve"> at the time of analysis</w:t>
      </w:r>
      <w:r>
        <w:t>, hence, emission</w:t>
      </w:r>
      <w:r w:rsidR="003B78C3">
        <w:t>s</w:t>
      </w:r>
      <w:r>
        <w:t xml:space="preserve"> reported are zero. If updated recovery tonnages are inputted for these waste types, the modelling would provide estimated GHG emissions. </w:t>
      </w:r>
    </w:p>
    <w:p w14:paraId="7DEF3254" w14:textId="3E25C14F" w:rsidR="00E35C57" w:rsidRDefault="00E35C57" w:rsidP="00E35C57">
      <w:pPr>
        <w:ind w:left="9" w:right="14"/>
      </w:pPr>
      <w:r>
        <w:t>For both pyrolysis and textile waste infrastructure</w:t>
      </w:r>
      <w:r w:rsidR="003B78C3">
        <w:t>,</w:t>
      </w:r>
      <w:r>
        <w:t xml:space="preserve"> no references were identified to derive estimates for infrastructure emissions (scope 1-3). SV reported zero tonnage </w:t>
      </w:r>
      <w:r w:rsidR="00413ADF">
        <w:t>processed by pyrolysis in 2014-</w:t>
      </w:r>
      <w:r>
        <w:t xml:space="preserve">15, so this gap is not significant </w:t>
      </w:r>
      <w:r w:rsidR="001F4CB0">
        <w:t>currently. SV reported around 3</w:t>
      </w:r>
      <w:r>
        <w:t xml:space="preserve">000 </w:t>
      </w:r>
      <w:r>
        <w:lastRenderedPageBreak/>
        <w:t>tonnes of textile recovery in 2014</w:t>
      </w:r>
      <w:r w:rsidR="00413ADF">
        <w:t>-</w:t>
      </w:r>
      <w:r>
        <w:t>15. The emissions associated with the recovery of textiles in Victoria remains a gap, however, it is not significant in the context of the overall emissions profile.</w:t>
      </w:r>
    </w:p>
    <w:p w14:paraId="5C6ABB52" w14:textId="38477BA1" w:rsidR="00E35C57" w:rsidRDefault="00E35C57" w:rsidP="00E35C57">
      <w:pPr>
        <w:spacing w:after="894"/>
        <w:ind w:left="9" w:right="14"/>
      </w:pPr>
      <w:r>
        <w:t xml:space="preserve">For infrastructure types apart from pyrolysis, textile, e-waste, and anaerobic digestion, any apparent zero values will be due to the large scale required to present the data in the chart. </w:t>
      </w:r>
    </w:p>
    <w:p w14:paraId="30C4FFF6" w14:textId="7A49571E" w:rsidR="007D0BA6" w:rsidRDefault="007D0BA6" w:rsidP="007D0BA6">
      <w:pPr>
        <w:pStyle w:val="Heading1Numbered"/>
      </w:pPr>
      <w:bookmarkStart w:id="18" w:name="_Toc16499290"/>
      <w:r>
        <w:t xml:space="preserve">Total emissions from Victorian waste </w:t>
      </w:r>
      <w:r w:rsidR="00AE2FBD">
        <w:t>sector</w:t>
      </w:r>
      <w:bookmarkEnd w:id="18"/>
      <w:r>
        <w:t xml:space="preserve"> </w:t>
      </w:r>
    </w:p>
    <w:p w14:paraId="0687BC4B" w14:textId="7EBF8F55" w:rsidR="007D0BA6" w:rsidRDefault="007D0BA6" w:rsidP="007D0BA6">
      <w:pPr>
        <w:spacing w:after="160"/>
        <w:ind w:left="9" w:right="14"/>
      </w:pPr>
      <w:r w:rsidRPr="001F4CB0">
        <w:t xml:space="preserve">Figure 2 </w:t>
      </w:r>
      <w:r w:rsidR="001F4CB0" w:rsidRPr="001F4CB0">
        <w:t>(</w:t>
      </w:r>
      <w:r w:rsidR="003B78C3" w:rsidRPr="001F4CB0">
        <w:t>A</w:t>
      </w:r>
      <w:r w:rsidR="003B78C3">
        <w:t>,</w:t>
      </w:r>
      <w:r w:rsidR="003B78C3" w:rsidRPr="001F4CB0">
        <w:t xml:space="preserve"> B</w:t>
      </w:r>
      <w:r w:rsidR="00214225">
        <w:t xml:space="preserve"> and </w:t>
      </w:r>
      <w:r w:rsidRPr="001F4CB0">
        <w:t>C</w:t>
      </w:r>
      <w:r w:rsidR="001F4CB0" w:rsidRPr="001F4CB0">
        <w:t>)</w:t>
      </w:r>
      <w:r w:rsidRPr="001F4CB0">
        <w:t xml:space="preserve"> illustrate</w:t>
      </w:r>
      <w:r w:rsidR="00806D66">
        <w:t>s</w:t>
      </w:r>
      <w:r w:rsidRPr="001F4CB0">
        <w:t xml:space="preserve"> the total emissions from the Victorian waste </w:t>
      </w:r>
      <w:r w:rsidR="00F4323A">
        <w:t xml:space="preserve">and resource recovery </w:t>
      </w:r>
      <w:r w:rsidRPr="001F4CB0">
        <w:t>sector in 2014-15</w:t>
      </w:r>
      <w:r w:rsidR="00C333C2">
        <w:t>,</w:t>
      </w:r>
      <w:r w:rsidRPr="001F4CB0">
        <w:t xml:space="preserve"> for both waste managed and waste generated in Victoria (tonnes CO</w:t>
      </w:r>
      <w:r w:rsidRPr="001F4CB0">
        <w:rPr>
          <w:sz w:val="15"/>
          <w:vertAlign w:val="subscript"/>
        </w:rPr>
        <w:t>2</w:t>
      </w:r>
      <w:r w:rsidRPr="001F4CB0">
        <w:t xml:space="preserve">-e). </w:t>
      </w:r>
    </w:p>
    <w:p w14:paraId="204F347B" w14:textId="3FCE7470" w:rsidR="007D0BA6" w:rsidRDefault="000817BB" w:rsidP="007D0BA6">
      <w:pPr>
        <w:ind w:left="9" w:right="14"/>
      </w:pPr>
      <w:r>
        <w:t>T</w:t>
      </w:r>
      <w:r w:rsidR="007D0BA6">
        <w:t xml:space="preserve">he most striking </w:t>
      </w:r>
      <w:r w:rsidR="007D0BA6" w:rsidRPr="001F4CB0">
        <w:t>aspect of Figure 2 is the significant</w:t>
      </w:r>
      <w:r w:rsidR="00806D66">
        <w:t xml:space="preserve"> amount of export</w:t>
      </w:r>
      <w:r w:rsidR="007D0BA6">
        <w:t xml:space="preserve"> of wastes for processing (nationally a</w:t>
      </w:r>
      <w:r w:rsidR="00F4323A">
        <w:t>nd internationally). Aluminium wa</w:t>
      </w:r>
      <w:r w:rsidR="007D0BA6">
        <w:t xml:space="preserve">s </w:t>
      </w:r>
      <w:r w:rsidR="00DD7F30">
        <w:t xml:space="preserve">mostly </w:t>
      </w:r>
      <w:r w:rsidR="007D0BA6">
        <w:t>recycled outside Victo</w:t>
      </w:r>
      <w:r w:rsidR="00F4323A">
        <w:t>ria. Most paper and cardboard was</w:t>
      </w:r>
      <w:r w:rsidR="007D0BA6">
        <w:t xml:space="preserve"> also processed outside Victoria. For steel and plastic recycling about half occurred in Victoria</w:t>
      </w:r>
      <w:r w:rsidR="005A6C91">
        <w:t>.</w:t>
      </w:r>
      <w:r w:rsidR="007D0BA6">
        <w:t xml:space="preserve"> </w:t>
      </w:r>
    </w:p>
    <w:p w14:paraId="199D251B" w14:textId="07A6F87F" w:rsidR="007D0BA6" w:rsidRDefault="007D0BA6" w:rsidP="007D0BA6">
      <w:pPr>
        <w:spacing w:after="53"/>
        <w:ind w:left="9" w:right="14"/>
      </w:pPr>
      <w:r>
        <w:t xml:space="preserve">Figure 2 </w:t>
      </w:r>
      <w:r w:rsidR="001F4CB0">
        <w:t>(A,</w:t>
      </w:r>
      <w:r w:rsidR="00BF4BC0">
        <w:t xml:space="preserve"> </w:t>
      </w:r>
      <w:r w:rsidR="001F4CB0">
        <w:t>B</w:t>
      </w:r>
      <w:r w:rsidR="00214225">
        <w:t xml:space="preserve"> and </w:t>
      </w:r>
      <w:r>
        <w:t>C</w:t>
      </w:r>
      <w:r w:rsidR="001F4CB0">
        <w:t>)</w:t>
      </w:r>
      <w:r>
        <w:t xml:space="preserve"> illustrate</w:t>
      </w:r>
      <w:r w:rsidR="00F4323A">
        <w:t>s</w:t>
      </w:r>
      <w:r>
        <w:t xml:space="preserve"> that the </w:t>
      </w:r>
      <w:r w:rsidR="001F4CB0">
        <w:t xml:space="preserve">GHG </w:t>
      </w:r>
      <w:r>
        <w:t xml:space="preserve">emissions profile </w:t>
      </w:r>
      <w:r w:rsidR="00806D66">
        <w:t>for waste managed in Victoria was</w:t>
      </w:r>
      <w:r>
        <w:t xml:space="preserve"> significantly different to the </w:t>
      </w:r>
      <w:r w:rsidR="001F4CB0">
        <w:t xml:space="preserve">GHG </w:t>
      </w:r>
      <w:r>
        <w:t>emissions profile for waste generated in Victoria. The most significant differences i</w:t>
      </w:r>
      <w:r w:rsidR="00806D66">
        <w:t>n the waste generation profile we</w:t>
      </w:r>
      <w:r>
        <w:t>re:</w:t>
      </w:r>
    </w:p>
    <w:p w14:paraId="3CA54F28" w14:textId="0B3B5E5C" w:rsidR="007D0BA6" w:rsidRDefault="00730C33" w:rsidP="007D0BA6">
      <w:pPr>
        <w:pStyle w:val="ListBullet"/>
      </w:pPr>
      <w:r>
        <w:t>M</w:t>
      </w:r>
      <w:r w:rsidR="007D0BA6">
        <w:t xml:space="preserve">uch higher emissions </w:t>
      </w:r>
      <w:r w:rsidR="00C440A8">
        <w:t>from</w:t>
      </w:r>
      <w:r w:rsidR="001F4CB0">
        <w:t xml:space="preserve"> the processing of paper/</w:t>
      </w:r>
      <w:r w:rsidR="007D0BA6">
        <w:t>cardboard and aluminium recycling</w:t>
      </w:r>
    </w:p>
    <w:p w14:paraId="2CDA7CE9" w14:textId="07DD03B7" w:rsidR="007D0BA6" w:rsidRDefault="007D0BA6" w:rsidP="007D0BA6">
      <w:pPr>
        <w:pStyle w:val="ListBullet"/>
      </w:pPr>
      <w:r>
        <w:t xml:space="preserve">much higher emission offsets </w:t>
      </w:r>
      <w:r w:rsidR="00C440A8">
        <w:t>from</w:t>
      </w:r>
      <w:r>
        <w:t xml:space="preserve"> the recycling of alumi</w:t>
      </w:r>
      <w:r w:rsidR="000817BB">
        <w:t xml:space="preserve">nium, </w:t>
      </w:r>
      <w:r w:rsidR="001F4CB0">
        <w:t>paper/</w:t>
      </w:r>
      <w:r>
        <w:t xml:space="preserve">cardboard and steel. </w:t>
      </w:r>
    </w:p>
    <w:p w14:paraId="54F6C624" w14:textId="0DC50F08" w:rsidR="007D0BA6" w:rsidRDefault="007D0BA6" w:rsidP="007D0BA6">
      <w:pPr>
        <w:spacing w:after="53"/>
        <w:ind w:left="9" w:right="14"/>
      </w:pPr>
      <w:r>
        <w:t>The foll</w:t>
      </w:r>
      <w:r w:rsidR="000817BB">
        <w:t>owing observations are made for</w:t>
      </w:r>
      <w:r>
        <w:t xml:space="preserve"> waste managed in Victoria:</w:t>
      </w:r>
    </w:p>
    <w:p w14:paraId="1A1C4891" w14:textId="0FDAF2BA" w:rsidR="007D0BA6" w:rsidRDefault="00F4323A" w:rsidP="007D0BA6">
      <w:pPr>
        <w:pStyle w:val="ListBullet"/>
      </w:pPr>
      <w:r>
        <w:t>Figure 2(</w:t>
      </w:r>
      <w:r w:rsidR="007D0BA6">
        <w:t>A</w:t>
      </w:r>
      <w:r>
        <w:t>)</w:t>
      </w:r>
      <w:r w:rsidR="007D0BA6">
        <w:t xml:space="preserve"> illus</w:t>
      </w:r>
      <w:r w:rsidR="00806D66">
        <w:t>trates that licenced landfills were</w:t>
      </w:r>
      <w:r w:rsidR="007D0BA6">
        <w:t xml:space="preserve"> the largest emitter of GHG</w:t>
      </w:r>
      <w:r w:rsidR="00AE2FBD">
        <w:t xml:space="preserve"> emissions</w:t>
      </w:r>
      <w:r w:rsidR="007D0BA6">
        <w:t xml:space="preserve"> from the operation of the site</w:t>
      </w:r>
      <w:r w:rsidR="006D43FD">
        <w:t xml:space="preserve"> and transport of wastes to </w:t>
      </w:r>
      <w:r w:rsidR="007D0BA6">
        <w:t>sites. It is more than double the next hig</w:t>
      </w:r>
      <w:r w:rsidR="006D43FD">
        <w:t>hest emitter which is paper/</w:t>
      </w:r>
      <w:r w:rsidR="007D0BA6">
        <w:t xml:space="preserve">cardboard infrastructure.  </w:t>
      </w:r>
    </w:p>
    <w:p w14:paraId="4A18B552" w14:textId="6091C98E" w:rsidR="007D0BA6" w:rsidRDefault="007D0BA6" w:rsidP="007D0BA6">
      <w:pPr>
        <w:pStyle w:val="ListBullet"/>
      </w:pPr>
      <w:r>
        <w:t xml:space="preserve">Once electricity consumption is </w:t>
      </w:r>
      <w:r w:rsidR="00AE2FBD">
        <w:t>considered</w:t>
      </w:r>
      <w:r>
        <w:t xml:space="preserve"> (scope 1</w:t>
      </w:r>
      <w:r w:rsidR="008F176E">
        <w:t xml:space="preserve"> and </w:t>
      </w:r>
      <w:r>
        <w:t>2) the largest emitter of GHG</w:t>
      </w:r>
      <w:r w:rsidR="00AE2FBD">
        <w:t xml:space="preserve"> emissions</w:t>
      </w:r>
      <w:r w:rsidR="00806D66">
        <w:t xml:space="preserve"> wa</w:t>
      </w:r>
      <w:r>
        <w:t xml:space="preserve">s steel recycling infrastructure. Significant tonnages of steel are still recycled in Victoria, which explains the high result for steel recycling. As illustrated in </w:t>
      </w:r>
      <w:r w:rsidRPr="001F4CB0">
        <w:t>Figure 3,</w:t>
      </w:r>
      <w:r>
        <w:t xml:space="preserve"> aluminium and pape</w:t>
      </w:r>
      <w:r w:rsidR="00AE2FBD">
        <w:t>r/</w:t>
      </w:r>
      <w:r>
        <w:t xml:space="preserve">cardboard have higher </w:t>
      </w:r>
      <w:r w:rsidR="00F4323A">
        <w:t xml:space="preserve">GHG </w:t>
      </w:r>
      <w:r>
        <w:t>emission</w:t>
      </w:r>
      <w:r w:rsidR="00F4323A">
        <w:t>s</w:t>
      </w:r>
      <w:r>
        <w:t xml:space="preserve"> per tonne of recovery than steel. However, beca</w:t>
      </w:r>
      <w:r w:rsidR="00AE2FBD">
        <w:t>use most aluminium and paper/</w:t>
      </w:r>
      <w:r w:rsidR="00806D66">
        <w:t>cardboard we</w:t>
      </w:r>
      <w:r>
        <w:t>re sent interstate or overseas for processing lower emissions are reported.</w:t>
      </w:r>
    </w:p>
    <w:p w14:paraId="30F0F20B" w14:textId="74ACA1BC" w:rsidR="007D0BA6" w:rsidRDefault="00F4323A" w:rsidP="007D0BA6">
      <w:pPr>
        <w:pStyle w:val="ListBullet"/>
      </w:pPr>
      <w:r>
        <w:t>Figure 2(</w:t>
      </w:r>
      <w:r w:rsidR="007D0BA6">
        <w:t>C</w:t>
      </w:r>
      <w:r>
        <w:t>)</w:t>
      </w:r>
      <w:r w:rsidR="007D0BA6">
        <w:t xml:space="preserve"> illustrates that once recycling offset are included (scope 1-3)</w:t>
      </w:r>
      <w:r w:rsidR="001F4CB0">
        <w:t>,</w:t>
      </w:r>
      <w:r w:rsidR="007D0BA6">
        <w:t xml:space="preserve"> steel infrastructure shifts from the largest emitter of GHG</w:t>
      </w:r>
      <w:r w:rsidR="00AE2FBD">
        <w:t xml:space="preserve"> emissions</w:t>
      </w:r>
      <w:r w:rsidR="007D0BA6">
        <w:t xml:space="preserve"> to the largest GHG ‘sink’. This is not to say opportunities do not exi</w:t>
      </w:r>
      <w:r w:rsidR="001F4CB0">
        <w:t>s</w:t>
      </w:r>
      <w:r w:rsidR="007D0BA6">
        <w:t>t to improve steel recycling efficiency. Indeed, with commodity prices remaining at sustained lows, the steel recycling industry may be interested in reducing their operating costs by r</w:t>
      </w:r>
      <w:r w:rsidR="001F4CB0">
        <w:t>educing electricity</w:t>
      </w:r>
      <w:r w:rsidR="007D0BA6">
        <w:t xml:space="preserve"> consumption and in</w:t>
      </w:r>
      <w:r w:rsidR="008F176E">
        <w:t xml:space="preserve"> </w:t>
      </w:r>
      <w:r w:rsidR="007D0BA6">
        <w:t>turn</w:t>
      </w:r>
      <w:r w:rsidR="008F176E">
        <w:t>,</w:t>
      </w:r>
      <w:r w:rsidR="007D0BA6">
        <w:t xml:space="preserve"> their GHG emissions.</w:t>
      </w:r>
    </w:p>
    <w:p w14:paraId="60D6B33B" w14:textId="3CC3CD24" w:rsidR="001F4CB0" w:rsidRDefault="007D0BA6" w:rsidP="000459A0">
      <w:pPr>
        <w:pStyle w:val="ListBullet"/>
        <w:spacing w:after="0"/>
      </w:pPr>
      <w:r>
        <w:t>When c</w:t>
      </w:r>
      <w:r w:rsidR="001F4CB0">
        <w:t xml:space="preserve">onsidering scope 1-3 </w:t>
      </w:r>
      <w:r w:rsidR="00C440A8">
        <w:t xml:space="preserve">emissions: </w:t>
      </w:r>
    </w:p>
    <w:p w14:paraId="778EEA4F" w14:textId="779F475A" w:rsidR="001F4CB0" w:rsidRDefault="008F176E" w:rsidP="001F4CB0">
      <w:pPr>
        <w:pStyle w:val="ListBullet2"/>
      </w:pPr>
      <w:r>
        <w:t>l</w:t>
      </w:r>
      <w:r w:rsidR="007D0BA6">
        <w:t>icensed landfills are the largest GHG emitter</w:t>
      </w:r>
      <w:r w:rsidR="001F4CB0">
        <w:t>s</w:t>
      </w:r>
    </w:p>
    <w:p w14:paraId="13E97E26" w14:textId="763240A8" w:rsidR="001F4CB0" w:rsidRDefault="001F4CB0" w:rsidP="001F4CB0">
      <w:pPr>
        <w:pStyle w:val="ListBullet2"/>
      </w:pPr>
      <w:r w:rsidRPr="001F4CB0">
        <w:t>M</w:t>
      </w:r>
      <w:r w:rsidR="007D0BA6" w:rsidRPr="001F4CB0">
        <w:t>RFs are the second</w:t>
      </w:r>
      <w:r w:rsidR="007D0BA6">
        <w:t xml:space="preserve"> largest emitter</w:t>
      </w:r>
      <w:r w:rsidR="000459A0">
        <w:t>s</w:t>
      </w:r>
    </w:p>
    <w:p w14:paraId="26824F03" w14:textId="5B7B6F1F" w:rsidR="007D0BA6" w:rsidRDefault="008F176E" w:rsidP="001F4CB0">
      <w:pPr>
        <w:pStyle w:val="ListBullet2"/>
      </w:pPr>
      <w:r>
        <w:t>p</w:t>
      </w:r>
      <w:r w:rsidR="00AE2FBD">
        <w:t>aper/</w:t>
      </w:r>
      <w:r w:rsidR="007D0BA6">
        <w:t>cardbo</w:t>
      </w:r>
      <w:r w:rsidR="00AE2FBD">
        <w:t>ard recycling infrastructure is</w:t>
      </w:r>
      <w:r w:rsidR="007D0BA6">
        <w:t xml:space="preserve"> the</w:t>
      </w:r>
      <w:r w:rsidR="00AE2FBD">
        <w:t xml:space="preserve"> third most significant emitter</w:t>
      </w:r>
      <w:r w:rsidR="007D0BA6">
        <w:t>.</w:t>
      </w:r>
    </w:p>
    <w:p w14:paraId="03502892" w14:textId="77777777" w:rsidR="007D0BA6" w:rsidRDefault="007D0BA6">
      <w:pPr>
        <w:spacing w:after="0" w:line="240" w:lineRule="auto"/>
        <w:rPr>
          <w:color w:val="82C341" w:themeColor="background1"/>
        </w:rPr>
      </w:pPr>
      <w:r>
        <w:br w:type="page"/>
      </w:r>
    </w:p>
    <w:p w14:paraId="641B8CC3" w14:textId="5969BB8D" w:rsidR="007D0BA6" w:rsidRDefault="007D0BA6" w:rsidP="007D0BA6">
      <w:pPr>
        <w:pStyle w:val="FigureCaption"/>
      </w:pPr>
      <w:r w:rsidRPr="007D0BA6">
        <w:lastRenderedPageBreak/>
        <w:t>FIGURE 2</w:t>
      </w:r>
      <w:r w:rsidR="00D22855">
        <w:t xml:space="preserve">: Overall emissions profile (tonnes </w:t>
      </w:r>
      <w:r w:rsidRPr="007D0BA6">
        <w:t>CO</w:t>
      </w:r>
      <w:r w:rsidRPr="00D22855">
        <w:rPr>
          <w:vertAlign w:val="subscript"/>
        </w:rPr>
        <w:t>2</w:t>
      </w:r>
      <w:r w:rsidR="00D22855">
        <w:t>-e</w:t>
      </w:r>
      <w:r w:rsidRPr="007D0BA6">
        <w:t xml:space="preserve">) </w:t>
      </w:r>
      <w:r w:rsidR="00D22855">
        <w:t>for waste managing in Victoria 2014-15</w:t>
      </w:r>
      <w:r w:rsidRPr="007D0BA6">
        <w:t xml:space="preserve"> (A): SCOPE 1 (B): SC</w:t>
      </w:r>
      <w:r w:rsidR="006B6977">
        <w:t>OPE 1&amp;2 (C): SCOPE 1,</w:t>
      </w:r>
      <w:r w:rsidRPr="007D0BA6">
        <w:t>2&amp;3</w:t>
      </w:r>
    </w:p>
    <w:p w14:paraId="11534993" w14:textId="04389081" w:rsidR="007D0BA6" w:rsidRPr="007D0BA6" w:rsidRDefault="007D0BA6" w:rsidP="007D0BA6">
      <w:pPr>
        <w:rPr>
          <w:b/>
          <w:color w:val="82C341" w:themeColor="background1"/>
        </w:rPr>
      </w:pPr>
      <w:r w:rsidRPr="007D0BA6">
        <w:rPr>
          <w:b/>
          <w:color w:val="82C341" w:themeColor="background1"/>
        </w:rPr>
        <w:t>(A)</w:t>
      </w:r>
    </w:p>
    <w:p w14:paraId="6D5E562E" w14:textId="6234B10D" w:rsidR="007D0BA6" w:rsidRDefault="007D0BA6" w:rsidP="00E35C57">
      <w:r>
        <w:rPr>
          <w:noProof/>
          <w:lang w:eastAsia="en-AU"/>
        </w:rPr>
        <w:drawing>
          <wp:inline distT="0" distB="0" distL="0" distR="0" wp14:anchorId="709C8B9B" wp14:editId="45379602">
            <wp:extent cx="4932045" cy="2325544"/>
            <wp:effectExtent l="0" t="0" r="1905" b="0"/>
            <wp:docPr id="46242" name="Picture 46242"/>
            <wp:cNvGraphicFramePr/>
            <a:graphic xmlns:a="http://schemas.openxmlformats.org/drawingml/2006/main">
              <a:graphicData uri="http://schemas.openxmlformats.org/drawingml/2006/picture">
                <pic:pic xmlns:pic="http://schemas.openxmlformats.org/drawingml/2006/picture">
                  <pic:nvPicPr>
                    <pic:cNvPr id="46242" name="Picture 46242"/>
                    <pic:cNvPicPr/>
                  </pic:nvPicPr>
                  <pic:blipFill>
                    <a:blip r:embed="rId34"/>
                    <a:stretch>
                      <a:fillRect/>
                    </a:stretch>
                  </pic:blipFill>
                  <pic:spPr>
                    <a:xfrm>
                      <a:off x="0" y="0"/>
                      <a:ext cx="4932045" cy="2325544"/>
                    </a:xfrm>
                    <a:prstGeom prst="rect">
                      <a:avLst/>
                    </a:prstGeom>
                  </pic:spPr>
                </pic:pic>
              </a:graphicData>
            </a:graphic>
          </wp:inline>
        </w:drawing>
      </w:r>
    </w:p>
    <w:p w14:paraId="1A7925B4" w14:textId="2C1F292B" w:rsidR="007D0BA6" w:rsidRDefault="007D0BA6" w:rsidP="00E35C57"/>
    <w:p w14:paraId="427B2452" w14:textId="2EE33B26" w:rsidR="007D0BA6" w:rsidRPr="007D0BA6" w:rsidRDefault="007D0BA6" w:rsidP="00E35C57">
      <w:pPr>
        <w:rPr>
          <w:b/>
          <w:color w:val="82C341" w:themeColor="background1"/>
        </w:rPr>
      </w:pPr>
      <w:r w:rsidRPr="007D0BA6">
        <w:rPr>
          <w:b/>
          <w:color w:val="82C341" w:themeColor="background1"/>
        </w:rPr>
        <w:t>(B)</w:t>
      </w:r>
    </w:p>
    <w:p w14:paraId="14834E8E" w14:textId="1C4E9B83" w:rsidR="007D0BA6" w:rsidRDefault="007D0BA6" w:rsidP="00E35C57"/>
    <w:p w14:paraId="0EB0A425" w14:textId="176430ED" w:rsidR="007D0BA6" w:rsidRDefault="007D0BA6" w:rsidP="00E35C57">
      <w:r>
        <w:rPr>
          <w:noProof/>
          <w:lang w:eastAsia="en-AU"/>
        </w:rPr>
        <w:drawing>
          <wp:inline distT="0" distB="0" distL="0" distR="0" wp14:anchorId="79B5B702" wp14:editId="62FA794E">
            <wp:extent cx="4932045" cy="2355031"/>
            <wp:effectExtent l="0" t="0" r="1905" b="7620"/>
            <wp:docPr id="46243" name="Picture 46243"/>
            <wp:cNvGraphicFramePr/>
            <a:graphic xmlns:a="http://schemas.openxmlformats.org/drawingml/2006/main">
              <a:graphicData uri="http://schemas.openxmlformats.org/drawingml/2006/picture">
                <pic:pic xmlns:pic="http://schemas.openxmlformats.org/drawingml/2006/picture">
                  <pic:nvPicPr>
                    <pic:cNvPr id="46243" name="Picture 46243"/>
                    <pic:cNvPicPr/>
                  </pic:nvPicPr>
                  <pic:blipFill>
                    <a:blip r:embed="rId35"/>
                    <a:stretch>
                      <a:fillRect/>
                    </a:stretch>
                  </pic:blipFill>
                  <pic:spPr>
                    <a:xfrm>
                      <a:off x="0" y="0"/>
                      <a:ext cx="4932045" cy="2355031"/>
                    </a:xfrm>
                    <a:prstGeom prst="rect">
                      <a:avLst/>
                    </a:prstGeom>
                  </pic:spPr>
                </pic:pic>
              </a:graphicData>
            </a:graphic>
          </wp:inline>
        </w:drawing>
      </w:r>
    </w:p>
    <w:p w14:paraId="5B85A514" w14:textId="77777777" w:rsidR="007D0BA6" w:rsidRDefault="007D0BA6" w:rsidP="00E35C57"/>
    <w:p w14:paraId="65D8B8B4" w14:textId="72C339DB" w:rsidR="007D0BA6" w:rsidRPr="007D0BA6" w:rsidRDefault="007D0BA6" w:rsidP="00E35C57">
      <w:pPr>
        <w:rPr>
          <w:b/>
          <w:color w:val="82C341" w:themeColor="background1"/>
        </w:rPr>
      </w:pPr>
      <w:r w:rsidRPr="007D0BA6">
        <w:rPr>
          <w:b/>
          <w:color w:val="82C341" w:themeColor="background1"/>
        </w:rPr>
        <w:t>(C)</w:t>
      </w:r>
    </w:p>
    <w:p w14:paraId="31C7FB19" w14:textId="4F26A52F" w:rsidR="007D0BA6" w:rsidRDefault="007D0BA6" w:rsidP="00E35C57">
      <w:r>
        <w:rPr>
          <w:noProof/>
          <w:lang w:eastAsia="en-AU"/>
        </w:rPr>
        <w:drawing>
          <wp:inline distT="0" distB="0" distL="0" distR="0" wp14:anchorId="189BEE0B" wp14:editId="7664FE95">
            <wp:extent cx="4932045" cy="2169366"/>
            <wp:effectExtent l="0" t="0" r="1905" b="2540"/>
            <wp:docPr id="46244" name="Picture 46244"/>
            <wp:cNvGraphicFramePr/>
            <a:graphic xmlns:a="http://schemas.openxmlformats.org/drawingml/2006/main">
              <a:graphicData uri="http://schemas.openxmlformats.org/drawingml/2006/picture">
                <pic:pic xmlns:pic="http://schemas.openxmlformats.org/drawingml/2006/picture">
                  <pic:nvPicPr>
                    <pic:cNvPr id="46244" name="Picture 46244"/>
                    <pic:cNvPicPr/>
                  </pic:nvPicPr>
                  <pic:blipFill>
                    <a:blip r:embed="rId36"/>
                    <a:stretch>
                      <a:fillRect/>
                    </a:stretch>
                  </pic:blipFill>
                  <pic:spPr>
                    <a:xfrm>
                      <a:off x="0" y="0"/>
                      <a:ext cx="4932045" cy="2169366"/>
                    </a:xfrm>
                    <a:prstGeom prst="rect">
                      <a:avLst/>
                    </a:prstGeom>
                  </pic:spPr>
                </pic:pic>
              </a:graphicData>
            </a:graphic>
          </wp:inline>
        </w:drawing>
      </w:r>
    </w:p>
    <w:p w14:paraId="45FEA21B" w14:textId="2CF63C21" w:rsidR="00D26762" w:rsidRDefault="00D26762" w:rsidP="00D26762">
      <w:pPr>
        <w:pStyle w:val="Heading1Numbered"/>
      </w:pPr>
      <w:bookmarkStart w:id="19" w:name="_Toc16499291"/>
      <w:r>
        <w:lastRenderedPageBreak/>
        <w:t>Resource recovery and disposal infrastructure emissions</w:t>
      </w:r>
      <w:bookmarkEnd w:id="19"/>
      <w:r>
        <w:t xml:space="preserve"> </w:t>
      </w:r>
    </w:p>
    <w:p w14:paraId="7C2A1E14" w14:textId="519A6DD0" w:rsidR="00D26762" w:rsidRDefault="003373A3" w:rsidP="00D26762">
      <w:r>
        <w:t>The following</w:t>
      </w:r>
      <w:r w:rsidR="00D26762">
        <w:t xml:space="preserve"> details the </w:t>
      </w:r>
      <w:r w:rsidR="00F4323A">
        <w:t xml:space="preserve">GHG </w:t>
      </w:r>
      <w:r w:rsidR="00D26762">
        <w:t xml:space="preserve">emissions from resource recovery processes (recycling and energy recovery) and disposal for Victoria in 2014-15. </w:t>
      </w:r>
    </w:p>
    <w:p w14:paraId="76D0CDCA" w14:textId="47304A2F" w:rsidR="00D26762" w:rsidRDefault="00D26762" w:rsidP="00D26762">
      <w:r>
        <w:t xml:space="preserve">This focuses on emissions from operating the infrastructure; hence, it excludes all transport data including national transport from scope 1 emissions data. </w:t>
      </w:r>
    </w:p>
    <w:p w14:paraId="4373A735" w14:textId="576E5B2E" w:rsidR="00D26762" w:rsidRDefault="00D26762" w:rsidP="00D26762">
      <w:pPr>
        <w:pStyle w:val="Heading2Numbered"/>
      </w:pPr>
      <w:r>
        <w:t>Emissions from infrastructur</w:t>
      </w:r>
      <w:r w:rsidR="003373A3">
        <w:t>e per tonne of waste received (k</w:t>
      </w:r>
      <w:r>
        <w:t>g CO</w:t>
      </w:r>
      <w:r w:rsidRPr="003373A3">
        <w:rPr>
          <w:vertAlign w:val="subscript"/>
        </w:rPr>
        <w:t>2</w:t>
      </w:r>
      <w:r>
        <w:t>-e / t)</w:t>
      </w:r>
    </w:p>
    <w:p w14:paraId="46E27A97" w14:textId="33B81506" w:rsidR="00D26762" w:rsidRDefault="00D26762" w:rsidP="00D26762">
      <w:r>
        <w:t xml:space="preserve">Figure 3 details </w:t>
      </w:r>
      <w:r w:rsidR="00F4323A">
        <w:t>the GHG emissions for each</w:t>
      </w:r>
      <w:r>
        <w:t xml:space="preserve"> infrastructure type for each tonne of waste received.  The results include </w:t>
      </w:r>
      <w:r w:rsidR="00F4323A">
        <w:t xml:space="preserve">GHG </w:t>
      </w:r>
      <w:r>
        <w:t xml:space="preserve">emissions resulting directly from the </w:t>
      </w:r>
      <w:r w:rsidR="00F4323A">
        <w:t xml:space="preserve">operation of the </w:t>
      </w:r>
      <w:r>
        <w:t>facilities (scope 1</w:t>
      </w:r>
      <w:r w:rsidR="00806D66">
        <w:t xml:space="preserve"> and 2</w:t>
      </w:r>
      <w:r>
        <w:t xml:space="preserve"> emissions)</w:t>
      </w:r>
      <w:r w:rsidR="00806D66">
        <w:t>.</w:t>
      </w:r>
    </w:p>
    <w:p w14:paraId="21DD9BA4" w14:textId="60D01C30" w:rsidR="00F4323A" w:rsidRDefault="00D26762" w:rsidP="00D26762">
      <w:r>
        <w:t>Figu</w:t>
      </w:r>
      <w:r w:rsidR="005068BC">
        <w:t>re 3 illustrates that:</w:t>
      </w:r>
    </w:p>
    <w:p w14:paraId="5B5B9985" w14:textId="768CE1F8" w:rsidR="00F4323A" w:rsidRDefault="00806D66" w:rsidP="00D26762">
      <w:pPr>
        <w:pStyle w:val="ListBullet"/>
      </w:pPr>
      <w:r>
        <w:t xml:space="preserve">Unlicensed landfills had </w:t>
      </w:r>
      <w:r w:rsidR="00D26762">
        <w:t>the highest emissions per tonne of waste received</w:t>
      </w:r>
      <w:r w:rsidR="00F4323A">
        <w:t>,</w:t>
      </w:r>
      <w:r w:rsidR="00D26762">
        <w:t xml:space="preserve"> due to a </w:t>
      </w:r>
      <w:r w:rsidR="00F4323A">
        <w:t xml:space="preserve">general </w:t>
      </w:r>
      <w:r w:rsidR="00D26762">
        <w:t>lack of gas recovery and combustion, resulting in high me</w:t>
      </w:r>
      <w:r w:rsidR="00F4323A">
        <w:t>thane emission rates per tonne</w:t>
      </w:r>
      <w:r w:rsidR="008F176E">
        <w:t>.</w:t>
      </w:r>
    </w:p>
    <w:p w14:paraId="0FD8B035" w14:textId="21ABF426" w:rsidR="00F4323A" w:rsidRDefault="00806D66" w:rsidP="00D26762">
      <w:pPr>
        <w:pStyle w:val="ListBullet"/>
      </w:pPr>
      <w:r>
        <w:t>E</w:t>
      </w:r>
      <w:r w:rsidR="00F4323A">
        <w:t>missions from aluminium and paper/</w:t>
      </w:r>
      <w:r>
        <w:t>cardboard recycling we</w:t>
      </w:r>
      <w:r w:rsidR="00D26762">
        <w:t>re a both a close second.</w:t>
      </w:r>
      <w:r>
        <w:t xml:space="preserve"> Aluminium recycling emissions we</w:t>
      </w:r>
      <w:r w:rsidR="00D26762">
        <w:t xml:space="preserve">re mostly associated with gas use onsite and some power consumption. </w:t>
      </w:r>
      <w:r w:rsidR="00CF5BD4">
        <w:t>Paper/</w:t>
      </w:r>
      <w:r>
        <w:t>cardboard recycling emissions we</w:t>
      </w:r>
      <w:r w:rsidR="00D26762">
        <w:t>re more evenly associated with power co</w:t>
      </w:r>
      <w:r w:rsidR="00F4323A">
        <w:t>nsumption and onsite emissions</w:t>
      </w:r>
      <w:r w:rsidR="00891201">
        <w:t>.</w:t>
      </w:r>
    </w:p>
    <w:p w14:paraId="0B272F25" w14:textId="32E4A244" w:rsidR="003373A3" w:rsidRDefault="00806D66" w:rsidP="00D26762">
      <w:pPr>
        <w:pStyle w:val="ListBullet"/>
      </w:pPr>
      <w:r>
        <w:t>S</w:t>
      </w:r>
      <w:r w:rsidR="00D26762">
        <w:t xml:space="preserve">teel and plastic recycling emissions </w:t>
      </w:r>
      <w:r>
        <w:t>we</w:t>
      </w:r>
      <w:r w:rsidR="00D26762">
        <w:t>re dominated by emissions resulting from electricity consumption</w:t>
      </w:r>
      <w:r w:rsidR="00CF5BD4">
        <w:t>.</w:t>
      </w:r>
    </w:p>
    <w:p w14:paraId="0BD1CAF3" w14:textId="5BE45BFA" w:rsidR="003373A3" w:rsidRDefault="003373A3" w:rsidP="003373A3">
      <w:pPr>
        <w:pStyle w:val="FigureCaption"/>
      </w:pPr>
      <w:r>
        <w:t>FIGURE 3: E</w:t>
      </w:r>
      <w:r w:rsidR="00D22855">
        <w:t>missions from infrastructure per tonne of waste received (k</w:t>
      </w:r>
      <w:r>
        <w:t>g CO</w:t>
      </w:r>
      <w:r>
        <w:rPr>
          <w:sz w:val="14"/>
          <w:vertAlign w:val="subscript"/>
        </w:rPr>
        <w:t>2</w:t>
      </w:r>
      <w:r>
        <w:t xml:space="preserve">-e / </w:t>
      </w:r>
      <w:r w:rsidR="00D22855">
        <w:t>t of waste)</w:t>
      </w:r>
    </w:p>
    <w:p w14:paraId="55C75E18" w14:textId="41307680" w:rsidR="003373A3" w:rsidRDefault="003373A3" w:rsidP="00D26762">
      <w:r>
        <w:rPr>
          <w:noProof/>
          <w:lang w:eastAsia="en-AU"/>
        </w:rPr>
        <w:drawing>
          <wp:inline distT="0" distB="0" distL="0" distR="0" wp14:anchorId="7B3EE55D" wp14:editId="23FC01F8">
            <wp:extent cx="4932045" cy="2242811"/>
            <wp:effectExtent l="0" t="0" r="1905" b="5715"/>
            <wp:docPr id="46245" name="Picture 46245"/>
            <wp:cNvGraphicFramePr/>
            <a:graphic xmlns:a="http://schemas.openxmlformats.org/drawingml/2006/main">
              <a:graphicData uri="http://schemas.openxmlformats.org/drawingml/2006/picture">
                <pic:pic xmlns:pic="http://schemas.openxmlformats.org/drawingml/2006/picture">
                  <pic:nvPicPr>
                    <pic:cNvPr id="46245" name="Picture 46245"/>
                    <pic:cNvPicPr/>
                  </pic:nvPicPr>
                  <pic:blipFill>
                    <a:blip r:embed="rId37"/>
                    <a:stretch>
                      <a:fillRect/>
                    </a:stretch>
                  </pic:blipFill>
                  <pic:spPr>
                    <a:xfrm>
                      <a:off x="0" y="0"/>
                      <a:ext cx="4932045" cy="2242811"/>
                    </a:xfrm>
                    <a:prstGeom prst="rect">
                      <a:avLst/>
                    </a:prstGeom>
                  </pic:spPr>
                </pic:pic>
              </a:graphicData>
            </a:graphic>
          </wp:inline>
        </w:drawing>
      </w:r>
    </w:p>
    <w:p w14:paraId="5271C632" w14:textId="77777777" w:rsidR="003373A3" w:rsidRDefault="003373A3" w:rsidP="00D26762"/>
    <w:p w14:paraId="2AEF3D4C" w14:textId="7E299D3E" w:rsidR="00D2190A" w:rsidRDefault="00D2190A" w:rsidP="00D2190A">
      <w:pPr>
        <w:pStyle w:val="Heading2Numbered"/>
      </w:pPr>
      <w:r>
        <w:t xml:space="preserve">Total </w:t>
      </w:r>
      <w:r w:rsidR="00FC0B0F">
        <w:t xml:space="preserve">scope 1 and 2 </w:t>
      </w:r>
      <w:r>
        <w:t>emissions fro</w:t>
      </w:r>
      <w:r w:rsidR="00A760FE">
        <w:t>m infrastructure</w:t>
      </w:r>
      <w:r w:rsidR="00C22FAF">
        <w:t xml:space="preserve"> </w:t>
      </w:r>
      <w:r>
        <w:t>(tonnes CO</w:t>
      </w:r>
      <w:r w:rsidRPr="00CF5BD4">
        <w:rPr>
          <w:vertAlign w:val="subscript"/>
        </w:rPr>
        <w:t>2</w:t>
      </w:r>
      <w:r>
        <w:t>-e)</w:t>
      </w:r>
    </w:p>
    <w:p w14:paraId="370F5F08" w14:textId="64B037EC" w:rsidR="00D2190A" w:rsidRDefault="00D2190A" w:rsidP="00D2190A">
      <w:r>
        <w:t>Figure 4 details the total GHG emissions for each infrastructure type</w:t>
      </w:r>
      <w:r w:rsidR="00891201">
        <w:t>,</w:t>
      </w:r>
      <w:r>
        <w:t xml:space="preserve"> for the total tonnages of waste received in 2014-15. The results include </w:t>
      </w:r>
      <w:r w:rsidR="005068BC">
        <w:t xml:space="preserve">GHG </w:t>
      </w:r>
      <w:r>
        <w:t>emissions resulting directly from the resource recovery or disposa</w:t>
      </w:r>
      <w:r w:rsidR="005068BC">
        <w:t>l</w:t>
      </w:r>
      <w:r w:rsidR="00806D66">
        <w:t xml:space="preserve"> facilities (scope 1 emissions, </w:t>
      </w:r>
      <w:r w:rsidR="005068BC">
        <w:t xml:space="preserve">including </w:t>
      </w:r>
      <w:r>
        <w:t xml:space="preserve">landfill gas emissions) and </w:t>
      </w:r>
      <w:r w:rsidR="005068BC">
        <w:t>scope 2</w:t>
      </w:r>
      <w:r w:rsidR="00806D66">
        <w:t xml:space="preserve"> emissions</w:t>
      </w:r>
      <w:r>
        <w:t>.</w:t>
      </w:r>
    </w:p>
    <w:p w14:paraId="63BD8840" w14:textId="695D40A8" w:rsidR="00D2190A" w:rsidRDefault="00D2190A" w:rsidP="00D2190A">
      <w:r>
        <w:t>Figure 4 results hav</w:t>
      </w:r>
      <w:r w:rsidR="005068BC">
        <w:t>e some similarities to Figure 2(B)</w:t>
      </w:r>
      <w:r>
        <w:t xml:space="preserve"> which illustrates that the transport emissions (exc</w:t>
      </w:r>
      <w:r w:rsidR="00A320E2">
        <w:t>luded from Figure 4) we</w:t>
      </w:r>
      <w:r>
        <w:t xml:space="preserve">re not very significant for most of the infrastructure types (with the exceptions of </w:t>
      </w:r>
      <w:r w:rsidR="00CF5BD4">
        <w:t>RRCs</w:t>
      </w:r>
      <w:r w:rsidRPr="00CF5BD4">
        <w:t>, MRFs</w:t>
      </w:r>
      <w:r w:rsidR="00CF5BD4">
        <w:t xml:space="preserve"> and paper/</w:t>
      </w:r>
      <w:r>
        <w:t>cardboard</w:t>
      </w:r>
      <w:r w:rsidR="005068BC">
        <w:t xml:space="preserve"> recycling</w:t>
      </w:r>
      <w:r>
        <w:t xml:space="preserve">). </w:t>
      </w:r>
    </w:p>
    <w:p w14:paraId="3CDFE70D" w14:textId="3E8D975B" w:rsidR="00D22855" w:rsidRDefault="00D2190A" w:rsidP="00D2190A">
      <w:r>
        <w:lastRenderedPageBreak/>
        <w:t xml:space="preserve">The largest gross emitter of GHG emissions (from infrastructure operations) </w:t>
      </w:r>
      <w:r w:rsidR="00A320E2">
        <w:t>wa</w:t>
      </w:r>
      <w:r>
        <w:t>s steel recycling infrastructure, followed by licensed landfills, and then (with significantly lower emissions) paper/cardboard, plastic and glass recycling.</w:t>
      </w:r>
    </w:p>
    <w:p w14:paraId="75F0EFDD" w14:textId="5008F350" w:rsidR="00D22855" w:rsidRDefault="00D2190A" w:rsidP="00D2190A">
      <w:pPr>
        <w:pStyle w:val="FigureCaption"/>
      </w:pPr>
      <w:r>
        <w:t xml:space="preserve">FIGURE 4: Total emissions from infrastructure in 2014-15 for waste managed in Victoria (tonnes </w:t>
      </w:r>
      <w:r w:rsidRPr="00D2190A">
        <w:t>CO</w:t>
      </w:r>
      <w:r w:rsidRPr="00D2190A">
        <w:rPr>
          <w:vertAlign w:val="subscript"/>
        </w:rPr>
        <w:t>2</w:t>
      </w:r>
      <w:r>
        <w:t>-e</w:t>
      </w:r>
      <w:r w:rsidRPr="00D2190A">
        <w:t>)</w:t>
      </w:r>
    </w:p>
    <w:p w14:paraId="026B26D2" w14:textId="39E29048" w:rsidR="00D2190A" w:rsidRPr="00D2190A" w:rsidRDefault="00D2190A" w:rsidP="00D2190A">
      <w:r>
        <w:rPr>
          <w:noProof/>
          <w:lang w:eastAsia="en-AU"/>
        </w:rPr>
        <w:drawing>
          <wp:inline distT="0" distB="0" distL="0" distR="0" wp14:anchorId="43C5F066" wp14:editId="7DF39091">
            <wp:extent cx="4932045" cy="3991369"/>
            <wp:effectExtent l="0" t="0" r="1905" b="9525"/>
            <wp:docPr id="46246" name="Picture 46246"/>
            <wp:cNvGraphicFramePr/>
            <a:graphic xmlns:a="http://schemas.openxmlformats.org/drawingml/2006/main">
              <a:graphicData uri="http://schemas.openxmlformats.org/drawingml/2006/picture">
                <pic:pic xmlns:pic="http://schemas.openxmlformats.org/drawingml/2006/picture">
                  <pic:nvPicPr>
                    <pic:cNvPr id="46246" name="Picture 46246"/>
                    <pic:cNvPicPr/>
                  </pic:nvPicPr>
                  <pic:blipFill>
                    <a:blip r:embed="rId38"/>
                    <a:stretch>
                      <a:fillRect/>
                    </a:stretch>
                  </pic:blipFill>
                  <pic:spPr>
                    <a:xfrm>
                      <a:off x="0" y="0"/>
                      <a:ext cx="4932045" cy="3991369"/>
                    </a:xfrm>
                    <a:prstGeom prst="rect">
                      <a:avLst/>
                    </a:prstGeom>
                  </pic:spPr>
                </pic:pic>
              </a:graphicData>
            </a:graphic>
          </wp:inline>
        </w:drawing>
      </w:r>
    </w:p>
    <w:p w14:paraId="7236C140" w14:textId="77777777" w:rsidR="00D22855" w:rsidRDefault="00D22855" w:rsidP="00D26762"/>
    <w:p w14:paraId="429B518D" w14:textId="4D7A6065" w:rsidR="00C22FAF" w:rsidRDefault="00C22FAF" w:rsidP="00C22FAF">
      <w:pPr>
        <w:pStyle w:val="Heading2Numbered"/>
      </w:pPr>
      <w:r>
        <w:t>Total emissions from infrastructure including scope 3 infrastructure emissions (tonnes CO</w:t>
      </w:r>
      <w:r>
        <w:rPr>
          <w:sz w:val="20"/>
          <w:vertAlign w:val="subscript"/>
        </w:rPr>
        <w:t>2</w:t>
      </w:r>
      <w:r>
        <w:t>-e)</w:t>
      </w:r>
    </w:p>
    <w:p w14:paraId="768BE0E5" w14:textId="09461617" w:rsidR="00C22FAF" w:rsidRDefault="00C22FAF" w:rsidP="00C22FAF">
      <w:r w:rsidRPr="00C22FAF">
        <w:t>Figure 5 details the total GHG emissions for each infrastructure type</w:t>
      </w:r>
      <w:r w:rsidR="00891201">
        <w:t>,</w:t>
      </w:r>
      <w:r w:rsidRPr="00C22FAF">
        <w:t xml:space="preserve"> for the total tonnages of waste received at each </w:t>
      </w:r>
      <w:r>
        <w:t>infrastructure type in 2014-</w:t>
      </w:r>
      <w:r w:rsidR="00A320E2">
        <w:t xml:space="preserve">15 for </w:t>
      </w:r>
      <w:r w:rsidRPr="00C22FAF">
        <w:t xml:space="preserve">scope 1 </w:t>
      </w:r>
      <w:r w:rsidR="00847ABF">
        <w:t>and 2 emissions</w:t>
      </w:r>
      <w:r w:rsidRPr="00C22FAF">
        <w:t>. In addition, the results include s</w:t>
      </w:r>
      <w:r w:rsidR="00847ABF">
        <w:t xml:space="preserve">cope 3 infrastructure emissions, taking into consideration </w:t>
      </w:r>
      <w:r w:rsidRPr="00C22FAF">
        <w:t>substitution of recycled materials for virgin materials, substitution of energy from organic waste for fossil fuels, and sequestration of biogenic carbon in soils and landfills</w:t>
      </w:r>
      <w:r w:rsidR="00FC0B0F">
        <w:t>.</w:t>
      </w:r>
    </w:p>
    <w:p w14:paraId="732CC6CF" w14:textId="77777777" w:rsidR="00524A0F" w:rsidRDefault="00524A0F">
      <w:pPr>
        <w:spacing w:after="0" w:line="240" w:lineRule="auto"/>
        <w:rPr>
          <w:color w:val="82C341" w:themeColor="background1"/>
        </w:rPr>
      </w:pPr>
      <w:r>
        <w:br w:type="page"/>
      </w:r>
    </w:p>
    <w:p w14:paraId="2642529A" w14:textId="58B35766" w:rsidR="00FC0B0F" w:rsidRPr="00C22FAF" w:rsidRDefault="00FC0B0F" w:rsidP="00FC0B0F">
      <w:pPr>
        <w:pStyle w:val="FigureCaption"/>
      </w:pPr>
      <w:r w:rsidRPr="00FC0B0F">
        <w:lastRenderedPageBreak/>
        <w:t>FIGURE 5</w:t>
      </w:r>
      <w:r>
        <w:t xml:space="preserve">: Total emissions from infrastructure 2014-15, including scope 3 infrastructure emissions, for waste managed in Victoria (tonnes </w:t>
      </w:r>
      <w:r w:rsidRPr="00D2190A">
        <w:t>CO</w:t>
      </w:r>
      <w:r w:rsidRPr="00D2190A">
        <w:rPr>
          <w:vertAlign w:val="subscript"/>
        </w:rPr>
        <w:t>2</w:t>
      </w:r>
      <w:r>
        <w:t>-e</w:t>
      </w:r>
      <w:r w:rsidRPr="00D2190A">
        <w:t>)</w:t>
      </w:r>
    </w:p>
    <w:p w14:paraId="79109B29" w14:textId="032D8A51" w:rsidR="00FC0B0F" w:rsidRDefault="00FC0B0F" w:rsidP="00D26762">
      <w:r>
        <w:rPr>
          <w:noProof/>
          <w:lang w:eastAsia="en-AU"/>
        </w:rPr>
        <w:drawing>
          <wp:inline distT="0" distB="0" distL="0" distR="0" wp14:anchorId="2D796707" wp14:editId="4104083A">
            <wp:extent cx="4932045" cy="3816235"/>
            <wp:effectExtent l="0" t="0" r="1905" b="0"/>
            <wp:docPr id="46247" name="Picture 46247"/>
            <wp:cNvGraphicFramePr/>
            <a:graphic xmlns:a="http://schemas.openxmlformats.org/drawingml/2006/main">
              <a:graphicData uri="http://schemas.openxmlformats.org/drawingml/2006/picture">
                <pic:pic xmlns:pic="http://schemas.openxmlformats.org/drawingml/2006/picture">
                  <pic:nvPicPr>
                    <pic:cNvPr id="46247" name="Picture 46247"/>
                    <pic:cNvPicPr/>
                  </pic:nvPicPr>
                  <pic:blipFill>
                    <a:blip r:embed="rId39"/>
                    <a:stretch>
                      <a:fillRect/>
                    </a:stretch>
                  </pic:blipFill>
                  <pic:spPr>
                    <a:xfrm>
                      <a:off x="0" y="0"/>
                      <a:ext cx="4932045" cy="3816235"/>
                    </a:xfrm>
                    <a:prstGeom prst="rect">
                      <a:avLst/>
                    </a:prstGeom>
                  </pic:spPr>
                </pic:pic>
              </a:graphicData>
            </a:graphic>
          </wp:inline>
        </w:drawing>
      </w:r>
    </w:p>
    <w:p w14:paraId="426C81FB" w14:textId="77777777" w:rsidR="00FC0B0F" w:rsidRPr="006E1B05" w:rsidRDefault="00FC0B0F" w:rsidP="00FC0B0F">
      <w:pPr>
        <w:rPr>
          <w:i/>
        </w:rPr>
      </w:pPr>
      <w:r w:rsidRPr="006E1B05">
        <w:rPr>
          <w:i/>
        </w:rPr>
        <w:t>Note: negative emissions refer to offsets or sequestration that result in less CO2-e in the atmosphere’</w:t>
      </w:r>
    </w:p>
    <w:p w14:paraId="2175EE37" w14:textId="76BF354F" w:rsidR="00FC0B0F" w:rsidRDefault="00FC0B0F" w:rsidP="00FC0B0F">
      <w:r>
        <w:t>The largest net emitters of GHG emissions (scope 1-3) from infrast</w:t>
      </w:r>
      <w:r w:rsidR="00A320E2">
        <w:t>ructure operations in Victoria we</w:t>
      </w:r>
      <w:r>
        <w:t>re licensed landfills and MRFs followed by paper</w:t>
      </w:r>
      <w:r w:rsidR="00CA534D">
        <w:t>/cardboard</w:t>
      </w:r>
      <w:r>
        <w:t xml:space="preserve"> recycling.</w:t>
      </w:r>
    </w:p>
    <w:p w14:paraId="14097F6D" w14:textId="35C8CE4B" w:rsidR="00FC0B0F" w:rsidRDefault="00FC0B0F" w:rsidP="00FC0B0F">
      <w:pPr>
        <w:pStyle w:val="Heading1Numbered"/>
      </w:pPr>
      <w:bookmarkStart w:id="20" w:name="_Toc16499292"/>
      <w:r w:rsidRPr="00FC0B0F">
        <w:t>Transport emissions from Victorian waste sector</w:t>
      </w:r>
      <w:bookmarkEnd w:id="20"/>
    </w:p>
    <w:p w14:paraId="35D06B2B" w14:textId="66473424" w:rsidR="00FC0B0F" w:rsidRDefault="006E1B05" w:rsidP="00FC0B0F">
      <w:r>
        <w:t>The following</w:t>
      </w:r>
      <w:r w:rsidR="00FC0B0F">
        <w:t xml:space="preserve"> details the emissions from the transport of waste in Victoria in 2014-15 and excludes all emissions from infrastructure operation. </w:t>
      </w:r>
    </w:p>
    <w:p w14:paraId="0BD5FE6C" w14:textId="0ECE6452" w:rsidR="00D22855" w:rsidRDefault="00FC0B0F" w:rsidP="00D26762">
      <w:r>
        <w:t>The results include emissions from all natio</w:t>
      </w:r>
      <w:r w:rsidR="000817BB">
        <w:t>nal and international transport</w:t>
      </w:r>
      <w:r>
        <w:t>. The results also include transport emissions associated with the extraction and refining of fossil fuels used both in transport and d</w:t>
      </w:r>
      <w:r w:rsidR="006B6977">
        <w:t>uring infrastructure operation.</w:t>
      </w:r>
    </w:p>
    <w:p w14:paraId="0F745509" w14:textId="05CC0083" w:rsidR="00FC0B0F" w:rsidRDefault="00FC0B0F" w:rsidP="00FC0B0F">
      <w:pPr>
        <w:pStyle w:val="Heading2Numbered"/>
      </w:pPr>
      <w:r>
        <w:t>Emissions per tonne of waste transported (collection and processing) (kg CO</w:t>
      </w:r>
      <w:r w:rsidRPr="00FC0B0F">
        <w:rPr>
          <w:vertAlign w:val="subscript"/>
        </w:rPr>
        <w:t>2</w:t>
      </w:r>
      <w:r w:rsidR="006E1B05">
        <w:t>-e/</w:t>
      </w:r>
      <w:r>
        <w:t>t)</w:t>
      </w:r>
    </w:p>
    <w:p w14:paraId="7CEEF41C" w14:textId="79634C9F" w:rsidR="00FC0B0F" w:rsidRDefault="00FC0B0F" w:rsidP="00FC0B0F">
      <w:r>
        <w:t xml:space="preserve">Figure 6 details the GHG emissions from transporting each tonne of waste. It includes transport emissions associated with the collection and processing of </w:t>
      </w:r>
      <w:r w:rsidRPr="006B6977">
        <w:t xml:space="preserve">waste. </w:t>
      </w:r>
      <w:r w:rsidR="006B6977" w:rsidRPr="006B6977">
        <w:t>Figure 7</w:t>
      </w:r>
      <w:r w:rsidR="006B6977">
        <w:t xml:space="preserve"> </w:t>
      </w:r>
      <w:r>
        <w:t xml:space="preserve">illustrates the transport associated with collection and processing. </w:t>
      </w:r>
    </w:p>
    <w:p w14:paraId="7617DF10" w14:textId="77777777" w:rsidR="00FC0B0F" w:rsidRDefault="00FC0B0F" w:rsidP="00FC0B0F">
      <w:r>
        <w:t xml:space="preserve">All transport emissions above have some scope 3 emissions from resource extraction for fuel refining. All collection transport scope 3 emissions result from resource extraction. </w:t>
      </w:r>
    </w:p>
    <w:p w14:paraId="0CD563A0" w14:textId="7DBA0B67" w:rsidR="00FC0B0F" w:rsidRDefault="00FC0B0F" w:rsidP="00FC0B0F">
      <w:r>
        <w:t>C&amp;D waste col</w:t>
      </w:r>
      <w:r w:rsidR="00A320E2">
        <w:t xml:space="preserve">lection for recycling </w:t>
      </w:r>
      <w:r w:rsidR="00891201">
        <w:t xml:space="preserve">accounted for </w:t>
      </w:r>
      <w:r>
        <w:t>by far the largest GHG emissions per tonne</w:t>
      </w:r>
      <w:r w:rsidR="00891201">
        <w:t>,</w:t>
      </w:r>
      <w:r>
        <w:t xml:space="preserve"> followed by C&amp;I organics collection. This suggests that there may be opportunities to improve the collection network efficiency fo</w:t>
      </w:r>
      <w:r w:rsidR="00C032EA">
        <w:t>r these materials</w:t>
      </w:r>
      <w:r>
        <w:t xml:space="preserve">.   </w:t>
      </w:r>
    </w:p>
    <w:p w14:paraId="715B9982" w14:textId="1BFBD2D1" w:rsidR="00FC0B0F" w:rsidRDefault="00FC0B0F" w:rsidP="00FC0B0F">
      <w:r>
        <w:lastRenderedPageBreak/>
        <w:t xml:space="preserve">For waste processing, transport emissions </w:t>
      </w:r>
      <w:r w:rsidR="00A320E2">
        <w:t>we</w:t>
      </w:r>
      <w:r>
        <w:t xml:space="preserve">re dominated by emissions from paper/cardboard and aluminium. This correlates with the large tonnages sent interstate and overseas for processing, resulting in higher transport emissions per tonne of recycled waste. </w:t>
      </w:r>
    </w:p>
    <w:p w14:paraId="395FEFAC" w14:textId="621D0CC1" w:rsidR="00D22855" w:rsidRDefault="00FC0B0F" w:rsidP="00FC0B0F">
      <w:r>
        <w:t>Plastic and metals processing transport emissions result mainly from international shipping to overseas markets.</w:t>
      </w:r>
    </w:p>
    <w:p w14:paraId="21F13C38" w14:textId="49C4A5A6" w:rsidR="00D22855" w:rsidRDefault="00350CB3" w:rsidP="00350CB3">
      <w:pPr>
        <w:pStyle w:val="FigureCaption"/>
      </w:pPr>
      <w:r>
        <w:t>FIGURE 6: Emissions from transport per tonne of waste transported (kg</w:t>
      </w:r>
      <w:r w:rsidRPr="00350CB3">
        <w:t xml:space="preserve"> CO</w:t>
      </w:r>
      <w:r w:rsidRPr="00350CB3">
        <w:rPr>
          <w:vertAlign w:val="subscript"/>
        </w:rPr>
        <w:t>2</w:t>
      </w:r>
      <w:r>
        <w:t>-e</w:t>
      </w:r>
      <w:r w:rsidRPr="00350CB3">
        <w:t xml:space="preserve"> / </w:t>
      </w:r>
      <w:r>
        <w:t>t of waste</w:t>
      </w:r>
      <w:r w:rsidRPr="00350CB3">
        <w:t>)</w:t>
      </w:r>
    </w:p>
    <w:p w14:paraId="7141BA75" w14:textId="5D928CA8" w:rsidR="00D22855" w:rsidRDefault="00350CB3" w:rsidP="00350CB3">
      <w:pPr>
        <w:pStyle w:val="Heading2Numbered"/>
        <w:numPr>
          <w:ilvl w:val="0"/>
          <w:numId w:val="0"/>
        </w:numPr>
      </w:pPr>
      <w:r>
        <w:rPr>
          <w:noProof/>
          <w:lang w:eastAsia="en-AU"/>
        </w:rPr>
        <w:drawing>
          <wp:inline distT="0" distB="0" distL="0" distR="0" wp14:anchorId="5A2AF9B9" wp14:editId="6A1377EB">
            <wp:extent cx="4932045" cy="2260174"/>
            <wp:effectExtent l="0" t="0" r="1905" b="6985"/>
            <wp:docPr id="46248" name="Picture 46248"/>
            <wp:cNvGraphicFramePr/>
            <a:graphic xmlns:a="http://schemas.openxmlformats.org/drawingml/2006/main">
              <a:graphicData uri="http://schemas.openxmlformats.org/drawingml/2006/picture">
                <pic:pic xmlns:pic="http://schemas.openxmlformats.org/drawingml/2006/picture">
                  <pic:nvPicPr>
                    <pic:cNvPr id="46248" name="Picture 46248"/>
                    <pic:cNvPicPr/>
                  </pic:nvPicPr>
                  <pic:blipFill>
                    <a:blip r:embed="rId40"/>
                    <a:stretch>
                      <a:fillRect/>
                    </a:stretch>
                  </pic:blipFill>
                  <pic:spPr>
                    <a:xfrm>
                      <a:off x="0" y="0"/>
                      <a:ext cx="4932045" cy="2260174"/>
                    </a:xfrm>
                    <a:prstGeom prst="rect">
                      <a:avLst/>
                    </a:prstGeom>
                  </pic:spPr>
                </pic:pic>
              </a:graphicData>
            </a:graphic>
          </wp:inline>
        </w:drawing>
      </w:r>
    </w:p>
    <w:p w14:paraId="11DB96B4" w14:textId="2D9D9AF3" w:rsidR="006D43FD" w:rsidRDefault="006D43FD" w:rsidP="006D43FD">
      <w:pPr>
        <w:pStyle w:val="Heading2Numbered"/>
      </w:pPr>
      <w:r>
        <w:t>Total emissions from transport (collection &amp; processing) (tonnes CO</w:t>
      </w:r>
      <w:r w:rsidRPr="006D43FD">
        <w:rPr>
          <w:vertAlign w:val="subscript"/>
        </w:rPr>
        <w:t>2</w:t>
      </w:r>
      <w:r>
        <w:t>-e)</w:t>
      </w:r>
    </w:p>
    <w:p w14:paraId="30312446" w14:textId="2AB96871" w:rsidR="006D43FD" w:rsidRDefault="006D43FD" w:rsidP="006D43FD">
      <w:r>
        <w:t>Figure 7 details the total GHG emissions for transporting waste in Victoria in 2014-15. It includes transport emissions associated with the collection and processing of waste.</w:t>
      </w:r>
    </w:p>
    <w:p w14:paraId="4C2B4A3D" w14:textId="085DE9D5" w:rsidR="00350CB3" w:rsidRDefault="006D43FD" w:rsidP="006D43FD">
      <w:r w:rsidRPr="00CA534D">
        <w:t xml:space="preserve">The emissions </w:t>
      </w:r>
      <w:r w:rsidR="0027550D">
        <w:t>from</w:t>
      </w:r>
      <w:r w:rsidRPr="00CA534D">
        <w:t xml:space="preserve"> paper/cardboard transport to interstate recycling infrastructure dominate</w:t>
      </w:r>
      <w:r w:rsidR="00A320E2">
        <w:t>d</w:t>
      </w:r>
      <w:r w:rsidRPr="00CA534D">
        <w:t xml:space="preserve"> the transport emissions profile. </w:t>
      </w:r>
      <w:r w:rsidR="00CA534D" w:rsidRPr="00CA534D">
        <w:t xml:space="preserve">Should this management option continue, </w:t>
      </w:r>
      <w:r w:rsidR="0027550D">
        <w:t xml:space="preserve">efficiency </w:t>
      </w:r>
      <w:r w:rsidR="00CA534D" w:rsidRPr="00CA534D">
        <w:t>o</w:t>
      </w:r>
      <w:r w:rsidRPr="00CA534D">
        <w:t xml:space="preserve">pportunities </w:t>
      </w:r>
      <w:r w:rsidR="0027550D">
        <w:t xml:space="preserve">could be investigated, such as improved consolidation </w:t>
      </w:r>
      <w:r w:rsidRPr="00CA534D">
        <w:t>of paper and car</w:t>
      </w:r>
      <w:r w:rsidR="0027550D">
        <w:t xml:space="preserve">dboard before transport and </w:t>
      </w:r>
      <w:r w:rsidRPr="00CA534D">
        <w:t>improvements in bulk hauling.</w:t>
      </w:r>
    </w:p>
    <w:p w14:paraId="16497867" w14:textId="68DF05D3" w:rsidR="00D22855" w:rsidRDefault="006D43FD" w:rsidP="006D43FD">
      <w:pPr>
        <w:pStyle w:val="FigureCaption"/>
      </w:pPr>
      <w:r w:rsidRPr="006D43FD">
        <w:t>FIGURE 7</w:t>
      </w:r>
      <w:r>
        <w:t>: Total emissions from transport of waste in 201</w:t>
      </w:r>
      <w:r w:rsidR="00C032EA">
        <w:t xml:space="preserve">4-15 (collection and processing) </w:t>
      </w:r>
      <w:r>
        <w:t>(tonnes CO</w:t>
      </w:r>
      <w:r w:rsidRPr="006D43FD">
        <w:rPr>
          <w:vertAlign w:val="subscript"/>
        </w:rPr>
        <w:t>2</w:t>
      </w:r>
      <w:r>
        <w:t>-e</w:t>
      </w:r>
      <w:r w:rsidRPr="006D43FD">
        <w:t>)</w:t>
      </w:r>
    </w:p>
    <w:p w14:paraId="11A60CFB" w14:textId="1CE1B096" w:rsidR="00D22855" w:rsidRDefault="006D43FD" w:rsidP="00D26762">
      <w:r>
        <w:rPr>
          <w:noProof/>
          <w:lang w:eastAsia="en-AU"/>
        </w:rPr>
        <w:drawing>
          <wp:inline distT="0" distB="0" distL="0" distR="0" wp14:anchorId="19401A60" wp14:editId="171D4818">
            <wp:extent cx="4932045" cy="2185225"/>
            <wp:effectExtent l="0" t="0" r="1905" b="5715"/>
            <wp:docPr id="46249" name="Picture 46249"/>
            <wp:cNvGraphicFramePr/>
            <a:graphic xmlns:a="http://schemas.openxmlformats.org/drawingml/2006/main">
              <a:graphicData uri="http://schemas.openxmlformats.org/drawingml/2006/picture">
                <pic:pic xmlns:pic="http://schemas.openxmlformats.org/drawingml/2006/picture">
                  <pic:nvPicPr>
                    <pic:cNvPr id="46249" name="Picture 46249"/>
                    <pic:cNvPicPr/>
                  </pic:nvPicPr>
                  <pic:blipFill>
                    <a:blip r:embed="rId41"/>
                    <a:stretch>
                      <a:fillRect/>
                    </a:stretch>
                  </pic:blipFill>
                  <pic:spPr>
                    <a:xfrm>
                      <a:off x="0" y="0"/>
                      <a:ext cx="4932045" cy="2185225"/>
                    </a:xfrm>
                    <a:prstGeom prst="rect">
                      <a:avLst/>
                    </a:prstGeom>
                  </pic:spPr>
                </pic:pic>
              </a:graphicData>
            </a:graphic>
          </wp:inline>
        </w:drawing>
      </w:r>
    </w:p>
    <w:p w14:paraId="0A8E3C80" w14:textId="77777777" w:rsidR="00524A0F" w:rsidRDefault="00524A0F">
      <w:pPr>
        <w:spacing w:after="0" w:line="240" w:lineRule="auto"/>
        <w:rPr>
          <w:rFonts w:asciiTheme="majorHAnsi" w:eastAsiaTheme="majorEastAsia" w:hAnsiTheme="majorHAnsi" w:cstheme="majorBidi"/>
          <w:b/>
          <w:bCs/>
          <w:sz w:val="24"/>
          <w:szCs w:val="26"/>
        </w:rPr>
      </w:pPr>
      <w:r>
        <w:br w:type="page"/>
      </w:r>
    </w:p>
    <w:p w14:paraId="0DCEC71D" w14:textId="3DE1628B" w:rsidR="00A760FE" w:rsidRDefault="00A760FE" w:rsidP="00A760FE">
      <w:pPr>
        <w:pStyle w:val="Heading2Numbered"/>
      </w:pPr>
      <w:r>
        <w:lastRenderedPageBreak/>
        <w:t xml:space="preserve">Emissions from transport by infrastructure type (total and per tonne) </w:t>
      </w:r>
    </w:p>
    <w:p w14:paraId="50B961A6" w14:textId="1DDF2C2F" w:rsidR="00A760FE" w:rsidRDefault="00A760FE" w:rsidP="00A760FE">
      <w:r>
        <w:t xml:space="preserve">Figure 8 details the GHG emissions per tonne and in total for transporting waste in Victoria in 2014-15. The emissions are presented by the infrastructure type that receives the waste. </w:t>
      </w:r>
    </w:p>
    <w:p w14:paraId="536A3F41" w14:textId="77777777" w:rsidR="00E01ADF" w:rsidRDefault="00E01ADF" w:rsidP="00A760FE">
      <w:r>
        <w:t xml:space="preserve">Considering </w:t>
      </w:r>
      <w:r w:rsidR="00A760FE">
        <w:t>transpor</w:t>
      </w:r>
      <w:r>
        <w:t>t emissions per tonne of waste:</w:t>
      </w:r>
    </w:p>
    <w:p w14:paraId="72E40D65" w14:textId="6E8CDB19" w:rsidR="00A760FE" w:rsidRDefault="007F1DEA" w:rsidP="00E01ADF">
      <w:pPr>
        <w:pStyle w:val="ListBullet"/>
      </w:pPr>
      <w:r>
        <w:t xml:space="preserve">this </w:t>
      </w:r>
      <w:r w:rsidR="00A320E2">
        <w:t>wa</w:t>
      </w:r>
      <w:r w:rsidR="00E01ADF">
        <w:t xml:space="preserve">s </w:t>
      </w:r>
      <w:r w:rsidR="00A760FE">
        <w:t>highest for</w:t>
      </w:r>
      <w:r w:rsidR="00CA534D">
        <w:t xml:space="preserve"> RRCs</w:t>
      </w:r>
      <w:r w:rsidR="00A760FE">
        <w:t xml:space="preserve"> as transport to </w:t>
      </w:r>
      <w:r w:rsidR="00C032EA">
        <w:t>RRCs</w:t>
      </w:r>
      <w:r w:rsidR="00A760FE">
        <w:t xml:space="preserve"> is significant for most material types</w:t>
      </w:r>
    </w:p>
    <w:p w14:paraId="31E2D1B4" w14:textId="1799BB0A" w:rsidR="00A760FE" w:rsidRDefault="007F1DEA" w:rsidP="00CA534D">
      <w:pPr>
        <w:pStyle w:val="ListBullet"/>
      </w:pPr>
      <w:r>
        <w:t>paper</w:t>
      </w:r>
      <w:r w:rsidR="00A760FE">
        <w:t xml:space="preserve">/cardboard and aluminium </w:t>
      </w:r>
      <w:r w:rsidR="00F7756E">
        <w:t xml:space="preserve">recycling </w:t>
      </w:r>
      <w:r w:rsidR="00A760FE">
        <w:t xml:space="preserve">emissions per tonne follow due to interstate transport (discussed </w:t>
      </w:r>
      <w:r w:rsidR="00C032EA">
        <w:t>previously</w:t>
      </w:r>
      <w:r w:rsidR="00A760FE">
        <w:t>)</w:t>
      </w:r>
    </w:p>
    <w:p w14:paraId="6593C386" w14:textId="6B9DECE6" w:rsidR="00A760FE" w:rsidRDefault="007F1DEA" w:rsidP="00CA534D">
      <w:pPr>
        <w:pStyle w:val="ListBullet"/>
      </w:pPr>
      <w:r>
        <w:t xml:space="preserve">transport </w:t>
      </w:r>
      <w:r w:rsidR="00A760FE">
        <w:t xml:space="preserve">emissions per tonne </w:t>
      </w:r>
      <w:r w:rsidR="00F7756E">
        <w:t>for</w:t>
      </w:r>
      <w:r w:rsidR="00A760FE">
        <w:t xml:space="preserve"> the </w:t>
      </w:r>
      <w:r w:rsidR="00A320E2">
        <w:t>remaining infrastructure types we</w:t>
      </w:r>
      <w:r w:rsidR="00A760FE">
        <w:t>re reasonably consistent</w:t>
      </w:r>
    </w:p>
    <w:p w14:paraId="70C0E36A" w14:textId="19A4BB13" w:rsidR="00A760FE" w:rsidRDefault="007F1DEA" w:rsidP="00CA534D">
      <w:pPr>
        <w:pStyle w:val="ListBullet"/>
      </w:pPr>
      <w:r>
        <w:t>t</w:t>
      </w:r>
      <w:r w:rsidR="00A760FE">
        <w:t xml:space="preserve">ransport </w:t>
      </w:r>
      <w:r w:rsidR="00E01ADF">
        <w:t xml:space="preserve">emissions </w:t>
      </w:r>
      <w:r w:rsidR="00A320E2">
        <w:t>associated with C&amp;D recycling were</w:t>
      </w:r>
      <w:r w:rsidR="00A760FE">
        <w:t xml:space="preserve"> notably low. The high per tonne emissions associated with collection of C&amp;D wa</w:t>
      </w:r>
      <w:r w:rsidR="00A320E2">
        <w:t>ste (shown in Figure 6) we</w:t>
      </w:r>
      <w:r w:rsidR="00A760FE">
        <w:t>re offset by the low transport emissions per tonne for processing (also shown in Figure 6) resulting in an overall low emission per tonne for C&amp;D recycling.</w:t>
      </w:r>
    </w:p>
    <w:p w14:paraId="27538CCE" w14:textId="77777777" w:rsidR="00E01ADF" w:rsidRDefault="00A760FE" w:rsidP="00A760FE">
      <w:r>
        <w:t>T</w:t>
      </w:r>
      <w:r w:rsidR="00E01ADF">
        <w:t>otal transport emissions:</w:t>
      </w:r>
    </w:p>
    <w:p w14:paraId="420CB13A" w14:textId="277EC098" w:rsidR="00E01ADF" w:rsidRDefault="007F1DEA" w:rsidP="00A760FE">
      <w:pPr>
        <w:pStyle w:val="ListBullet"/>
      </w:pPr>
      <w:r>
        <w:t xml:space="preserve">were </w:t>
      </w:r>
      <w:r w:rsidR="00A760FE">
        <w:t>dominated by paper and card</w:t>
      </w:r>
      <w:r w:rsidR="00C440A8">
        <w:t>board, for reason noted earlier</w:t>
      </w:r>
      <w:r w:rsidR="00A760FE">
        <w:t xml:space="preserve"> </w:t>
      </w:r>
    </w:p>
    <w:p w14:paraId="0CD0F367" w14:textId="1D7F14DC" w:rsidR="00E01ADF" w:rsidRDefault="007F1DEA" w:rsidP="00A760FE">
      <w:pPr>
        <w:pStyle w:val="ListBullet"/>
      </w:pPr>
      <w:r>
        <w:t xml:space="preserve">transport </w:t>
      </w:r>
      <w:r w:rsidR="00A760FE">
        <w:t>of waste to MRFs and licensed landfills resul</w:t>
      </w:r>
      <w:r w:rsidR="00A320E2">
        <w:t>ted</w:t>
      </w:r>
      <w:r w:rsidR="00A760FE">
        <w:t xml:space="preserve"> in the second highest emission</w:t>
      </w:r>
      <w:r w:rsidR="00C440A8">
        <w:t>s reflecting the large tonnages</w:t>
      </w:r>
      <w:r w:rsidR="00A760FE">
        <w:t xml:space="preserve"> </w:t>
      </w:r>
    </w:p>
    <w:p w14:paraId="7F113AC8" w14:textId="732E980B" w:rsidR="00E01ADF" w:rsidRDefault="007F1DEA" w:rsidP="00E01ADF">
      <w:pPr>
        <w:pStyle w:val="ListBullet"/>
        <w:spacing w:after="0"/>
      </w:pPr>
      <w:r>
        <w:t xml:space="preserve">steel </w:t>
      </w:r>
      <w:r w:rsidR="00A760FE">
        <w:t>recycling and C&amp;D recycling follow</w:t>
      </w:r>
      <w:r w:rsidR="00A320E2">
        <w:t>ed</w:t>
      </w:r>
      <w:r w:rsidR="00A760FE">
        <w:t xml:space="preserve"> </w:t>
      </w:r>
    </w:p>
    <w:p w14:paraId="64722E51" w14:textId="2AAB7A89" w:rsidR="00E01ADF" w:rsidRDefault="00A760FE" w:rsidP="00E01ADF">
      <w:pPr>
        <w:pStyle w:val="ListBullet2"/>
      </w:pPr>
      <w:r>
        <w:t xml:space="preserve">C&amp;D recycling transport emissions </w:t>
      </w:r>
      <w:r w:rsidR="00A320E2">
        <w:t>we</w:t>
      </w:r>
      <w:r>
        <w:t>re</w:t>
      </w:r>
      <w:r w:rsidR="00E01ADF">
        <w:t xml:space="preserve"> from transport within Victoria</w:t>
      </w:r>
      <w:r>
        <w:t xml:space="preserve"> </w:t>
      </w:r>
    </w:p>
    <w:p w14:paraId="39C24210" w14:textId="22465144" w:rsidR="00D22855" w:rsidRDefault="007F1DEA" w:rsidP="00E01ADF">
      <w:pPr>
        <w:pStyle w:val="ListBullet2"/>
      </w:pPr>
      <w:r>
        <w:t xml:space="preserve">steel </w:t>
      </w:r>
      <w:r w:rsidR="00C440A8">
        <w:t xml:space="preserve">recycling emissions </w:t>
      </w:r>
      <w:r w:rsidR="00A760FE">
        <w:t xml:space="preserve">mostly related to international shipping.   </w:t>
      </w:r>
    </w:p>
    <w:p w14:paraId="6AE49267" w14:textId="559E249D" w:rsidR="0062450C" w:rsidRDefault="0062450C" w:rsidP="0062450C">
      <w:pPr>
        <w:pStyle w:val="FigureCaption"/>
      </w:pPr>
      <w:r w:rsidRPr="0062450C">
        <w:t>FIGURE 8</w:t>
      </w:r>
      <w:r>
        <w:t>: Total and per tonne of emissions</w:t>
      </w:r>
      <w:r w:rsidR="00F64382">
        <w:t xml:space="preserve"> in 2014-15</w:t>
      </w:r>
      <w:r>
        <w:t xml:space="preserve"> from tr</w:t>
      </w:r>
      <w:r w:rsidR="00F64382">
        <w:t>ansport by infrastructure type</w:t>
      </w:r>
    </w:p>
    <w:p w14:paraId="5E7D521E" w14:textId="3A346049" w:rsidR="00D22855" w:rsidRDefault="00F64382" w:rsidP="00D26762">
      <w:r>
        <w:rPr>
          <w:noProof/>
          <w:lang w:eastAsia="en-AU"/>
        </w:rPr>
        <w:drawing>
          <wp:inline distT="0" distB="0" distL="0" distR="0" wp14:anchorId="4322A7AE" wp14:editId="22DA97E0">
            <wp:extent cx="4932045" cy="2124781"/>
            <wp:effectExtent l="0" t="0" r="1905" b="8890"/>
            <wp:docPr id="46250" name="Picture 46250"/>
            <wp:cNvGraphicFramePr/>
            <a:graphic xmlns:a="http://schemas.openxmlformats.org/drawingml/2006/main">
              <a:graphicData uri="http://schemas.openxmlformats.org/drawingml/2006/picture">
                <pic:pic xmlns:pic="http://schemas.openxmlformats.org/drawingml/2006/picture">
                  <pic:nvPicPr>
                    <pic:cNvPr id="46250" name="Picture 46250"/>
                    <pic:cNvPicPr/>
                  </pic:nvPicPr>
                  <pic:blipFill>
                    <a:blip r:embed="rId42"/>
                    <a:stretch>
                      <a:fillRect/>
                    </a:stretch>
                  </pic:blipFill>
                  <pic:spPr>
                    <a:xfrm>
                      <a:off x="0" y="0"/>
                      <a:ext cx="4932045" cy="2124781"/>
                    </a:xfrm>
                    <a:prstGeom prst="rect">
                      <a:avLst/>
                    </a:prstGeom>
                  </pic:spPr>
                </pic:pic>
              </a:graphicData>
            </a:graphic>
          </wp:inline>
        </w:drawing>
      </w:r>
    </w:p>
    <w:p w14:paraId="256FACE0" w14:textId="2847D8EA" w:rsidR="00F64382" w:rsidRDefault="00F64382" w:rsidP="00F64382">
      <w:pPr>
        <w:pStyle w:val="Heading1Numbered"/>
      </w:pPr>
      <w:bookmarkStart w:id="21" w:name="_Toc16499293"/>
      <w:r>
        <w:t>Combined infrastructure and transport emissions</w:t>
      </w:r>
      <w:bookmarkEnd w:id="21"/>
      <w:r>
        <w:t xml:space="preserve"> </w:t>
      </w:r>
    </w:p>
    <w:p w14:paraId="4D3FC548" w14:textId="5260E42D" w:rsidR="00D22855" w:rsidRDefault="00495881" w:rsidP="00D26762">
      <w:r>
        <w:t xml:space="preserve">This section details </w:t>
      </w:r>
      <w:r w:rsidR="009243DF">
        <w:t xml:space="preserve">GHG </w:t>
      </w:r>
      <w:r w:rsidR="00F64382">
        <w:t>emissions from both the operation</w:t>
      </w:r>
      <w:r>
        <w:t xml:space="preserve"> of waste infrastructure and</w:t>
      </w:r>
      <w:r w:rsidR="00F64382">
        <w:t xml:space="preserve"> transport of waste in Victoria for </w:t>
      </w:r>
      <w:r w:rsidR="00F64382" w:rsidRPr="00EC405B">
        <w:t xml:space="preserve">2014-15. Only </w:t>
      </w:r>
      <w:r w:rsidR="00214225">
        <w:t>s</w:t>
      </w:r>
      <w:r w:rsidR="00214225" w:rsidRPr="00EC405B">
        <w:t xml:space="preserve">ection </w:t>
      </w:r>
      <w:r w:rsidR="00F64382" w:rsidRPr="00EC405B">
        <w:t>4.4.2 includes</w:t>
      </w:r>
      <w:r w:rsidR="00F64382">
        <w:t xml:space="preserve"> scope 3 infrastructure emissions.</w:t>
      </w:r>
    </w:p>
    <w:p w14:paraId="11AA4A83" w14:textId="2B8B6641" w:rsidR="00F64382" w:rsidRDefault="00F64382" w:rsidP="00F64382">
      <w:pPr>
        <w:pStyle w:val="Heading2Numbered"/>
      </w:pPr>
      <w:r>
        <w:t xml:space="preserve">Emissions from infrastructure (scope 1, 2) and transport (scope 1- 3) </w:t>
      </w:r>
    </w:p>
    <w:p w14:paraId="111B4955" w14:textId="748DD472" w:rsidR="00F64382" w:rsidRDefault="00F64382" w:rsidP="00F64382">
      <w:r>
        <w:t>Figure 9 details the</w:t>
      </w:r>
      <w:r w:rsidR="001D329E">
        <w:t xml:space="preserve"> GHG emissions profile for </w:t>
      </w:r>
      <w:r>
        <w:t>infrastructure type</w:t>
      </w:r>
      <w:r w:rsidR="001D329E">
        <w:t>s</w:t>
      </w:r>
      <w:r>
        <w:t xml:space="preserve"> for each tonne of waste received and Figure 10 details the total GHG emissi</w:t>
      </w:r>
      <w:r w:rsidR="003F6845">
        <w:t>ons for all</w:t>
      </w:r>
      <w:r>
        <w:t xml:space="preserve"> infrastructure type</w:t>
      </w:r>
      <w:r w:rsidR="003F6845">
        <w:t>s,</w:t>
      </w:r>
      <w:r>
        <w:t xml:space="preserve"> for the total tonnages of waste received at each infrastructure type in 2014-15.</w:t>
      </w:r>
    </w:p>
    <w:p w14:paraId="706A9AFE" w14:textId="4832A80C" w:rsidR="00F64382" w:rsidRDefault="00F64382" w:rsidP="00F64382">
      <w:r>
        <w:t xml:space="preserve">For both figures the results include </w:t>
      </w:r>
      <w:r w:rsidR="003F6845">
        <w:t xml:space="preserve">scope 1 and 2 </w:t>
      </w:r>
      <w:r>
        <w:t xml:space="preserve">emissions resulting from the </w:t>
      </w:r>
      <w:r w:rsidR="003F6845">
        <w:t xml:space="preserve">operation of the facilities and </w:t>
      </w:r>
      <w:r>
        <w:t>all transport emissions (scope 1-3).</w:t>
      </w:r>
    </w:p>
    <w:p w14:paraId="19E4997D" w14:textId="42446373" w:rsidR="00F64382" w:rsidRDefault="00F64382" w:rsidP="00F64382">
      <w:pPr>
        <w:pStyle w:val="FigureCaption"/>
      </w:pPr>
      <w:r w:rsidRPr="00F64382">
        <w:lastRenderedPageBreak/>
        <w:t>FIGURE 9</w:t>
      </w:r>
      <w:r>
        <w:t>: Emissions profile per tonne of waste from infrastructure and transport (kg CO</w:t>
      </w:r>
      <w:r w:rsidRPr="00F64382">
        <w:rPr>
          <w:vertAlign w:val="subscript"/>
        </w:rPr>
        <w:t>2</w:t>
      </w:r>
      <w:r>
        <w:t>-e / t of waste)</w:t>
      </w:r>
    </w:p>
    <w:p w14:paraId="12D2479A" w14:textId="2674F2C2" w:rsidR="00D22855" w:rsidRDefault="00F64382" w:rsidP="00D26762">
      <w:r>
        <w:rPr>
          <w:noProof/>
          <w:lang w:eastAsia="en-AU"/>
        </w:rPr>
        <w:drawing>
          <wp:inline distT="0" distB="0" distL="0" distR="0" wp14:anchorId="6F91D38A" wp14:editId="09557EA9">
            <wp:extent cx="4932045" cy="3510826"/>
            <wp:effectExtent l="0" t="0" r="1905" b="0"/>
            <wp:docPr id="46251" name="Picture 46251"/>
            <wp:cNvGraphicFramePr/>
            <a:graphic xmlns:a="http://schemas.openxmlformats.org/drawingml/2006/main">
              <a:graphicData uri="http://schemas.openxmlformats.org/drawingml/2006/picture">
                <pic:pic xmlns:pic="http://schemas.openxmlformats.org/drawingml/2006/picture">
                  <pic:nvPicPr>
                    <pic:cNvPr id="46251" name="Picture 46251"/>
                    <pic:cNvPicPr/>
                  </pic:nvPicPr>
                  <pic:blipFill>
                    <a:blip r:embed="rId43"/>
                    <a:stretch>
                      <a:fillRect/>
                    </a:stretch>
                  </pic:blipFill>
                  <pic:spPr>
                    <a:xfrm>
                      <a:off x="0" y="0"/>
                      <a:ext cx="4932045" cy="3510826"/>
                    </a:xfrm>
                    <a:prstGeom prst="rect">
                      <a:avLst/>
                    </a:prstGeom>
                  </pic:spPr>
                </pic:pic>
              </a:graphicData>
            </a:graphic>
          </wp:inline>
        </w:drawing>
      </w:r>
    </w:p>
    <w:p w14:paraId="46E89B5D" w14:textId="29F86379" w:rsidR="00D22855" w:rsidRDefault="00F64382" w:rsidP="00F64382">
      <w:pPr>
        <w:pStyle w:val="FigureCaption"/>
      </w:pPr>
      <w:r w:rsidRPr="00F64382">
        <w:t>FIGURE 10 T</w:t>
      </w:r>
      <w:r>
        <w:t>otal emissions from infrastructure and transport for waste managed in Victoria in 2014-15 (tonnes CO</w:t>
      </w:r>
      <w:r w:rsidRPr="006D43FD">
        <w:rPr>
          <w:vertAlign w:val="subscript"/>
        </w:rPr>
        <w:t>2</w:t>
      </w:r>
      <w:r>
        <w:t>-e</w:t>
      </w:r>
      <w:r w:rsidRPr="00F64382">
        <w:t>)</w:t>
      </w:r>
    </w:p>
    <w:p w14:paraId="6D48A110" w14:textId="4938D9FD" w:rsidR="00D22855" w:rsidRDefault="00F64382" w:rsidP="00D26762">
      <w:r>
        <w:rPr>
          <w:noProof/>
          <w:lang w:eastAsia="en-AU"/>
        </w:rPr>
        <w:drawing>
          <wp:inline distT="0" distB="0" distL="0" distR="0" wp14:anchorId="250F8A5D" wp14:editId="66C730B7">
            <wp:extent cx="4932045" cy="3400068"/>
            <wp:effectExtent l="0" t="0" r="1905" b="0"/>
            <wp:docPr id="46252" name="Picture 46252"/>
            <wp:cNvGraphicFramePr/>
            <a:graphic xmlns:a="http://schemas.openxmlformats.org/drawingml/2006/main">
              <a:graphicData uri="http://schemas.openxmlformats.org/drawingml/2006/picture">
                <pic:pic xmlns:pic="http://schemas.openxmlformats.org/drawingml/2006/picture">
                  <pic:nvPicPr>
                    <pic:cNvPr id="46252" name="Picture 46252"/>
                    <pic:cNvPicPr/>
                  </pic:nvPicPr>
                  <pic:blipFill>
                    <a:blip r:embed="rId44"/>
                    <a:stretch>
                      <a:fillRect/>
                    </a:stretch>
                  </pic:blipFill>
                  <pic:spPr>
                    <a:xfrm>
                      <a:off x="0" y="0"/>
                      <a:ext cx="4932045" cy="3400068"/>
                    </a:xfrm>
                    <a:prstGeom prst="rect">
                      <a:avLst/>
                    </a:prstGeom>
                  </pic:spPr>
                </pic:pic>
              </a:graphicData>
            </a:graphic>
          </wp:inline>
        </w:drawing>
      </w:r>
    </w:p>
    <w:p w14:paraId="254511D3" w14:textId="6FD59668" w:rsidR="00F64382" w:rsidRDefault="00F64382" w:rsidP="00F64382">
      <w:pPr>
        <w:ind w:left="9" w:right="14"/>
      </w:pPr>
      <w:r>
        <w:t>Figure</w:t>
      </w:r>
      <w:r w:rsidR="00B02557">
        <w:t>s 9 and</w:t>
      </w:r>
      <w:r>
        <w:t xml:space="preserve"> 10 illustrate:</w:t>
      </w:r>
    </w:p>
    <w:p w14:paraId="77874FDD" w14:textId="5B9C1FA2" w:rsidR="00F64382" w:rsidRPr="007F688C" w:rsidRDefault="007F688C" w:rsidP="00F64382">
      <w:pPr>
        <w:pStyle w:val="ListBullet"/>
        <w:rPr>
          <w:sz w:val="18"/>
          <w:szCs w:val="18"/>
        </w:rPr>
      </w:pPr>
      <w:r w:rsidRPr="007F688C">
        <w:rPr>
          <w:sz w:val="18"/>
          <w:szCs w:val="18"/>
        </w:rPr>
        <w:t>T</w:t>
      </w:r>
      <w:r w:rsidR="00F64382" w:rsidRPr="007F688C">
        <w:rPr>
          <w:sz w:val="18"/>
          <w:szCs w:val="18"/>
        </w:rPr>
        <w:t>otal</w:t>
      </w:r>
      <w:r w:rsidRPr="007F688C">
        <w:rPr>
          <w:sz w:val="18"/>
          <w:szCs w:val="18"/>
        </w:rPr>
        <w:t xml:space="preserve"> GHG</w:t>
      </w:r>
      <w:r w:rsidR="00F64382" w:rsidRPr="007F688C">
        <w:rPr>
          <w:sz w:val="18"/>
          <w:szCs w:val="18"/>
        </w:rPr>
        <w:t xml:space="preserve"> emissions</w:t>
      </w:r>
      <w:r w:rsidRPr="007F688C">
        <w:rPr>
          <w:sz w:val="18"/>
          <w:szCs w:val="18"/>
        </w:rPr>
        <w:t xml:space="preserve"> resulting from electricity</w:t>
      </w:r>
      <w:r w:rsidR="00F64382" w:rsidRPr="007F688C">
        <w:rPr>
          <w:sz w:val="18"/>
          <w:szCs w:val="18"/>
        </w:rPr>
        <w:t xml:space="preserve"> consu</w:t>
      </w:r>
      <w:r w:rsidR="00A320E2">
        <w:rPr>
          <w:sz w:val="18"/>
          <w:szCs w:val="18"/>
        </w:rPr>
        <w:t>mption during steel recycling was</w:t>
      </w:r>
      <w:r w:rsidR="00F64382" w:rsidRPr="007F688C">
        <w:rPr>
          <w:sz w:val="18"/>
          <w:szCs w:val="18"/>
        </w:rPr>
        <w:t xml:space="preserve"> the largest gross contributor from the Victor</w:t>
      </w:r>
      <w:r w:rsidRPr="007F688C">
        <w:rPr>
          <w:sz w:val="18"/>
          <w:szCs w:val="18"/>
        </w:rPr>
        <w:t xml:space="preserve">ian waste sector. These emissions </w:t>
      </w:r>
      <w:r w:rsidR="00F64382" w:rsidRPr="007F688C">
        <w:rPr>
          <w:sz w:val="18"/>
          <w:szCs w:val="18"/>
        </w:rPr>
        <w:t xml:space="preserve">could be significantly reduced </w:t>
      </w:r>
      <w:r w:rsidR="00C032EA" w:rsidRPr="007F688C">
        <w:rPr>
          <w:sz w:val="18"/>
          <w:szCs w:val="18"/>
        </w:rPr>
        <w:t>using</w:t>
      </w:r>
      <w:r w:rsidR="00F64382" w:rsidRPr="007F688C">
        <w:rPr>
          <w:sz w:val="18"/>
          <w:szCs w:val="18"/>
        </w:rPr>
        <w:t xml:space="preserve"> renewable energy sources.  </w:t>
      </w:r>
    </w:p>
    <w:p w14:paraId="09456F54" w14:textId="1EA86B48" w:rsidR="00F64382" w:rsidRPr="007F688C" w:rsidRDefault="00A320E2" w:rsidP="00F64382">
      <w:pPr>
        <w:pStyle w:val="ListBullet"/>
        <w:rPr>
          <w:sz w:val="18"/>
          <w:szCs w:val="18"/>
        </w:rPr>
      </w:pPr>
      <w:r>
        <w:rPr>
          <w:sz w:val="18"/>
          <w:szCs w:val="18"/>
        </w:rPr>
        <w:lastRenderedPageBreak/>
        <w:t>Licensed landfills we</w:t>
      </w:r>
      <w:r w:rsidR="00F64382" w:rsidRPr="007F688C">
        <w:rPr>
          <w:sz w:val="18"/>
          <w:szCs w:val="18"/>
        </w:rPr>
        <w:t>re by far the largest gross emitter of total</w:t>
      </w:r>
      <w:r w:rsidR="007F688C" w:rsidRPr="007F688C">
        <w:rPr>
          <w:sz w:val="18"/>
          <w:szCs w:val="18"/>
        </w:rPr>
        <w:t xml:space="preserve"> GHG</w:t>
      </w:r>
      <w:r w:rsidR="00F64382" w:rsidRPr="007F688C">
        <w:rPr>
          <w:sz w:val="18"/>
          <w:szCs w:val="18"/>
        </w:rPr>
        <w:t xml:space="preserve"> emissions from site operations (from landfill gas). </w:t>
      </w:r>
      <w:r w:rsidR="007F688C" w:rsidRPr="007F688C">
        <w:rPr>
          <w:sz w:val="18"/>
          <w:szCs w:val="18"/>
        </w:rPr>
        <w:t>These</w:t>
      </w:r>
      <w:r w:rsidR="00F64382" w:rsidRPr="007F688C">
        <w:rPr>
          <w:sz w:val="18"/>
          <w:szCs w:val="18"/>
        </w:rPr>
        <w:t xml:space="preserve"> emission</w:t>
      </w:r>
      <w:r w:rsidR="007F688C" w:rsidRPr="007F688C">
        <w:rPr>
          <w:sz w:val="18"/>
          <w:szCs w:val="18"/>
        </w:rPr>
        <w:t>s</w:t>
      </w:r>
      <w:r w:rsidR="00F64382" w:rsidRPr="007F688C">
        <w:rPr>
          <w:sz w:val="18"/>
          <w:szCs w:val="18"/>
        </w:rPr>
        <w:t xml:space="preserve"> could be significantly reduced by improving landfill gas capture and energy recovery rates</w:t>
      </w:r>
      <w:r w:rsidR="007F688C" w:rsidRPr="007F688C">
        <w:rPr>
          <w:sz w:val="18"/>
          <w:szCs w:val="18"/>
        </w:rPr>
        <w:t>.</w:t>
      </w:r>
    </w:p>
    <w:p w14:paraId="2C52DF69" w14:textId="677BBC34" w:rsidR="00F64382" w:rsidRPr="007F688C" w:rsidRDefault="007F688C" w:rsidP="00F64382">
      <w:pPr>
        <w:pStyle w:val="ListBullet"/>
        <w:rPr>
          <w:sz w:val="18"/>
          <w:szCs w:val="18"/>
        </w:rPr>
      </w:pPr>
      <w:r w:rsidRPr="007F688C">
        <w:rPr>
          <w:sz w:val="18"/>
          <w:szCs w:val="18"/>
        </w:rPr>
        <w:t>T</w:t>
      </w:r>
      <w:r w:rsidR="00F64382" w:rsidRPr="007F688C">
        <w:rPr>
          <w:sz w:val="18"/>
          <w:szCs w:val="18"/>
        </w:rPr>
        <w:t>otal</w:t>
      </w:r>
      <w:r w:rsidRPr="007F688C">
        <w:rPr>
          <w:sz w:val="18"/>
          <w:szCs w:val="18"/>
        </w:rPr>
        <w:t xml:space="preserve"> GHG</w:t>
      </w:r>
      <w:r w:rsidR="00F64382" w:rsidRPr="007F688C">
        <w:rPr>
          <w:sz w:val="18"/>
          <w:szCs w:val="18"/>
        </w:rPr>
        <w:t xml:space="preserve"> emissions from paper/cardboard transport become a more significant proportion of overall emissions for waste managed in Victoria due to the long transport distances required for processing interstate and overseas. </w:t>
      </w:r>
    </w:p>
    <w:p w14:paraId="628C4DC7" w14:textId="7DD46B48" w:rsidR="00F64382" w:rsidRPr="007F688C" w:rsidRDefault="007F688C" w:rsidP="00F64382">
      <w:pPr>
        <w:pStyle w:val="ListBullet"/>
        <w:rPr>
          <w:sz w:val="18"/>
          <w:szCs w:val="18"/>
        </w:rPr>
      </w:pPr>
      <w:r w:rsidRPr="007F688C">
        <w:rPr>
          <w:sz w:val="18"/>
          <w:szCs w:val="18"/>
        </w:rPr>
        <w:t>T</w:t>
      </w:r>
      <w:r w:rsidR="00F64382" w:rsidRPr="007F688C">
        <w:rPr>
          <w:sz w:val="18"/>
          <w:szCs w:val="18"/>
        </w:rPr>
        <w:t xml:space="preserve">otal </w:t>
      </w:r>
      <w:r w:rsidRPr="007F688C">
        <w:rPr>
          <w:sz w:val="18"/>
          <w:szCs w:val="18"/>
        </w:rPr>
        <w:t xml:space="preserve">GHG </w:t>
      </w:r>
      <w:r w:rsidR="00F64382" w:rsidRPr="007F688C">
        <w:rPr>
          <w:sz w:val="18"/>
          <w:szCs w:val="18"/>
        </w:rPr>
        <w:t>emission</w:t>
      </w:r>
      <w:r w:rsidRPr="007F688C">
        <w:rPr>
          <w:sz w:val="18"/>
          <w:szCs w:val="18"/>
        </w:rPr>
        <w:t>s</w:t>
      </w:r>
      <w:r w:rsidR="00F64382" w:rsidRPr="007F688C">
        <w:rPr>
          <w:sz w:val="18"/>
          <w:szCs w:val="18"/>
        </w:rPr>
        <w:t xml:space="preserve"> resulting from electricity consumpt</w:t>
      </w:r>
      <w:r w:rsidR="00FC30F6">
        <w:rPr>
          <w:sz w:val="18"/>
          <w:szCs w:val="18"/>
        </w:rPr>
        <w:t>ion during plastics recycling was</w:t>
      </w:r>
      <w:r w:rsidR="00F64382" w:rsidRPr="007F688C">
        <w:rPr>
          <w:sz w:val="18"/>
          <w:szCs w:val="18"/>
        </w:rPr>
        <w:t xml:space="preserve"> a significant contributor to emissions from the Victorian waste sector. This could be significantly reduced </w:t>
      </w:r>
      <w:r w:rsidR="009243DF" w:rsidRPr="007F688C">
        <w:rPr>
          <w:sz w:val="18"/>
          <w:szCs w:val="18"/>
        </w:rPr>
        <w:t>using</w:t>
      </w:r>
      <w:r w:rsidR="00F64382" w:rsidRPr="007F688C">
        <w:rPr>
          <w:sz w:val="18"/>
          <w:szCs w:val="18"/>
        </w:rPr>
        <w:t xml:space="preserve"> electricity from renewable </w:t>
      </w:r>
      <w:r w:rsidR="009243DF">
        <w:rPr>
          <w:sz w:val="18"/>
          <w:szCs w:val="18"/>
        </w:rPr>
        <w:t>or less emissions</w:t>
      </w:r>
      <w:r w:rsidR="00CE6281">
        <w:rPr>
          <w:sz w:val="18"/>
          <w:szCs w:val="18"/>
        </w:rPr>
        <w:t>-</w:t>
      </w:r>
      <w:r w:rsidR="009243DF">
        <w:rPr>
          <w:sz w:val="18"/>
          <w:szCs w:val="18"/>
        </w:rPr>
        <w:t xml:space="preserve">intensive </w:t>
      </w:r>
      <w:r w:rsidR="00F64382" w:rsidRPr="007F688C">
        <w:rPr>
          <w:sz w:val="18"/>
          <w:szCs w:val="18"/>
        </w:rPr>
        <w:t xml:space="preserve">energy sources.  </w:t>
      </w:r>
    </w:p>
    <w:p w14:paraId="2C46D0B8" w14:textId="59496F15" w:rsidR="00F64382" w:rsidRPr="007F688C" w:rsidRDefault="00F64382" w:rsidP="00F64382">
      <w:pPr>
        <w:pStyle w:val="ListBullet"/>
        <w:rPr>
          <w:sz w:val="18"/>
          <w:szCs w:val="18"/>
        </w:rPr>
      </w:pPr>
      <w:r w:rsidRPr="007F688C">
        <w:rPr>
          <w:sz w:val="18"/>
          <w:szCs w:val="18"/>
        </w:rPr>
        <w:t>If alumin</w:t>
      </w:r>
      <w:r w:rsidR="00C032EA">
        <w:rPr>
          <w:sz w:val="18"/>
          <w:szCs w:val="18"/>
        </w:rPr>
        <w:t>ium and paper/</w:t>
      </w:r>
      <w:r w:rsidRPr="007F688C">
        <w:rPr>
          <w:sz w:val="18"/>
          <w:szCs w:val="18"/>
        </w:rPr>
        <w:t xml:space="preserve">cardboard were processed in Victoria, rather than interstate or overseas, the Victorian waste sector </w:t>
      </w:r>
      <w:r w:rsidR="007F688C" w:rsidRPr="007F688C">
        <w:rPr>
          <w:sz w:val="18"/>
          <w:szCs w:val="18"/>
        </w:rPr>
        <w:t xml:space="preserve">GHG </w:t>
      </w:r>
      <w:r w:rsidRPr="007F688C">
        <w:rPr>
          <w:sz w:val="18"/>
          <w:szCs w:val="18"/>
        </w:rPr>
        <w:t>emissions (for infrastructure emissions scope 1 and 2) would be significantly higher</w:t>
      </w:r>
    </w:p>
    <w:p w14:paraId="65C9A291" w14:textId="55AD73C2" w:rsidR="00F64382" w:rsidRPr="007F688C" w:rsidRDefault="00F64382" w:rsidP="00F64382">
      <w:pPr>
        <w:pStyle w:val="ListBullet"/>
        <w:rPr>
          <w:sz w:val="18"/>
          <w:szCs w:val="18"/>
        </w:rPr>
      </w:pPr>
      <w:r w:rsidRPr="007F688C">
        <w:rPr>
          <w:sz w:val="18"/>
          <w:szCs w:val="18"/>
        </w:rPr>
        <w:t>Unlicensed landfill infrastructure</w:t>
      </w:r>
      <w:r w:rsidR="007F688C" w:rsidRPr="007F688C">
        <w:rPr>
          <w:sz w:val="18"/>
          <w:szCs w:val="18"/>
        </w:rPr>
        <w:t xml:space="preserve"> GHG</w:t>
      </w:r>
      <w:r w:rsidR="00FC30F6">
        <w:rPr>
          <w:sz w:val="18"/>
          <w:szCs w:val="18"/>
        </w:rPr>
        <w:t xml:space="preserve"> emissions per tonne we</w:t>
      </w:r>
      <w:r w:rsidRPr="007F688C">
        <w:rPr>
          <w:sz w:val="18"/>
          <w:szCs w:val="18"/>
        </w:rPr>
        <w:t xml:space="preserve">re by far the highest; however, given the tonnages received, overall emissions </w:t>
      </w:r>
      <w:r w:rsidR="00214225">
        <w:rPr>
          <w:sz w:val="18"/>
          <w:szCs w:val="18"/>
        </w:rPr>
        <w:t>we</w:t>
      </w:r>
      <w:r w:rsidR="00214225" w:rsidRPr="007F688C">
        <w:rPr>
          <w:sz w:val="18"/>
          <w:szCs w:val="18"/>
        </w:rPr>
        <w:t xml:space="preserve">re </w:t>
      </w:r>
      <w:r w:rsidRPr="007F688C">
        <w:rPr>
          <w:sz w:val="18"/>
          <w:szCs w:val="18"/>
        </w:rPr>
        <w:t xml:space="preserve">not significant. </w:t>
      </w:r>
    </w:p>
    <w:p w14:paraId="20A2814E" w14:textId="12A10DC0" w:rsidR="00F64382" w:rsidRPr="007F688C" w:rsidRDefault="00F64382" w:rsidP="00F64382">
      <w:pPr>
        <w:pStyle w:val="ListBullet"/>
        <w:rPr>
          <w:sz w:val="18"/>
          <w:szCs w:val="18"/>
        </w:rPr>
      </w:pPr>
      <w:r w:rsidRPr="007F688C">
        <w:rPr>
          <w:sz w:val="18"/>
          <w:szCs w:val="18"/>
        </w:rPr>
        <w:t xml:space="preserve">For all infrastructure types (apart from transfer stations and MRFs) transport emissions (scope 1-3) per tonne of waste received are only a small portion of the </w:t>
      </w:r>
      <w:r w:rsidR="007F688C" w:rsidRPr="007F688C">
        <w:rPr>
          <w:sz w:val="18"/>
          <w:szCs w:val="18"/>
        </w:rPr>
        <w:t xml:space="preserve">GHG </w:t>
      </w:r>
      <w:r w:rsidRPr="007F688C">
        <w:rPr>
          <w:sz w:val="18"/>
          <w:szCs w:val="18"/>
        </w:rPr>
        <w:t xml:space="preserve">emissions. </w:t>
      </w:r>
    </w:p>
    <w:p w14:paraId="15474B88" w14:textId="642F585A" w:rsidR="00F64382" w:rsidRPr="007F688C" w:rsidRDefault="00F64382" w:rsidP="00F64382">
      <w:pPr>
        <w:pStyle w:val="ListBullet"/>
        <w:rPr>
          <w:sz w:val="18"/>
          <w:szCs w:val="18"/>
        </w:rPr>
      </w:pPr>
      <w:r w:rsidRPr="007F688C">
        <w:rPr>
          <w:sz w:val="18"/>
          <w:szCs w:val="18"/>
        </w:rPr>
        <w:t xml:space="preserve">The gross total </w:t>
      </w:r>
      <w:r w:rsidR="007F688C" w:rsidRPr="007F688C">
        <w:rPr>
          <w:sz w:val="18"/>
          <w:szCs w:val="18"/>
        </w:rPr>
        <w:t xml:space="preserve">GHG </w:t>
      </w:r>
      <w:r w:rsidRPr="007F688C">
        <w:rPr>
          <w:sz w:val="18"/>
          <w:szCs w:val="18"/>
        </w:rPr>
        <w:t>emissions from organics re</w:t>
      </w:r>
      <w:r w:rsidR="007F688C" w:rsidRPr="007F688C">
        <w:rPr>
          <w:sz w:val="18"/>
          <w:szCs w:val="18"/>
        </w:rPr>
        <w:t>cycling via open windrow and in-</w:t>
      </w:r>
      <w:r w:rsidR="00FC30F6">
        <w:rPr>
          <w:sz w:val="18"/>
          <w:szCs w:val="18"/>
        </w:rPr>
        <w:t>vessel composting we</w:t>
      </w:r>
      <w:r w:rsidRPr="007F688C">
        <w:rPr>
          <w:sz w:val="18"/>
          <w:szCs w:val="18"/>
        </w:rPr>
        <w:t xml:space="preserve">re minor in the context of the overall Victorian waste sector emissions. </w:t>
      </w:r>
    </w:p>
    <w:p w14:paraId="3941FC33" w14:textId="5A8FB428" w:rsidR="00D22855" w:rsidRDefault="00D22855" w:rsidP="00F64382">
      <w:pPr>
        <w:pStyle w:val="ListBullet"/>
        <w:numPr>
          <w:ilvl w:val="0"/>
          <w:numId w:val="0"/>
        </w:numPr>
      </w:pPr>
    </w:p>
    <w:p w14:paraId="23760E01" w14:textId="6D4A9B7A" w:rsidR="007F688C" w:rsidRDefault="007F688C" w:rsidP="007F688C">
      <w:pPr>
        <w:pStyle w:val="Heading2Numbered"/>
      </w:pPr>
      <w:r>
        <w:t>Emissions from infrastructure (scopes 1-3) and transport (scope</w:t>
      </w:r>
      <w:r w:rsidR="00C032EA">
        <w:t>s</w:t>
      </w:r>
      <w:r>
        <w:t xml:space="preserve"> 1–3) emissions (tonnes CO</w:t>
      </w:r>
      <w:r w:rsidRPr="007F688C">
        <w:rPr>
          <w:vertAlign w:val="subscript"/>
        </w:rPr>
        <w:t>2</w:t>
      </w:r>
      <w:r>
        <w:t>-e)</w:t>
      </w:r>
    </w:p>
    <w:p w14:paraId="4C521375" w14:textId="46996F0A" w:rsidR="00D22855" w:rsidRDefault="007F688C" w:rsidP="007F688C">
      <w:r>
        <w:t>Figure 11 details the total GHG emissions for each infrastructure type for the total tonnages of waste received at each infrastructure type in 2014-15. The results include all emissions from infrastructure operation (scopes 1-3) and from waste transport (scopes 1-3). Figure 2 (C) also details scope 1-3 for both infrastru</w:t>
      </w:r>
      <w:r w:rsidR="00FC30F6">
        <w:t>cture and transport emissions. H</w:t>
      </w:r>
      <w:r>
        <w:t>owever, Figure 11 details each emission rather than the overall net emissions. Scope 3 facility emissions include emissions offsets substitution of recycled materials for virgin materials, substitution of energy from organic waste for fossil fuels, and sequestration of biogenic carbon in soils and landfills</w:t>
      </w:r>
      <w:r w:rsidR="008E08BC">
        <w:t>.</w:t>
      </w:r>
    </w:p>
    <w:p w14:paraId="57AE2665" w14:textId="77777777" w:rsidR="00524A0F" w:rsidRDefault="00524A0F">
      <w:pPr>
        <w:spacing w:after="0" w:line="240" w:lineRule="auto"/>
        <w:rPr>
          <w:color w:val="82C341" w:themeColor="background1"/>
        </w:rPr>
      </w:pPr>
      <w:r>
        <w:br w:type="page"/>
      </w:r>
    </w:p>
    <w:p w14:paraId="03825E70" w14:textId="19291242" w:rsidR="007F688C" w:rsidRDefault="007F688C" w:rsidP="007F688C">
      <w:pPr>
        <w:pStyle w:val="FigureCaption"/>
      </w:pPr>
      <w:r>
        <w:t>FIGURE 11: Total emissions from infrastructure (scope 1-3) and transport (scope 1-3) for waste managed in Victoria (2014-15), (tonnes CO</w:t>
      </w:r>
      <w:r w:rsidRPr="006D43FD">
        <w:rPr>
          <w:vertAlign w:val="subscript"/>
        </w:rPr>
        <w:t>2</w:t>
      </w:r>
      <w:r>
        <w:t>-e</w:t>
      </w:r>
      <w:r w:rsidRPr="00F64382">
        <w:t>)</w:t>
      </w:r>
    </w:p>
    <w:p w14:paraId="2DDF7B8E" w14:textId="585FB6F7" w:rsidR="00D22855" w:rsidRDefault="007F688C" w:rsidP="00D26762">
      <w:r>
        <w:rPr>
          <w:noProof/>
          <w:lang w:eastAsia="en-AU"/>
        </w:rPr>
        <w:drawing>
          <wp:inline distT="0" distB="0" distL="0" distR="0" wp14:anchorId="6AFAFA25" wp14:editId="6B6D2BF7">
            <wp:extent cx="4932045" cy="3691789"/>
            <wp:effectExtent l="0" t="0" r="1905" b="4445"/>
            <wp:docPr id="46253" name="Picture 46253"/>
            <wp:cNvGraphicFramePr/>
            <a:graphic xmlns:a="http://schemas.openxmlformats.org/drawingml/2006/main">
              <a:graphicData uri="http://schemas.openxmlformats.org/drawingml/2006/picture">
                <pic:pic xmlns:pic="http://schemas.openxmlformats.org/drawingml/2006/picture">
                  <pic:nvPicPr>
                    <pic:cNvPr id="46253" name="Picture 46253"/>
                    <pic:cNvPicPr/>
                  </pic:nvPicPr>
                  <pic:blipFill>
                    <a:blip r:embed="rId45"/>
                    <a:stretch>
                      <a:fillRect/>
                    </a:stretch>
                  </pic:blipFill>
                  <pic:spPr>
                    <a:xfrm>
                      <a:off x="0" y="0"/>
                      <a:ext cx="4932045" cy="3691789"/>
                    </a:xfrm>
                    <a:prstGeom prst="rect">
                      <a:avLst/>
                    </a:prstGeom>
                  </pic:spPr>
                </pic:pic>
              </a:graphicData>
            </a:graphic>
          </wp:inline>
        </w:drawing>
      </w:r>
    </w:p>
    <w:p w14:paraId="502AB99B" w14:textId="77777777" w:rsidR="007F688C" w:rsidRPr="00C032EA" w:rsidRDefault="007F688C" w:rsidP="00C032EA">
      <w:pPr>
        <w:rPr>
          <w:i/>
        </w:rPr>
      </w:pPr>
      <w:r w:rsidRPr="00C032EA">
        <w:rPr>
          <w:i/>
        </w:rPr>
        <w:t>Note: negative emissions refer to offsets or sequestration that result in less CO</w:t>
      </w:r>
      <w:r w:rsidRPr="00C032EA">
        <w:rPr>
          <w:i/>
          <w:sz w:val="15"/>
          <w:vertAlign w:val="subscript"/>
        </w:rPr>
        <w:t>2</w:t>
      </w:r>
      <w:r w:rsidRPr="00C032EA">
        <w:rPr>
          <w:i/>
        </w:rPr>
        <w:t>-e in the atmosphere’</w:t>
      </w:r>
    </w:p>
    <w:p w14:paraId="666BC4C0" w14:textId="3AD88DBA" w:rsidR="007F688C" w:rsidRDefault="007F688C" w:rsidP="007F688C">
      <w:pPr>
        <w:spacing w:after="50"/>
        <w:ind w:left="9" w:right="14"/>
      </w:pPr>
      <w:r>
        <w:t>Fig</w:t>
      </w:r>
      <w:r w:rsidR="00524A0F">
        <w:t>ure 11 illustrates</w:t>
      </w:r>
      <w:r>
        <w:t>:</w:t>
      </w:r>
    </w:p>
    <w:p w14:paraId="4F67E160" w14:textId="2AB00CC3" w:rsidR="007F688C" w:rsidRPr="007F688C" w:rsidRDefault="00FC30F6" w:rsidP="007F688C">
      <w:pPr>
        <w:pStyle w:val="TableBullet"/>
        <w:rPr>
          <w:sz w:val="18"/>
          <w:szCs w:val="18"/>
        </w:rPr>
      </w:pPr>
      <w:r>
        <w:rPr>
          <w:sz w:val="18"/>
          <w:szCs w:val="18"/>
        </w:rPr>
        <w:t>Steel recycling in Victoria wa</w:t>
      </w:r>
      <w:r w:rsidR="007F688C" w:rsidRPr="007F688C">
        <w:rPr>
          <w:sz w:val="18"/>
          <w:szCs w:val="18"/>
        </w:rPr>
        <w:t xml:space="preserve">s ‘carbon negative’ despite having the most significant scope 2 emissions from electricity consumption and the exporting of significant tonnages to international markets for processing. </w:t>
      </w:r>
    </w:p>
    <w:p w14:paraId="5F3E01BB" w14:textId="6249D7DF" w:rsidR="007F688C" w:rsidRPr="007F688C" w:rsidRDefault="007F688C" w:rsidP="007F688C">
      <w:pPr>
        <w:pStyle w:val="TableBullet"/>
        <w:rPr>
          <w:sz w:val="18"/>
          <w:szCs w:val="18"/>
        </w:rPr>
      </w:pPr>
      <w:r w:rsidRPr="007F688C">
        <w:rPr>
          <w:sz w:val="18"/>
          <w:szCs w:val="18"/>
        </w:rPr>
        <w:t>Glass recycling, plastic recycling, open windrow and in</w:t>
      </w:r>
      <w:r>
        <w:rPr>
          <w:sz w:val="18"/>
          <w:szCs w:val="18"/>
        </w:rPr>
        <w:t>-</w:t>
      </w:r>
      <w:r w:rsidR="00FC30F6">
        <w:rPr>
          <w:sz w:val="18"/>
          <w:szCs w:val="18"/>
        </w:rPr>
        <w:t>vessel composting we</w:t>
      </w:r>
      <w:r w:rsidRPr="007F688C">
        <w:rPr>
          <w:sz w:val="18"/>
          <w:szCs w:val="18"/>
        </w:rPr>
        <w:t xml:space="preserve">re carbon negative in Victoria. </w:t>
      </w:r>
    </w:p>
    <w:p w14:paraId="68D54550" w14:textId="31A5EBC4" w:rsidR="007F688C" w:rsidRPr="007F688C" w:rsidRDefault="007F688C" w:rsidP="007F688C">
      <w:pPr>
        <w:pStyle w:val="TableBullet"/>
        <w:rPr>
          <w:sz w:val="18"/>
          <w:szCs w:val="18"/>
        </w:rPr>
      </w:pPr>
      <w:r w:rsidRPr="007F688C">
        <w:rPr>
          <w:sz w:val="18"/>
          <w:szCs w:val="18"/>
        </w:rPr>
        <w:t xml:space="preserve">Licensed landfill emissions </w:t>
      </w:r>
      <w:r w:rsidR="00FC30F6">
        <w:rPr>
          <w:sz w:val="18"/>
          <w:szCs w:val="18"/>
        </w:rPr>
        <w:t>we</w:t>
      </w:r>
      <w:r w:rsidRPr="007F688C">
        <w:rPr>
          <w:sz w:val="18"/>
          <w:szCs w:val="18"/>
        </w:rPr>
        <w:t>re only offset by about a third from electricity generation from landfill gas burning. Opportunities exist to improve landfill gas recovery and further offset landfill GHG emissions.</w:t>
      </w:r>
    </w:p>
    <w:p w14:paraId="2D5C1236" w14:textId="0CC0D7AD" w:rsidR="007F688C" w:rsidRPr="007F688C" w:rsidRDefault="007F688C" w:rsidP="007F688C">
      <w:pPr>
        <w:pStyle w:val="TableBullet"/>
        <w:numPr>
          <w:ilvl w:val="0"/>
          <w:numId w:val="0"/>
        </w:numPr>
        <w:ind w:left="227"/>
        <w:rPr>
          <w:sz w:val="18"/>
          <w:szCs w:val="18"/>
        </w:rPr>
      </w:pPr>
    </w:p>
    <w:p w14:paraId="17CA902F" w14:textId="77777777" w:rsidR="000C2E25" w:rsidRDefault="000C2E25">
      <w:pPr>
        <w:spacing w:after="0" w:line="240" w:lineRule="auto"/>
        <w:rPr>
          <w:rFonts w:asciiTheme="majorHAnsi" w:eastAsiaTheme="majorEastAsia" w:hAnsiTheme="majorHAnsi" w:cstheme="majorBidi"/>
          <w:bCs/>
          <w:color w:val="82C341" w:themeColor="accent1"/>
          <w:sz w:val="28"/>
          <w:szCs w:val="28"/>
        </w:rPr>
      </w:pPr>
      <w:r>
        <w:br w:type="page"/>
      </w:r>
    </w:p>
    <w:p w14:paraId="220FA500" w14:textId="62C76DC2" w:rsidR="00071472" w:rsidRDefault="00071472" w:rsidP="00071472">
      <w:pPr>
        <w:pStyle w:val="Heading1Numbered"/>
      </w:pPr>
      <w:bookmarkStart w:id="22" w:name="_Toc16499294"/>
      <w:r>
        <w:t>Results sensitivity analysis</w:t>
      </w:r>
      <w:bookmarkEnd w:id="22"/>
    </w:p>
    <w:p w14:paraId="596309EE" w14:textId="4A0B07A5" w:rsidR="00C351E5" w:rsidRDefault="00071472" w:rsidP="00071472">
      <w:r>
        <w:t>A sensitivity analysis assess</w:t>
      </w:r>
      <w:r w:rsidR="00596FE7">
        <w:t>ed</w:t>
      </w:r>
      <w:r>
        <w:t xml:space="preserve"> impacts to the emissions</w:t>
      </w:r>
      <w:r w:rsidR="000817BB">
        <w:t xml:space="preserve"> calculations</w:t>
      </w:r>
      <w:r>
        <w:t xml:space="preserve"> </w:t>
      </w:r>
      <w:r w:rsidR="000817BB">
        <w:t>as a result of</w:t>
      </w:r>
      <w:r>
        <w:t xml:space="preserve"> modelling</w:t>
      </w:r>
      <w:r w:rsidR="000817BB">
        <w:t xml:space="preserve"> adjustments</w:t>
      </w:r>
      <w:r>
        <w:t xml:space="preserve"> </w:t>
      </w:r>
      <w:r w:rsidR="000817BB">
        <w:t>made to</w:t>
      </w:r>
      <w:r>
        <w:t xml:space="preserve"> show how similar</w:t>
      </w:r>
      <w:r w:rsidR="00C351E5">
        <w:t xml:space="preserve"> real world interventions</w:t>
      </w:r>
      <w:r>
        <w:t xml:space="preserve"> might result in reductions in</w:t>
      </w:r>
      <w:r w:rsidR="00C351E5">
        <w:t xml:space="preserve"> GHG</w:t>
      </w:r>
      <w:r>
        <w:t xml:space="preserve"> emissions from the sector. </w:t>
      </w:r>
    </w:p>
    <w:p w14:paraId="15F4023F" w14:textId="3F5D68F4" w:rsidR="00071472" w:rsidRDefault="00C351E5" w:rsidP="00B02557">
      <w:pPr>
        <w:spacing w:after="120"/>
      </w:pPr>
      <w:r>
        <w:t>The following was a</w:t>
      </w:r>
      <w:r w:rsidR="00071472">
        <w:t>djusted:</w:t>
      </w:r>
    </w:p>
    <w:p w14:paraId="745B9FDF" w14:textId="46CCA32B" w:rsidR="00C351E5" w:rsidRDefault="00071472" w:rsidP="00C351E5">
      <w:pPr>
        <w:pStyle w:val="ListBullet"/>
      </w:pPr>
      <w:r>
        <w:t xml:space="preserve">transport distances between different transportation points </w:t>
      </w:r>
    </w:p>
    <w:p w14:paraId="2F0CD021" w14:textId="08E68998" w:rsidR="00C351E5" w:rsidRDefault="00071472" w:rsidP="00B02557">
      <w:pPr>
        <w:pStyle w:val="ListBullet"/>
      </w:pPr>
      <w:r>
        <w:t>methane g</w:t>
      </w:r>
      <w:r w:rsidR="00B02557">
        <w:t>as recovery rate from landfill.</w:t>
      </w:r>
    </w:p>
    <w:p w14:paraId="48364233" w14:textId="77777777" w:rsidR="00C351E5" w:rsidRDefault="00071472" w:rsidP="00B02557">
      <w:pPr>
        <w:spacing w:after="120"/>
      </w:pPr>
      <w:r>
        <w:t xml:space="preserve">Table 2 shows the changes that were made in the modelling and the resulting changes to the emissions results. The change associated with the model adjustment was assessed for: </w:t>
      </w:r>
    </w:p>
    <w:p w14:paraId="1C25C09B" w14:textId="4A1FC7DD" w:rsidR="00071472" w:rsidRDefault="00172D5F" w:rsidP="00C351E5">
      <w:pPr>
        <w:pStyle w:val="ListBullet"/>
      </w:pPr>
      <w:r>
        <w:t xml:space="preserve">total </w:t>
      </w:r>
      <w:r w:rsidR="00071472">
        <w:t>tonnes CO</w:t>
      </w:r>
      <w:r w:rsidR="00071472" w:rsidRPr="00C351E5">
        <w:rPr>
          <w:vertAlign w:val="subscript"/>
        </w:rPr>
        <w:t>2</w:t>
      </w:r>
      <w:r w:rsidR="00071472">
        <w:t>-e (see ‘Total change’ column)</w:t>
      </w:r>
    </w:p>
    <w:p w14:paraId="6F5AB919" w14:textId="527721CC" w:rsidR="00071472" w:rsidRDefault="00172D5F" w:rsidP="00C351E5">
      <w:pPr>
        <w:pStyle w:val="ListBullet"/>
      </w:pPr>
      <w:r>
        <w:t xml:space="preserve">percentage </w:t>
      </w:r>
      <w:r w:rsidR="00071472">
        <w:t>change within the sub-sector (see ‘Sub sector’ column)</w:t>
      </w:r>
    </w:p>
    <w:p w14:paraId="71111904" w14:textId="4F3E6D89" w:rsidR="00C351E5" w:rsidRDefault="00172D5F" w:rsidP="00C351E5">
      <w:pPr>
        <w:pStyle w:val="ListBullet"/>
      </w:pPr>
      <w:r>
        <w:t xml:space="preserve">the </w:t>
      </w:r>
      <w:r w:rsidR="000817BB">
        <w:t xml:space="preserve">entire </w:t>
      </w:r>
      <w:r w:rsidR="00071472">
        <w:t xml:space="preserve">waste sector </w:t>
      </w:r>
      <w:r w:rsidR="000817BB">
        <w:t xml:space="preserve">(see </w:t>
      </w:r>
      <w:r w:rsidR="00071472">
        <w:t>‘% change waste sector’ column)</w:t>
      </w:r>
    </w:p>
    <w:p w14:paraId="067BD62B" w14:textId="7E34DE94" w:rsidR="00071472" w:rsidRDefault="00172D5F" w:rsidP="00C351E5">
      <w:pPr>
        <w:pStyle w:val="ListBullet"/>
      </w:pPr>
      <w:r>
        <w:t xml:space="preserve">against </w:t>
      </w:r>
      <w:r w:rsidR="00071472">
        <w:t>all GHG emissions from Victoria (see ‘Overall Victoria’ column).</w:t>
      </w:r>
    </w:p>
    <w:p w14:paraId="57D3DA41" w14:textId="7EC6DB48" w:rsidR="00071472" w:rsidRDefault="00071472" w:rsidP="00071472">
      <w:r>
        <w:t xml:space="preserve">Note, all sub-sectors are assessed on their </w:t>
      </w:r>
      <w:r w:rsidR="00172D5F">
        <w:t xml:space="preserve">scope </w:t>
      </w:r>
      <w:r>
        <w:t>1-3 emissions except for organics processing w</w:t>
      </w:r>
      <w:r w:rsidR="00C351E5">
        <w:t xml:space="preserve">here </w:t>
      </w:r>
      <w:r w:rsidR="00172D5F">
        <w:t xml:space="preserve">scope </w:t>
      </w:r>
      <w:r w:rsidR="00C351E5">
        <w:t>1 and 2 emissions were</w:t>
      </w:r>
      <w:r>
        <w:t xml:space="preserve"> assessed. This </w:t>
      </w:r>
      <w:r w:rsidR="008E08BC">
        <w:t xml:space="preserve">is </w:t>
      </w:r>
      <w:r>
        <w:t xml:space="preserve">because of the significant offsets (which are attributed to </w:t>
      </w:r>
      <w:r w:rsidR="00172D5F">
        <w:t xml:space="preserve">scope </w:t>
      </w:r>
      <w:r>
        <w:t xml:space="preserve">3) achieved by organics processing. By excluding these offsets, we </w:t>
      </w:r>
      <w:r w:rsidR="00C032EA">
        <w:t>can</w:t>
      </w:r>
      <w:r>
        <w:t xml:space="preserve"> examine the changes in emissions attributable to changes in the transportation distances for organics.</w:t>
      </w:r>
    </w:p>
    <w:p w14:paraId="7568D703" w14:textId="4B9A405B" w:rsidR="00071472" w:rsidRDefault="00071472" w:rsidP="00071472">
      <w:r>
        <w:t xml:space="preserve">Table 2 </w:t>
      </w:r>
      <w:r w:rsidR="00EC405B">
        <w:t xml:space="preserve">(refer sensitivities 5 and 18, bolded) </w:t>
      </w:r>
      <w:r>
        <w:t>show that:</w:t>
      </w:r>
    </w:p>
    <w:p w14:paraId="520D8167" w14:textId="799F7920" w:rsidR="00071472" w:rsidRPr="00FC30F6" w:rsidRDefault="001D329E" w:rsidP="00FC30F6">
      <w:pPr>
        <w:pStyle w:val="ListBullet"/>
      </w:pPr>
      <w:r>
        <w:t>H</w:t>
      </w:r>
      <w:r w:rsidR="00071472" w:rsidRPr="00FC30F6">
        <w:t>alving the transport distances to MRFs for MSW and C&amp;I waste streams in metro</w:t>
      </w:r>
      <w:r w:rsidR="00C351E5" w:rsidRPr="00FC30F6">
        <w:t>politan</w:t>
      </w:r>
      <w:r w:rsidR="00071472" w:rsidRPr="00FC30F6">
        <w:t xml:space="preserve"> and regional areas would reduce emissions from the sector by about 4</w:t>
      </w:r>
      <w:r w:rsidR="00172D5F">
        <w:t xml:space="preserve"> per cent</w:t>
      </w:r>
      <w:r w:rsidR="00172D5F" w:rsidRPr="00FC30F6">
        <w:t xml:space="preserve">. </w:t>
      </w:r>
    </w:p>
    <w:p w14:paraId="6650E9E9" w14:textId="44487474" w:rsidR="003F0846" w:rsidRPr="00FC30F6" w:rsidRDefault="001D329E" w:rsidP="00FC30F6">
      <w:pPr>
        <w:pStyle w:val="ListBullet"/>
      </w:pPr>
      <w:r>
        <w:t>I</w:t>
      </w:r>
      <w:r w:rsidR="00071472" w:rsidRPr="00FC30F6">
        <w:t>ncreasing the average methane gas recovery rate from the assumed 60</w:t>
      </w:r>
      <w:r w:rsidR="00172D5F">
        <w:t xml:space="preserve"> per cent</w:t>
      </w:r>
      <w:r w:rsidR="00172D5F" w:rsidRPr="00FC30F6">
        <w:t xml:space="preserve"> </w:t>
      </w:r>
      <w:r w:rsidR="00071472" w:rsidRPr="00FC30F6">
        <w:t>to 75</w:t>
      </w:r>
      <w:r w:rsidR="00172D5F">
        <w:t xml:space="preserve"> per cent</w:t>
      </w:r>
      <w:r w:rsidR="00172D5F" w:rsidRPr="00FC30F6">
        <w:t xml:space="preserve"> </w:t>
      </w:r>
      <w:r w:rsidR="00071472" w:rsidRPr="00FC30F6">
        <w:t xml:space="preserve">for all landfills would reduce </w:t>
      </w:r>
      <w:r w:rsidR="00C351E5" w:rsidRPr="00FC30F6">
        <w:t xml:space="preserve">GHG </w:t>
      </w:r>
      <w:r w:rsidR="00071472" w:rsidRPr="00FC30F6">
        <w:t>emissions by around 20</w:t>
      </w:r>
      <w:r w:rsidR="00172D5F">
        <w:t xml:space="preserve"> per cent</w:t>
      </w:r>
      <w:r w:rsidR="00172D5F" w:rsidRPr="00FC30F6">
        <w:t>.</w:t>
      </w:r>
      <w:r w:rsidR="003F0846" w:rsidRPr="00FC30F6">
        <w:br w:type="page"/>
      </w:r>
    </w:p>
    <w:p w14:paraId="35B63465" w14:textId="0B4EBA62" w:rsidR="00B02557" w:rsidRDefault="00B02557" w:rsidP="00B02557">
      <w:pPr>
        <w:pStyle w:val="TableCaptionWide"/>
      </w:pPr>
      <w:r w:rsidRPr="00C032EA">
        <w:t>TABLE 2” Victorian GHG</w:t>
      </w:r>
      <w:r>
        <w:t xml:space="preserve"> waste sector model, results sensitivity analysis</w:t>
      </w:r>
    </w:p>
    <w:tbl>
      <w:tblPr>
        <w:tblStyle w:val="SVTable"/>
        <w:tblW w:w="6562" w:type="pct"/>
        <w:tblInd w:w="-2007" w:type="dxa"/>
        <w:tblLook w:val="04E0" w:firstRow="1" w:lastRow="1" w:firstColumn="1" w:lastColumn="0" w:noHBand="0" w:noVBand="1"/>
      </w:tblPr>
      <w:tblGrid>
        <w:gridCol w:w="416"/>
        <w:gridCol w:w="3718"/>
        <w:gridCol w:w="989"/>
        <w:gridCol w:w="989"/>
        <w:gridCol w:w="858"/>
        <w:gridCol w:w="1274"/>
        <w:gridCol w:w="979"/>
        <w:gridCol w:w="970"/>
      </w:tblGrid>
      <w:tr w:rsidR="006B233D" w:rsidRPr="00456498" w14:paraId="6E320344" w14:textId="25059152" w:rsidTr="006B233D">
        <w:trPr>
          <w:cnfStyle w:val="100000000000" w:firstRow="1" w:lastRow="0" w:firstColumn="0" w:lastColumn="0" w:oddVBand="0" w:evenVBand="0" w:oddHBand="0" w:evenHBand="0" w:firstRowFirstColumn="0" w:firstRowLastColumn="0" w:lastRowFirstColumn="0" w:lastRowLastColumn="0"/>
        </w:trPr>
        <w:tc>
          <w:tcPr>
            <w:tcW w:w="204" w:type="pct"/>
            <w:shd w:val="clear" w:color="auto" w:fill="92D050"/>
          </w:tcPr>
          <w:p w14:paraId="22B7C34F" w14:textId="77777777" w:rsidR="006B233D" w:rsidRDefault="006B233D" w:rsidP="00B02557">
            <w:pPr>
              <w:pStyle w:val="TableHeading"/>
              <w:ind w:right="-681"/>
            </w:pPr>
          </w:p>
        </w:tc>
        <w:tc>
          <w:tcPr>
            <w:tcW w:w="1824" w:type="pct"/>
            <w:vMerge w:val="restart"/>
            <w:shd w:val="clear" w:color="auto" w:fill="92D050"/>
          </w:tcPr>
          <w:p w14:paraId="235DAE55" w14:textId="6BAE8F2E" w:rsidR="006B233D" w:rsidRPr="00456498" w:rsidRDefault="006B233D" w:rsidP="003F0846">
            <w:pPr>
              <w:pStyle w:val="TableHeading"/>
              <w:ind w:right="-113"/>
            </w:pPr>
            <w:r>
              <w:t>Sensitivity tested</w:t>
            </w:r>
          </w:p>
        </w:tc>
        <w:tc>
          <w:tcPr>
            <w:tcW w:w="485" w:type="pct"/>
            <w:vMerge w:val="restart"/>
            <w:shd w:val="clear" w:color="auto" w:fill="92D050"/>
          </w:tcPr>
          <w:p w14:paraId="7ADBF8A4" w14:textId="185E6C03" w:rsidR="006B233D" w:rsidRPr="00456498" w:rsidRDefault="006B233D" w:rsidP="00D33606">
            <w:pPr>
              <w:pStyle w:val="TableHeading"/>
            </w:pPr>
            <w:r>
              <w:t>Sector where change is realised</w:t>
            </w:r>
          </w:p>
        </w:tc>
        <w:tc>
          <w:tcPr>
            <w:tcW w:w="485" w:type="pct"/>
            <w:vMerge w:val="restart"/>
            <w:shd w:val="clear" w:color="auto" w:fill="92D050"/>
          </w:tcPr>
          <w:p w14:paraId="63DE9CCB" w14:textId="53CC8560" w:rsidR="006B233D" w:rsidRPr="00456498" w:rsidRDefault="006B233D" w:rsidP="00D33606">
            <w:pPr>
              <w:pStyle w:val="TableHeading"/>
            </w:pPr>
            <w:r>
              <w:t>Scope applied</w:t>
            </w:r>
          </w:p>
        </w:tc>
        <w:tc>
          <w:tcPr>
            <w:tcW w:w="421" w:type="pct"/>
            <w:vMerge w:val="restart"/>
            <w:shd w:val="clear" w:color="auto" w:fill="92D050"/>
          </w:tcPr>
          <w:p w14:paraId="1318884F" w14:textId="12F7BF3F" w:rsidR="006B233D" w:rsidRDefault="006B233D" w:rsidP="00D33606">
            <w:pPr>
              <w:pStyle w:val="TableHeading"/>
            </w:pPr>
            <w:r>
              <w:t>Total change (CO</w:t>
            </w:r>
            <w:r w:rsidRPr="00B02557">
              <w:rPr>
                <w:vertAlign w:val="subscript"/>
              </w:rPr>
              <w:t>2</w:t>
            </w:r>
            <w:r>
              <w:t>-e)</w:t>
            </w:r>
          </w:p>
        </w:tc>
        <w:tc>
          <w:tcPr>
            <w:tcW w:w="625" w:type="pct"/>
            <w:shd w:val="clear" w:color="auto" w:fill="92D050"/>
          </w:tcPr>
          <w:p w14:paraId="623743C4" w14:textId="0DF20BE9" w:rsidR="006B233D" w:rsidRDefault="006B233D" w:rsidP="00D33606">
            <w:pPr>
              <w:pStyle w:val="TableHeading"/>
            </w:pPr>
            <w:r>
              <w:t>Percentage change</w:t>
            </w:r>
          </w:p>
        </w:tc>
        <w:tc>
          <w:tcPr>
            <w:tcW w:w="480" w:type="pct"/>
            <w:shd w:val="clear" w:color="auto" w:fill="92D050"/>
          </w:tcPr>
          <w:p w14:paraId="03E9D1B2" w14:textId="531831B1" w:rsidR="006B233D" w:rsidRPr="00456498" w:rsidRDefault="006B233D" w:rsidP="00D33606">
            <w:pPr>
              <w:pStyle w:val="TableHeading"/>
            </w:pPr>
          </w:p>
        </w:tc>
        <w:tc>
          <w:tcPr>
            <w:tcW w:w="476" w:type="pct"/>
            <w:shd w:val="clear" w:color="auto" w:fill="92D050"/>
          </w:tcPr>
          <w:p w14:paraId="61A4C6BC" w14:textId="77777777" w:rsidR="006B233D" w:rsidRPr="00456498" w:rsidRDefault="006B233D" w:rsidP="00D33606">
            <w:pPr>
              <w:pStyle w:val="TableHeading"/>
            </w:pPr>
          </w:p>
        </w:tc>
      </w:tr>
      <w:tr w:rsidR="006B233D" w:rsidRPr="00456498" w14:paraId="5FFD47F4" w14:textId="4EBCBBFB" w:rsidTr="006B233D">
        <w:tc>
          <w:tcPr>
            <w:tcW w:w="204" w:type="pct"/>
            <w:shd w:val="clear" w:color="auto" w:fill="92D050"/>
          </w:tcPr>
          <w:p w14:paraId="3C9AAF30" w14:textId="77777777" w:rsidR="006B233D" w:rsidRDefault="006B233D" w:rsidP="00B02557">
            <w:pPr>
              <w:pStyle w:val="TableHeading"/>
              <w:ind w:right="-681"/>
            </w:pPr>
          </w:p>
        </w:tc>
        <w:tc>
          <w:tcPr>
            <w:tcW w:w="1824" w:type="pct"/>
            <w:vMerge/>
            <w:shd w:val="clear" w:color="auto" w:fill="92D050"/>
          </w:tcPr>
          <w:p w14:paraId="153F8C39" w14:textId="77777777" w:rsidR="006B233D" w:rsidRDefault="006B233D" w:rsidP="003F0846">
            <w:pPr>
              <w:pStyle w:val="TableHeading"/>
              <w:ind w:right="-113"/>
            </w:pPr>
          </w:p>
        </w:tc>
        <w:tc>
          <w:tcPr>
            <w:tcW w:w="485" w:type="pct"/>
            <w:vMerge/>
            <w:shd w:val="clear" w:color="auto" w:fill="92D050"/>
          </w:tcPr>
          <w:p w14:paraId="41F31AA2" w14:textId="77777777" w:rsidR="006B233D" w:rsidRDefault="006B233D" w:rsidP="00D33606">
            <w:pPr>
              <w:pStyle w:val="TableHeading"/>
            </w:pPr>
          </w:p>
        </w:tc>
        <w:tc>
          <w:tcPr>
            <w:tcW w:w="485" w:type="pct"/>
            <w:vMerge/>
            <w:shd w:val="clear" w:color="auto" w:fill="92D050"/>
          </w:tcPr>
          <w:p w14:paraId="26518DF9" w14:textId="77777777" w:rsidR="006B233D" w:rsidRDefault="006B233D" w:rsidP="00D33606">
            <w:pPr>
              <w:pStyle w:val="TableHeading"/>
            </w:pPr>
          </w:p>
        </w:tc>
        <w:tc>
          <w:tcPr>
            <w:tcW w:w="421" w:type="pct"/>
            <w:vMerge/>
            <w:shd w:val="clear" w:color="auto" w:fill="92D050"/>
          </w:tcPr>
          <w:p w14:paraId="21C04A1F" w14:textId="77777777" w:rsidR="006B233D" w:rsidRDefault="006B233D" w:rsidP="00D33606">
            <w:pPr>
              <w:pStyle w:val="TableHeading"/>
            </w:pPr>
          </w:p>
        </w:tc>
        <w:tc>
          <w:tcPr>
            <w:tcW w:w="625" w:type="pct"/>
            <w:shd w:val="clear" w:color="auto" w:fill="92D050"/>
          </w:tcPr>
          <w:p w14:paraId="68E857BC" w14:textId="080F502F" w:rsidR="006B233D" w:rsidRDefault="006B233D" w:rsidP="00D33606">
            <w:pPr>
              <w:pStyle w:val="TableHeading"/>
            </w:pPr>
            <w:r>
              <w:t>Subsector</w:t>
            </w:r>
          </w:p>
        </w:tc>
        <w:tc>
          <w:tcPr>
            <w:tcW w:w="480" w:type="pct"/>
            <w:shd w:val="clear" w:color="auto" w:fill="92D050"/>
          </w:tcPr>
          <w:p w14:paraId="347AA449" w14:textId="379E7C9F" w:rsidR="006B233D" w:rsidRPr="00456498" w:rsidRDefault="006B233D" w:rsidP="00D33606">
            <w:pPr>
              <w:pStyle w:val="TableHeading"/>
            </w:pPr>
            <w:r>
              <w:t>Change (waste sector)</w:t>
            </w:r>
          </w:p>
        </w:tc>
        <w:tc>
          <w:tcPr>
            <w:tcW w:w="476" w:type="pct"/>
            <w:shd w:val="clear" w:color="auto" w:fill="92D050"/>
          </w:tcPr>
          <w:p w14:paraId="39845C6F" w14:textId="272551E5" w:rsidR="006B233D" w:rsidRDefault="006B233D" w:rsidP="00D33606">
            <w:pPr>
              <w:pStyle w:val="TableHeading"/>
            </w:pPr>
            <w:r>
              <w:t>Overall</w:t>
            </w:r>
          </w:p>
        </w:tc>
      </w:tr>
      <w:tr w:rsidR="006B233D" w:rsidRPr="00456498" w14:paraId="1DD51333" w14:textId="1E41CFC4" w:rsidTr="006B233D">
        <w:tc>
          <w:tcPr>
            <w:tcW w:w="204" w:type="pct"/>
          </w:tcPr>
          <w:p w14:paraId="33C92001" w14:textId="7685401D" w:rsidR="00D33606" w:rsidRDefault="00D33606" w:rsidP="00B02557">
            <w:pPr>
              <w:pStyle w:val="TableText"/>
              <w:ind w:right="-681"/>
            </w:pPr>
            <w:r>
              <w:t>1</w:t>
            </w:r>
          </w:p>
        </w:tc>
        <w:tc>
          <w:tcPr>
            <w:tcW w:w="1824" w:type="pct"/>
          </w:tcPr>
          <w:p w14:paraId="0FB43AA5" w14:textId="0DFA7795" w:rsidR="00D33606" w:rsidRPr="00456498" w:rsidRDefault="00D33606" w:rsidP="003F0846">
            <w:pPr>
              <w:pStyle w:val="TableText"/>
              <w:ind w:right="-113"/>
            </w:pPr>
            <w:r>
              <w:t>H</w:t>
            </w:r>
            <w:r w:rsidRPr="00B02557">
              <w:t>alving of distance to metro MR</w:t>
            </w:r>
            <w:r>
              <w:t>F</w:t>
            </w:r>
            <w:r w:rsidRPr="00B02557">
              <w:t xml:space="preserve"> from metro MSW collections</w:t>
            </w:r>
          </w:p>
        </w:tc>
        <w:tc>
          <w:tcPr>
            <w:tcW w:w="485" w:type="pct"/>
            <w:vMerge w:val="restart"/>
          </w:tcPr>
          <w:p w14:paraId="32E5D320" w14:textId="6C3C76B6" w:rsidR="00D33606" w:rsidRPr="00456498" w:rsidRDefault="00D33606" w:rsidP="00D33606">
            <w:pPr>
              <w:pStyle w:val="TableText"/>
            </w:pPr>
            <w:r>
              <w:t>Resource Recovery</w:t>
            </w:r>
          </w:p>
        </w:tc>
        <w:tc>
          <w:tcPr>
            <w:tcW w:w="485" w:type="pct"/>
            <w:vMerge w:val="restart"/>
          </w:tcPr>
          <w:p w14:paraId="35E14306" w14:textId="4295C9B8" w:rsidR="00D33606" w:rsidRPr="00456498" w:rsidRDefault="00D33606" w:rsidP="00D33606">
            <w:pPr>
              <w:pStyle w:val="TableText"/>
            </w:pPr>
            <w:r>
              <w:t>1-3</w:t>
            </w:r>
          </w:p>
        </w:tc>
        <w:tc>
          <w:tcPr>
            <w:tcW w:w="421" w:type="pct"/>
          </w:tcPr>
          <w:p w14:paraId="3A43C160" w14:textId="3B62A626" w:rsidR="00D33606" w:rsidRDefault="00867644" w:rsidP="008D38FF">
            <w:pPr>
              <w:pStyle w:val="TableText"/>
            </w:pPr>
            <w:r>
              <w:t>2,591</w:t>
            </w:r>
          </w:p>
        </w:tc>
        <w:tc>
          <w:tcPr>
            <w:tcW w:w="625" w:type="pct"/>
          </w:tcPr>
          <w:p w14:paraId="6ACA9665" w14:textId="5C9F3DE6" w:rsidR="00D33606" w:rsidRDefault="00D33606" w:rsidP="00D33606">
            <w:pPr>
              <w:pStyle w:val="TableText"/>
            </w:pPr>
            <w:r>
              <w:t>0.2</w:t>
            </w:r>
          </w:p>
        </w:tc>
        <w:tc>
          <w:tcPr>
            <w:tcW w:w="480" w:type="pct"/>
          </w:tcPr>
          <w:p w14:paraId="134456EE" w14:textId="6A5F8493" w:rsidR="00D33606" w:rsidRPr="00456498" w:rsidRDefault="00D33606" w:rsidP="00D33606">
            <w:pPr>
              <w:pStyle w:val="TableText"/>
            </w:pPr>
            <w:r>
              <w:t>0.2</w:t>
            </w:r>
          </w:p>
        </w:tc>
        <w:tc>
          <w:tcPr>
            <w:tcW w:w="476" w:type="pct"/>
          </w:tcPr>
          <w:p w14:paraId="5DCC545D" w14:textId="074755EF" w:rsidR="00D33606" w:rsidRPr="00456498" w:rsidRDefault="00D33606" w:rsidP="006B233D">
            <w:pPr>
              <w:pStyle w:val="TableText"/>
              <w:ind w:left="-88" w:firstLine="88"/>
            </w:pPr>
            <w:r>
              <w:t>0.002</w:t>
            </w:r>
          </w:p>
        </w:tc>
      </w:tr>
      <w:tr w:rsidR="006B233D" w:rsidRPr="00456498" w14:paraId="76909C67" w14:textId="5E71EFBE" w:rsidTr="006B233D">
        <w:tc>
          <w:tcPr>
            <w:tcW w:w="204" w:type="pct"/>
          </w:tcPr>
          <w:p w14:paraId="2D32AA00" w14:textId="3FA27E41" w:rsidR="00D33606" w:rsidRDefault="00D33606" w:rsidP="00B02557">
            <w:pPr>
              <w:pStyle w:val="TableText"/>
              <w:ind w:right="-681"/>
            </w:pPr>
            <w:r>
              <w:t>2</w:t>
            </w:r>
          </w:p>
        </w:tc>
        <w:tc>
          <w:tcPr>
            <w:tcW w:w="1824" w:type="pct"/>
          </w:tcPr>
          <w:p w14:paraId="124E5316" w14:textId="4911067C" w:rsidR="00D33606" w:rsidRPr="00456498" w:rsidRDefault="00D33606" w:rsidP="003F0846">
            <w:pPr>
              <w:pStyle w:val="TableText"/>
              <w:ind w:right="-113"/>
            </w:pPr>
            <w:r w:rsidRPr="00B02557">
              <w:t>Halving of distance to metro MRF from metro MSW collections and metro C&amp;I collections</w:t>
            </w:r>
          </w:p>
        </w:tc>
        <w:tc>
          <w:tcPr>
            <w:tcW w:w="485" w:type="pct"/>
            <w:vMerge/>
          </w:tcPr>
          <w:p w14:paraId="723D9C5B" w14:textId="49FFB631" w:rsidR="00D33606" w:rsidRPr="00456498" w:rsidRDefault="00D33606" w:rsidP="00D33606">
            <w:pPr>
              <w:pStyle w:val="TableText"/>
            </w:pPr>
          </w:p>
        </w:tc>
        <w:tc>
          <w:tcPr>
            <w:tcW w:w="485" w:type="pct"/>
            <w:vMerge/>
          </w:tcPr>
          <w:p w14:paraId="40A434F6" w14:textId="199F1412" w:rsidR="00D33606" w:rsidRPr="00456498" w:rsidRDefault="00D33606" w:rsidP="00D33606">
            <w:pPr>
              <w:pStyle w:val="TableText"/>
            </w:pPr>
          </w:p>
        </w:tc>
        <w:tc>
          <w:tcPr>
            <w:tcW w:w="421" w:type="pct"/>
          </w:tcPr>
          <w:p w14:paraId="09EFCA01" w14:textId="622A9D2C" w:rsidR="00D33606" w:rsidRDefault="00867644" w:rsidP="008D38FF">
            <w:pPr>
              <w:pStyle w:val="TableText"/>
            </w:pPr>
            <w:r>
              <w:t>5,991</w:t>
            </w:r>
          </w:p>
        </w:tc>
        <w:tc>
          <w:tcPr>
            <w:tcW w:w="625" w:type="pct"/>
          </w:tcPr>
          <w:p w14:paraId="1A5D2233" w14:textId="2710E01A" w:rsidR="00D33606" w:rsidRDefault="00D33606" w:rsidP="00D33606">
            <w:pPr>
              <w:pStyle w:val="TableText"/>
            </w:pPr>
            <w:r>
              <w:t>0.4</w:t>
            </w:r>
          </w:p>
        </w:tc>
        <w:tc>
          <w:tcPr>
            <w:tcW w:w="480" w:type="pct"/>
          </w:tcPr>
          <w:p w14:paraId="73DEE13D" w14:textId="24EDD4F2" w:rsidR="00D33606" w:rsidRPr="00456498" w:rsidRDefault="00D33606" w:rsidP="00D33606">
            <w:pPr>
              <w:pStyle w:val="TableText"/>
            </w:pPr>
            <w:r>
              <w:t>0.4</w:t>
            </w:r>
          </w:p>
        </w:tc>
        <w:tc>
          <w:tcPr>
            <w:tcW w:w="476" w:type="pct"/>
          </w:tcPr>
          <w:p w14:paraId="54072F14" w14:textId="2E747784" w:rsidR="00D33606" w:rsidRPr="00456498" w:rsidRDefault="00D33606" w:rsidP="00D33606">
            <w:pPr>
              <w:pStyle w:val="TableText"/>
            </w:pPr>
            <w:r>
              <w:t>0.005</w:t>
            </w:r>
          </w:p>
        </w:tc>
      </w:tr>
      <w:tr w:rsidR="006B233D" w:rsidRPr="00456498" w14:paraId="53395FFB" w14:textId="36B729DC" w:rsidTr="006B233D">
        <w:tc>
          <w:tcPr>
            <w:tcW w:w="204" w:type="pct"/>
          </w:tcPr>
          <w:p w14:paraId="4198F299" w14:textId="0751DA2B" w:rsidR="00D33606" w:rsidRDefault="00D33606" w:rsidP="00B02557">
            <w:pPr>
              <w:pStyle w:val="TableText"/>
              <w:ind w:right="-681"/>
            </w:pPr>
            <w:r>
              <w:t>3</w:t>
            </w:r>
          </w:p>
        </w:tc>
        <w:tc>
          <w:tcPr>
            <w:tcW w:w="1824" w:type="pct"/>
          </w:tcPr>
          <w:p w14:paraId="24CD0FDC" w14:textId="76FF7784" w:rsidR="00D33606" w:rsidRPr="00456498" w:rsidRDefault="00D33606" w:rsidP="003F0846">
            <w:pPr>
              <w:pStyle w:val="TableText"/>
              <w:ind w:right="-113"/>
            </w:pPr>
            <w:r w:rsidRPr="00B02557">
              <w:t>Halving of distance to regional MRF from regional MSW collections</w:t>
            </w:r>
          </w:p>
        </w:tc>
        <w:tc>
          <w:tcPr>
            <w:tcW w:w="485" w:type="pct"/>
            <w:vMerge/>
          </w:tcPr>
          <w:p w14:paraId="3DBB6E9F" w14:textId="33DD318D" w:rsidR="00D33606" w:rsidRPr="00456498" w:rsidRDefault="00D33606" w:rsidP="00D33606">
            <w:pPr>
              <w:pStyle w:val="TableText"/>
            </w:pPr>
          </w:p>
        </w:tc>
        <w:tc>
          <w:tcPr>
            <w:tcW w:w="485" w:type="pct"/>
            <w:vMerge/>
          </w:tcPr>
          <w:p w14:paraId="5A8FA1A7" w14:textId="5FFCF914" w:rsidR="00D33606" w:rsidRPr="00456498" w:rsidRDefault="00D33606" w:rsidP="00D33606">
            <w:pPr>
              <w:pStyle w:val="TableText"/>
            </w:pPr>
          </w:p>
        </w:tc>
        <w:tc>
          <w:tcPr>
            <w:tcW w:w="421" w:type="pct"/>
          </w:tcPr>
          <w:p w14:paraId="1120826A" w14:textId="0707ABB9" w:rsidR="00D33606" w:rsidRDefault="00867644" w:rsidP="008D38FF">
            <w:pPr>
              <w:pStyle w:val="TableText"/>
            </w:pPr>
            <w:r>
              <w:t>7,739</w:t>
            </w:r>
          </w:p>
        </w:tc>
        <w:tc>
          <w:tcPr>
            <w:tcW w:w="625" w:type="pct"/>
          </w:tcPr>
          <w:p w14:paraId="38192678" w14:textId="1E62A04C" w:rsidR="00D33606" w:rsidRDefault="00D33606" w:rsidP="00D33606">
            <w:pPr>
              <w:pStyle w:val="TableText"/>
            </w:pPr>
            <w:r>
              <w:t>0.6</w:t>
            </w:r>
          </w:p>
        </w:tc>
        <w:tc>
          <w:tcPr>
            <w:tcW w:w="480" w:type="pct"/>
          </w:tcPr>
          <w:p w14:paraId="0C8BE825" w14:textId="50718D47" w:rsidR="00D33606" w:rsidRPr="00456498" w:rsidRDefault="00D33606" w:rsidP="00D33606">
            <w:pPr>
              <w:pStyle w:val="TableText"/>
            </w:pPr>
            <w:r>
              <w:t>0.6</w:t>
            </w:r>
          </w:p>
        </w:tc>
        <w:tc>
          <w:tcPr>
            <w:tcW w:w="476" w:type="pct"/>
          </w:tcPr>
          <w:p w14:paraId="2BCD9D83" w14:textId="52321190" w:rsidR="00D33606" w:rsidRPr="00456498" w:rsidRDefault="00D33606" w:rsidP="00D33606">
            <w:pPr>
              <w:pStyle w:val="TableText"/>
            </w:pPr>
            <w:r>
              <w:t>0.007</w:t>
            </w:r>
          </w:p>
        </w:tc>
      </w:tr>
      <w:tr w:rsidR="006B233D" w:rsidRPr="00456498" w14:paraId="6FAD9E44" w14:textId="573D9113" w:rsidTr="006B233D">
        <w:tc>
          <w:tcPr>
            <w:tcW w:w="204" w:type="pct"/>
          </w:tcPr>
          <w:p w14:paraId="4543AE36" w14:textId="54D2065A" w:rsidR="00D33606" w:rsidRDefault="00D33606" w:rsidP="00B02557">
            <w:pPr>
              <w:pStyle w:val="TableText"/>
              <w:ind w:right="-681"/>
            </w:pPr>
            <w:r>
              <w:t>4</w:t>
            </w:r>
          </w:p>
        </w:tc>
        <w:tc>
          <w:tcPr>
            <w:tcW w:w="1824" w:type="pct"/>
          </w:tcPr>
          <w:p w14:paraId="5B23F1A1" w14:textId="4F075BD1" w:rsidR="00D33606" w:rsidRPr="00456498" w:rsidRDefault="00D33606" w:rsidP="003F0846">
            <w:pPr>
              <w:pStyle w:val="TableText"/>
              <w:ind w:right="-113"/>
            </w:pPr>
            <w:r w:rsidRPr="00B02557">
              <w:t>Halving of distance to regional MRF from regional MSW collections and regional C&amp;I collections</w:t>
            </w:r>
          </w:p>
        </w:tc>
        <w:tc>
          <w:tcPr>
            <w:tcW w:w="485" w:type="pct"/>
            <w:vMerge/>
          </w:tcPr>
          <w:p w14:paraId="5E55F5D4" w14:textId="0B834607" w:rsidR="00D33606" w:rsidRPr="00456498" w:rsidRDefault="00D33606" w:rsidP="00D33606">
            <w:pPr>
              <w:pStyle w:val="TableText"/>
            </w:pPr>
          </w:p>
        </w:tc>
        <w:tc>
          <w:tcPr>
            <w:tcW w:w="485" w:type="pct"/>
            <w:vMerge/>
          </w:tcPr>
          <w:p w14:paraId="22C4B702" w14:textId="62BD195F" w:rsidR="00D33606" w:rsidRPr="00456498" w:rsidRDefault="00D33606" w:rsidP="00D33606">
            <w:pPr>
              <w:pStyle w:val="TableText"/>
            </w:pPr>
          </w:p>
        </w:tc>
        <w:tc>
          <w:tcPr>
            <w:tcW w:w="421" w:type="pct"/>
          </w:tcPr>
          <w:p w14:paraId="429B5C06" w14:textId="463B489E" w:rsidR="00D33606" w:rsidRDefault="00867644" w:rsidP="008D38FF">
            <w:pPr>
              <w:pStyle w:val="TableText"/>
            </w:pPr>
            <w:r>
              <w:t>17,893</w:t>
            </w:r>
          </w:p>
        </w:tc>
        <w:tc>
          <w:tcPr>
            <w:tcW w:w="625" w:type="pct"/>
          </w:tcPr>
          <w:p w14:paraId="739B3902" w14:textId="1B66374E" w:rsidR="00D33606" w:rsidRDefault="00D33606" w:rsidP="00D33606">
            <w:pPr>
              <w:pStyle w:val="TableText"/>
            </w:pPr>
            <w:r>
              <w:t>1.3</w:t>
            </w:r>
          </w:p>
        </w:tc>
        <w:tc>
          <w:tcPr>
            <w:tcW w:w="480" w:type="pct"/>
          </w:tcPr>
          <w:p w14:paraId="04E875AD" w14:textId="4E3D1492" w:rsidR="00D33606" w:rsidRDefault="00D33606" w:rsidP="00D33606">
            <w:pPr>
              <w:pStyle w:val="TableText"/>
            </w:pPr>
            <w:r>
              <w:t>1.3</w:t>
            </w:r>
          </w:p>
        </w:tc>
        <w:tc>
          <w:tcPr>
            <w:tcW w:w="476" w:type="pct"/>
          </w:tcPr>
          <w:p w14:paraId="6FF3758B" w14:textId="13BA1A13" w:rsidR="00D33606" w:rsidRDefault="00D33606" w:rsidP="00D33606">
            <w:pPr>
              <w:pStyle w:val="TableText"/>
            </w:pPr>
            <w:r>
              <w:t>0.015</w:t>
            </w:r>
          </w:p>
        </w:tc>
      </w:tr>
      <w:tr w:rsidR="006B233D" w:rsidRPr="00EC405B" w14:paraId="4979831B" w14:textId="3A169530" w:rsidTr="00596FE7">
        <w:tc>
          <w:tcPr>
            <w:tcW w:w="204" w:type="pct"/>
            <w:shd w:val="clear" w:color="auto" w:fill="FFFFFF" w:themeFill="background2"/>
          </w:tcPr>
          <w:p w14:paraId="48C4791B" w14:textId="25618B99" w:rsidR="00D33606" w:rsidRPr="00EC405B" w:rsidRDefault="00D33606" w:rsidP="00B02557">
            <w:pPr>
              <w:pStyle w:val="TableText"/>
              <w:ind w:right="-681"/>
              <w:rPr>
                <w:b/>
                <w:i/>
              </w:rPr>
            </w:pPr>
            <w:r w:rsidRPr="00EC405B">
              <w:rPr>
                <w:b/>
                <w:i/>
              </w:rPr>
              <w:t>5</w:t>
            </w:r>
          </w:p>
        </w:tc>
        <w:tc>
          <w:tcPr>
            <w:tcW w:w="1824" w:type="pct"/>
            <w:shd w:val="clear" w:color="auto" w:fill="FFFFFF" w:themeFill="background2"/>
          </w:tcPr>
          <w:p w14:paraId="7A6FD9DB" w14:textId="30EB5422" w:rsidR="00D33606" w:rsidRPr="00EC405B" w:rsidRDefault="00D33606" w:rsidP="003F0846">
            <w:pPr>
              <w:pStyle w:val="TableText"/>
              <w:ind w:right="-113"/>
              <w:rPr>
                <w:b/>
                <w:i/>
              </w:rPr>
            </w:pPr>
            <w:r w:rsidRPr="00EC405B">
              <w:rPr>
                <w:b/>
                <w:i/>
              </w:rPr>
              <w:t>Combination of 1 to 4</w:t>
            </w:r>
          </w:p>
        </w:tc>
        <w:tc>
          <w:tcPr>
            <w:tcW w:w="485" w:type="pct"/>
            <w:vMerge/>
            <w:shd w:val="clear" w:color="auto" w:fill="FFFFFF" w:themeFill="background2"/>
          </w:tcPr>
          <w:p w14:paraId="3005A3B1" w14:textId="77777777" w:rsidR="00D33606" w:rsidRPr="00EC405B" w:rsidRDefault="00D33606" w:rsidP="00D33606">
            <w:pPr>
              <w:pStyle w:val="TableText"/>
              <w:rPr>
                <w:b/>
                <w:i/>
              </w:rPr>
            </w:pPr>
          </w:p>
        </w:tc>
        <w:tc>
          <w:tcPr>
            <w:tcW w:w="485" w:type="pct"/>
            <w:vMerge/>
            <w:shd w:val="clear" w:color="auto" w:fill="FFFFFF" w:themeFill="background2"/>
          </w:tcPr>
          <w:p w14:paraId="63657DF6" w14:textId="77777777" w:rsidR="00D33606" w:rsidRPr="00EC405B" w:rsidRDefault="00D33606" w:rsidP="00D33606">
            <w:pPr>
              <w:pStyle w:val="TableText"/>
              <w:rPr>
                <w:b/>
                <w:i/>
              </w:rPr>
            </w:pPr>
          </w:p>
        </w:tc>
        <w:tc>
          <w:tcPr>
            <w:tcW w:w="421" w:type="pct"/>
            <w:shd w:val="clear" w:color="auto" w:fill="FFFFFF" w:themeFill="background2"/>
          </w:tcPr>
          <w:p w14:paraId="479E3D34" w14:textId="72EFBE59" w:rsidR="00D33606" w:rsidRPr="00EC405B" w:rsidRDefault="00D33606" w:rsidP="008D38FF">
            <w:pPr>
              <w:pStyle w:val="TableText"/>
              <w:rPr>
                <w:b/>
                <w:i/>
              </w:rPr>
            </w:pPr>
            <w:r w:rsidRPr="00EC405B">
              <w:rPr>
                <w:b/>
                <w:i/>
              </w:rPr>
              <w:t>23,884</w:t>
            </w:r>
          </w:p>
        </w:tc>
        <w:tc>
          <w:tcPr>
            <w:tcW w:w="625" w:type="pct"/>
            <w:shd w:val="clear" w:color="auto" w:fill="FFFFFF" w:themeFill="background2"/>
          </w:tcPr>
          <w:p w14:paraId="1C9ED0E1" w14:textId="756072BC" w:rsidR="00D33606" w:rsidRPr="00EC405B" w:rsidRDefault="00D33606" w:rsidP="00D33606">
            <w:pPr>
              <w:pStyle w:val="TableText"/>
              <w:rPr>
                <w:b/>
                <w:i/>
              </w:rPr>
            </w:pPr>
            <w:r w:rsidRPr="00EC405B">
              <w:rPr>
                <w:b/>
                <w:i/>
              </w:rPr>
              <w:t>1.7</w:t>
            </w:r>
          </w:p>
        </w:tc>
        <w:tc>
          <w:tcPr>
            <w:tcW w:w="480" w:type="pct"/>
            <w:shd w:val="clear" w:color="auto" w:fill="FFFFFF" w:themeFill="background2"/>
          </w:tcPr>
          <w:p w14:paraId="13C00B2D" w14:textId="05E59246" w:rsidR="00D33606" w:rsidRPr="00EC405B" w:rsidRDefault="00D33606" w:rsidP="00D33606">
            <w:pPr>
              <w:pStyle w:val="TableText"/>
              <w:rPr>
                <w:b/>
                <w:i/>
              </w:rPr>
            </w:pPr>
            <w:r w:rsidRPr="00EC405B">
              <w:rPr>
                <w:b/>
                <w:i/>
              </w:rPr>
              <w:t>1.8</w:t>
            </w:r>
          </w:p>
        </w:tc>
        <w:tc>
          <w:tcPr>
            <w:tcW w:w="476" w:type="pct"/>
            <w:shd w:val="clear" w:color="auto" w:fill="FFFFFF" w:themeFill="background2"/>
          </w:tcPr>
          <w:p w14:paraId="0F662516" w14:textId="1D13F955" w:rsidR="00D33606" w:rsidRPr="00EC405B" w:rsidRDefault="00D33606" w:rsidP="00D33606">
            <w:pPr>
              <w:pStyle w:val="TableText"/>
              <w:rPr>
                <w:b/>
                <w:i/>
              </w:rPr>
            </w:pPr>
            <w:r w:rsidRPr="00EC405B">
              <w:rPr>
                <w:b/>
                <w:i/>
              </w:rPr>
              <w:t>0.020</w:t>
            </w:r>
          </w:p>
        </w:tc>
      </w:tr>
      <w:tr w:rsidR="006B233D" w:rsidRPr="00456498" w14:paraId="50A535B2" w14:textId="0BAA7D86" w:rsidTr="006B233D">
        <w:tc>
          <w:tcPr>
            <w:tcW w:w="204" w:type="pct"/>
          </w:tcPr>
          <w:p w14:paraId="1DF18EDB" w14:textId="1DAA0989" w:rsidR="00D33606" w:rsidRDefault="00D33606" w:rsidP="00B02557">
            <w:pPr>
              <w:pStyle w:val="TableText"/>
              <w:ind w:right="-681"/>
            </w:pPr>
            <w:r>
              <w:t>6</w:t>
            </w:r>
          </w:p>
        </w:tc>
        <w:tc>
          <w:tcPr>
            <w:tcW w:w="1824" w:type="pct"/>
          </w:tcPr>
          <w:p w14:paraId="71061E80" w14:textId="699915EF" w:rsidR="00D33606" w:rsidRDefault="00D33606" w:rsidP="003F0846">
            <w:pPr>
              <w:pStyle w:val="TableText"/>
              <w:ind w:right="-113"/>
            </w:pPr>
            <w:r>
              <w:t xml:space="preserve">Halving of distance to metro C&amp;D recycler from C&amp;D collections </w:t>
            </w:r>
          </w:p>
        </w:tc>
        <w:tc>
          <w:tcPr>
            <w:tcW w:w="485" w:type="pct"/>
            <w:vMerge/>
          </w:tcPr>
          <w:p w14:paraId="12CD0F50" w14:textId="77777777" w:rsidR="00D33606" w:rsidRDefault="00D33606" w:rsidP="00D33606">
            <w:pPr>
              <w:pStyle w:val="TableText"/>
            </w:pPr>
          </w:p>
        </w:tc>
        <w:tc>
          <w:tcPr>
            <w:tcW w:w="485" w:type="pct"/>
            <w:vMerge/>
          </w:tcPr>
          <w:p w14:paraId="5FD11872" w14:textId="77777777" w:rsidR="00D33606" w:rsidRDefault="00D33606" w:rsidP="00D33606">
            <w:pPr>
              <w:pStyle w:val="TableText"/>
            </w:pPr>
          </w:p>
        </w:tc>
        <w:tc>
          <w:tcPr>
            <w:tcW w:w="421" w:type="pct"/>
          </w:tcPr>
          <w:p w14:paraId="73A3C9F1" w14:textId="307AA8FB" w:rsidR="00D33606" w:rsidRDefault="00867644" w:rsidP="008D38FF">
            <w:pPr>
              <w:pStyle w:val="TableText"/>
            </w:pPr>
            <w:r>
              <w:t>6,014</w:t>
            </w:r>
          </w:p>
        </w:tc>
        <w:tc>
          <w:tcPr>
            <w:tcW w:w="625" w:type="pct"/>
          </w:tcPr>
          <w:p w14:paraId="6D871E68" w14:textId="79B83311" w:rsidR="00D33606" w:rsidRDefault="00D33606" w:rsidP="00D33606">
            <w:pPr>
              <w:pStyle w:val="TableText"/>
            </w:pPr>
            <w:r>
              <w:t>0.4</w:t>
            </w:r>
          </w:p>
        </w:tc>
        <w:tc>
          <w:tcPr>
            <w:tcW w:w="480" w:type="pct"/>
          </w:tcPr>
          <w:p w14:paraId="73A65F5C" w14:textId="15BDB346" w:rsidR="00D33606" w:rsidRDefault="00D33606" w:rsidP="00D33606">
            <w:pPr>
              <w:pStyle w:val="TableText"/>
            </w:pPr>
            <w:r>
              <w:t>0.4</w:t>
            </w:r>
          </w:p>
        </w:tc>
        <w:tc>
          <w:tcPr>
            <w:tcW w:w="476" w:type="pct"/>
          </w:tcPr>
          <w:p w14:paraId="269E423E" w14:textId="068C225B" w:rsidR="00D33606" w:rsidRDefault="00D33606" w:rsidP="00D33606">
            <w:pPr>
              <w:pStyle w:val="TableText"/>
            </w:pPr>
            <w:r>
              <w:t>0.005</w:t>
            </w:r>
          </w:p>
        </w:tc>
      </w:tr>
      <w:tr w:rsidR="006B233D" w:rsidRPr="00456498" w14:paraId="2C3B2285" w14:textId="019ADF9E" w:rsidTr="006B233D">
        <w:tc>
          <w:tcPr>
            <w:tcW w:w="204" w:type="pct"/>
          </w:tcPr>
          <w:p w14:paraId="31E94FA5" w14:textId="345C0C6F" w:rsidR="00D33606" w:rsidRDefault="00D33606" w:rsidP="00B02557">
            <w:pPr>
              <w:pStyle w:val="TableText"/>
              <w:ind w:right="-681"/>
            </w:pPr>
            <w:r>
              <w:t>7</w:t>
            </w:r>
          </w:p>
        </w:tc>
        <w:tc>
          <w:tcPr>
            <w:tcW w:w="1824" w:type="pct"/>
          </w:tcPr>
          <w:p w14:paraId="4D80B3D7" w14:textId="6C71FCEB" w:rsidR="00D33606" w:rsidRDefault="00D33606" w:rsidP="003F0846">
            <w:pPr>
              <w:pStyle w:val="TableText"/>
              <w:ind w:right="-113"/>
            </w:pPr>
            <w:r w:rsidRPr="00B02557">
              <w:t xml:space="preserve">Halving of distance to metro MRF from metro </w:t>
            </w:r>
            <w:r>
              <w:t>RRC</w:t>
            </w:r>
          </w:p>
        </w:tc>
        <w:tc>
          <w:tcPr>
            <w:tcW w:w="485" w:type="pct"/>
            <w:vMerge/>
          </w:tcPr>
          <w:p w14:paraId="5D800E27" w14:textId="77777777" w:rsidR="00D33606" w:rsidRDefault="00D33606" w:rsidP="00D33606">
            <w:pPr>
              <w:pStyle w:val="TableText"/>
            </w:pPr>
          </w:p>
        </w:tc>
        <w:tc>
          <w:tcPr>
            <w:tcW w:w="485" w:type="pct"/>
            <w:vMerge/>
          </w:tcPr>
          <w:p w14:paraId="14ABE036" w14:textId="77777777" w:rsidR="00D33606" w:rsidRDefault="00D33606" w:rsidP="00D33606">
            <w:pPr>
              <w:pStyle w:val="TableText"/>
            </w:pPr>
          </w:p>
        </w:tc>
        <w:tc>
          <w:tcPr>
            <w:tcW w:w="421" w:type="pct"/>
          </w:tcPr>
          <w:p w14:paraId="20C53CA1" w14:textId="46B5C816" w:rsidR="00D33606" w:rsidRDefault="00867644" w:rsidP="00D33606">
            <w:pPr>
              <w:pStyle w:val="TableText"/>
            </w:pPr>
            <w:r>
              <w:t>1,934</w:t>
            </w:r>
          </w:p>
        </w:tc>
        <w:tc>
          <w:tcPr>
            <w:tcW w:w="625" w:type="pct"/>
          </w:tcPr>
          <w:p w14:paraId="49B3AB21" w14:textId="16A844F1" w:rsidR="00D33606" w:rsidRDefault="00D33606" w:rsidP="00D33606">
            <w:pPr>
              <w:pStyle w:val="TableText"/>
            </w:pPr>
            <w:r>
              <w:t>0.1</w:t>
            </w:r>
          </w:p>
        </w:tc>
        <w:tc>
          <w:tcPr>
            <w:tcW w:w="480" w:type="pct"/>
          </w:tcPr>
          <w:p w14:paraId="0CB8E523" w14:textId="4F7335A2" w:rsidR="00D33606" w:rsidRDefault="00D33606" w:rsidP="00D33606">
            <w:pPr>
              <w:pStyle w:val="TableText"/>
            </w:pPr>
            <w:r>
              <w:t>0.1</w:t>
            </w:r>
          </w:p>
        </w:tc>
        <w:tc>
          <w:tcPr>
            <w:tcW w:w="476" w:type="pct"/>
          </w:tcPr>
          <w:p w14:paraId="2D81587D" w14:textId="7A423AFE" w:rsidR="00D33606" w:rsidRDefault="00D33606" w:rsidP="00D33606">
            <w:pPr>
              <w:pStyle w:val="TableText"/>
            </w:pPr>
            <w:r>
              <w:t>0.002</w:t>
            </w:r>
          </w:p>
        </w:tc>
      </w:tr>
      <w:tr w:rsidR="006B233D" w:rsidRPr="00456498" w14:paraId="2A910521" w14:textId="2DC4CC58" w:rsidTr="006B233D">
        <w:tc>
          <w:tcPr>
            <w:tcW w:w="204" w:type="pct"/>
          </w:tcPr>
          <w:p w14:paraId="226C624D" w14:textId="4712542E" w:rsidR="00D33606" w:rsidRDefault="00D33606" w:rsidP="00B02557">
            <w:pPr>
              <w:pStyle w:val="TableText"/>
              <w:ind w:right="-681"/>
            </w:pPr>
            <w:r>
              <w:t>8</w:t>
            </w:r>
          </w:p>
        </w:tc>
        <w:tc>
          <w:tcPr>
            <w:tcW w:w="1824" w:type="pct"/>
          </w:tcPr>
          <w:p w14:paraId="789AE9FC" w14:textId="073D5D27" w:rsidR="00D33606" w:rsidRDefault="00D33606" w:rsidP="003F0846">
            <w:pPr>
              <w:pStyle w:val="TableText"/>
              <w:ind w:right="-113"/>
            </w:pPr>
            <w:r w:rsidRPr="00B02557">
              <w:t xml:space="preserve">Halving of distance to metro and regional MRF from metro and regional </w:t>
            </w:r>
            <w:r>
              <w:t>RRC</w:t>
            </w:r>
          </w:p>
        </w:tc>
        <w:tc>
          <w:tcPr>
            <w:tcW w:w="485" w:type="pct"/>
            <w:vMerge/>
          </w:tcPr>
          <w:p w14:paraId="6A0F72F0" w14:textId="77777777" w:rsidR="00D33606" w:rsidRDefault="00D33606" w:rsidP="00D33606">
            <w:pPr>
              <w:pStyle w:val="TableText"/>
            </w:pPr>
          </w:p>
        </w:tc>
        <w:tc>
          <w:tcPr>
            <w:tcW w:w="485" w:type="pct"/>
            <w:vMerge/>
          </w:tcPr>
          <w:p w14:paraId="6DB94DE8" w14:textId="77777777" w:rsidR="00D33606" w:rsidRDefault="00D33606" w:rsidP="00D33606">
            <w:pPr>
              <w:pStyle w:val="TableText"/>
            </w:pPr>
          </w:p>
        </w:tc>
        <w:tc>
          <w:tcPr>
            <w:tcW w:w="421" w:type="pct"/>
          </w:tcPr>
          <w:p w14:paraId="78EEAC9F" w14:textId="0F729C90" w:rsidR="00D33606" w:rsidRDefault="00867644" w:rsidP="00D33606">
            <w:pPr>
              <w:pStyle w:val="TableText"/>
            </w:pPr>
            <w:r>
              <w:t>7,408</w:t>
            </w:r>
          </w:p>
        </w:tc>
        <w:tc>
          <w:tcPr>
            <w:tcW w:w="625" w:type="pct"/>
          </w:tcPr>
          <w:p w14:paraId="77614CF7" w14:textId="0B59054B" w:rsidR="00D33606" w:rsidRDefault="00D33606" w:rsidP="00D33606">
            <w:pPr>
              <w:pStyle w:val="TableText"/>
            </w:pPr>
            <w:r>
              <w:t>0.5</w:t>
            </w:r>
          </w:p>
        </w:tc>
        <w:tc>
          <w:tcPr>
            <w:tcW w:w="480" w:type="pct"/>
          </w:tcPr>
          <w:p w14:paraId="6AD28DA6" w14:textId="101BA0BE" w:rsidR="00D33606" w:rsidRDefault="00D33606" w:rsidP="00D33606">
            <w:pPr>
              <w:pStyle w:val="TableText"/>
            </w:pPr>
            <w:r>
              <w:t>0.5</w:t>
            </w:r>
          </w:p>
        </w:tc>
        <w:tc>
          <w:tcPr>
            <w:tcW w:w="476" w:type="pct"/>
          </w:tcPr>
          <w:p w14:paraId="71E006A3" w14:textId="4AA204B8" w:rsidR="00D33606" w:rsidRDefault="00D33606" w:rsidP="00D33606">
            <w:pPr>
              <w:pStyle w:val="TableText"/>
            </w:pPr>
            <w:r>
              <w:t>0.006</w:t>
            </w:r>
          </w:p>
        </w:tc>
      </w:tr>
      <w:tr w:rsidR="006B233D" w:rsidRPr="00456498" w14:paraId="39DC1874" w14:textId="4DEC4A72" w:rsidTr="006B233D">
        <w:tc>
          <w:tcPr>
            <w:tcW w:w="204" w:type="pct"/>
          </w:tcPr>
          <w:p w14:paraId="30217644" w14:textId="5F758C07" w:rsidR="00D33606" w:rsidRDefault="00D33606" w:rsidP="00B02557">
            <w:pPr>
              <w:pStyle w:val="TableText"/>
              <w:ind w:right="-681"/>
            </w:pPr>
            <w:r>
              <w:t>9</w:t>
            </w:r>
          </w:p>
        </w:tc>
        <w:tc>
          <w:tcPr>
            <w:tcW w:w="1824" w:type="pct"/>
          </w:tcPr>
          <w:p w14:paraId="6831B2F4" w14:textId="077F09DF" w:rsidR="00D33606" w:rsidRDefault="00D33606" w:rsidP="003F0846">
            <w:pPr>
              <w:pStyle w:val="TableText"/>
              <w:ind w:right="-113"/>
            </w:pPr>
            <w:r w:rsidRPr="00B02557">
              <w:t>Halving of distance to Vic o</w:t>
            </w:r>
            <w:r>
              <w:t>rganics processor from average o</w:t>
            </w:r>
            <w:r w:rsidRPr="00B02557">
              <w:t>rganics MSW organics collections</w:t>
            </w:r>
          </w:p>
        </w:tc>
        <w:tc>
          <w:tcPr>
            <w:tcW w:w="485" w:type="pct"/>
            <w:vMerge w:val="restart"/>
          </w:tcPr>
          <w:p w14:paraId="55AB25A3" w14:textId="757C1277" w:rsidR="00D33606" w:rsidRDefault="00D33606" w:rsidP="00D33606">
            <w:pPr>
              <w:pStyle w:val="TableText"/>
            </w:pPr>
            <w:r>
              <w:t>Organics</w:t>
            </w:r>
          </w:p>
        </w:tc>
        <w:tc>
          <w:tcPr>
            <w:tcW w:w="485" w:type="pct"/>
            <w:vMerge w:val="restart"/>
          </w:tcPr>
          <w:p w14:paraId="21CFC6BE" w14:textId="61DDF268" w:rsidR="00D33606" w:rsidRDefault="00D33606" w:rsidP="00D33606">
            <w:pPr>
              <w:pStyle w:val="TableText"/>
            </w:pPr>
            <w:r>
              <w:t>1-2</w:t>
            </w:r>
          </w:p>
        </w:tc>
        <w:tc>
          <w:tcPr>
            <w:tcW w:w="421" w:type="pct"/>
          </w:tcPr>
          <w:p w14:paraId="3B082969" w14:textId="4D0F1023" w:rsidR="00D33606" w:rsidRDefault="00867644" w:rsidP="00D33606">
            <w:pPr>
              <w:pStyle w:val="TableText"/>
            </w:pPr>
            <w:r>
              <w:t>3,303</w:t>
            </w:r>
          </w:p>
        </w:tc>
        <w:tc>
          <w:tcPr>
            <w:tcW w:w="625" w:type="pct"/>
          </w:tcPr>
          <w:p w14:paraId="43297870" w14:textId="70CB4B08" w:rsidR="00D33606" w:rsidRDefault="00D33606" w:rsidP="00D33606">
            <w:pPr>
              <w:pStyle w:val="TableText"/>
            </w:pPr>
            <w:r>
              <w:t>7.3</w:t>
            </w:r>
          </w:p>
        </w:tc>
        <w:tc>
          <w:tcPr>
            <w:tcW w:w="480" w:type="pct"/>
          </w:tcPr>
          <w:p w14:paraId="28FE2B9E" w14:textId="6D10E0D7" w:rsidR="00D33606" w:rsidRDefault="00D33606" w:rsidP="00D33606">
            <w:pPr>
              <w:pStyle w:val="TableText"/>
            </w:pPr>
            <w:r>
              <w:t>0.3</w:t>
            </w:r>
          </w:p>
        </w:tc>
        <w:tc>
          <w:tcPr>
            <w:tcW w:w="476" w:type="pct"/>
          </w:tcPr>
          <w:p w14:paraId="7CF0C842" w14:textId="49C5FBD3" w:rsidR="00D33606" w:rsidRDefault="00D33606" w:rsidP="00D33606">
            <w:pPr>
              <w:pStyle w:val="TableText"/>
            </w:pPr>
            <w:r>
              <w:t>0.003</w:t>
            </w:r>
          </w:p>
        </w:tc>
      </w:tr>
      <w:tr w:rsidR="006B233D" w:rsidRPr="00456498" w14:paraId="7D3B9146" w14:textId="632F4147" w:rsidTr="006B233D">
        <w:tc>
          <w:tcPr>
            <w:tcW w:w="204" w:type="pct"/>
          </w:tcPr>
          <w:p w14:paraId="0AF4A59E" w14:textId="44BBDABC" w:rsidR="00D33606" w:rsidRDefault="00D33606" w:rsidP="00B02557">
            <w:pPr>
              <w:pStyle w:val="TableText"/>
              <w:ind w:right="-681"/>
            </w:pPr>
            <w:r>
              <w:t>10</w:t>
            </w:r>
          </w:p>
        </w:tc>
        <w:tc>
          <w:tcPr>
            <w:tcW w:w="1824" w:type="pct"/>
          </w:tcPr>
          <w:p w14:paraId="474A6949" w14:textId="19C32E6E" w:rsidR="00D33606" w:rsidRDefault="00D33606" w:rsidP="003F0846">
            <w:pPr>
              <w:pStyle w:val="TableText"/>
              <w:ind w:right="-113"/>
            </w:pPr>
            <w:r w:rsidRPr="00B02557">
              <w:t xml:space="preserve">Halving of distance to Vic organics processor from average MSW, C&amp;I, C&amp;D organics collections and </w:t>
            </w:r>
            <w:r>
              <w:t>RRC</w:t>
            </w:r>
            <w:r w:rsidRPr="00B02557">
              <w:t xml:space="preserve"> (all)</w:t>
            </w:r>
          </w:p>
        </w:tc>
        <w:tc>
          <w:tcPr>
            <w:tcW w:w="485" w:type="pct"/>
            <w:vMerge/>
          </w:tcPr>
          <w:p w14:paraId="0CB5F8F4" w14:textId="77777777" w:rsidR="00D33606" w:rsidRDefault="00D33606" w:rsidP="00D33606">
            <w:pPr>
              <w:pStyle w:val="TableText"/>
            </w:pPr>
          </w:p>
        </w:tc>
        <w:tc>
          <w:tcPr>
            <w:tcW w:w="485" w:type="pct"/>
            <w:vMerge/>
          </w:tcPr>
          <w:p w14:paraId="3C1C5D8A" w14:textId="77777777" w:rsidR="00D33606" w:rsidRDefault="00D33606" w:rsidP="00D33606">
            <w:pPr>
              <w:pStyle w:val="TableText"/>
            </w:pPr>
          </w:p>
        </w:tc>
        <w:tc>
          <w:tcPr>
            <w:tcW w:w="421" w:type="pct"/>
          </w:tcPr>
          <w:p w14:paraId="273D5A1D" w14:textId="3047EF88" w:rsidR="00D33606" w:rsidRDefault="00867644" w:rsidP="00D33606">
            <w:pPr>
              <w:pStyle w:val="TableText"/>
            </w:pPr>
            <w:r>
              <w:t>5,513</w:t>
            </w:r>
          </w:p>
        </w:tc>
        <w:tc>
          <w:tcPr>
            <w:tcW w:w="625" w:type="pct"/>
          </w:tcPr>
          <w:p w14:paraId="77B6E259" w14:textId="60AC3F1B" w:rsidR="00D33606" w:rsidRDefault="00D33606" w:rsidP="00D33606">
            <w:pPr>
              <w:pStyle w:val="TableText"/>
            </w:pPr>
            <w:r>
              <w:t>12.2</w:t>
            </w:r>
          </w:p>
        </w:tc>
        <w:tc>
          <w:tcPr>
            <w:tcW w:w="480" w:type="pct"/>
          </w:tcPr>
          <w:p w14:paraId="3E166C0A" w14:textId="576A6846" w:rsidR="00D33606" w:rsidRDefault="00D33606" w:rsidP="00D33606">
            <w:pPr>
              <w:pStyle w:val="TableText"/>
            </w:pPr>
            <w:r>
              <w:t>0.4</w:t>
            </w:r>
          </w:p>
        </w:tc>
        <w:tc>
          <w:tcPr>
            <w:tcW w:w="476" w:type="pct"/>
          </w:tcPr>
          <w:p w14:paraId="26E82B6B" w14:textId="2A35D218" w:rsidR="00D33606" w:rsidRDefault="00D33606" w:rsidP="00D33606">
            <w:pPr>
              <w:pStyle w:val="TableText"/>
            </w:pPr>
            <w:r>
              <w:t>0.005</w:t>
            </w:r>
          </w:p>
        </w:tc>
      </w:tr>
      <w:tr w:rsidR="006B233D" w:rsidRPr="00456498" w14:paraId="5C87C9B3" w14:textId="5BD07E2F" w:rsidTr="006B233D">
        <w:tc>
          <w:tcPr>
            <w:tcW w:w="204" w:type="pct"/>
          </w:tcPr>
          <w:p w14:paraId="4C64770A" w14:textId="05E984C9" w:rsidR="00D33606" w:rsidRDefault="00D33606" w:rsidP="00B02557">
            <w:pPr>
              <w:pStyle w:val="TableText"/>
              <w:ind w:right="-681"/>
            </w:pPr>
            <w:r>
              <w:t>11</w:t>
            </w:r>
          </w:p>
        </w:tc>
        <w:tc>
          <w:tcPr>
            <w:tcW w:w="1824" w:type="pct"/>
          </w:tcPr>
          <w:p w14:paraId="072DBE26" w14:textId="6186F9E3" w:rsidR="00D33606" w:rsidRDefault="00D33606" w:rsidP="003F0846">
            <w:pPr>
              <w:pStyle w:val="TableText"/>
              <w:ind w:right="-113"/>
            </w:pPr>
            <w:r w:rsidRPr="003F0846">
              <w:t>Halving of distance to farm gate (organics market) from Vic organics processor</w:t>
            </w:r>
          </w:p>
        </w:tc>
        <w:tc>
          <w:tcPr>
            <w:tcW w:w="485" w:type="pct"/>
            <w:vMerge/>
          </w:tcPr>
          <w:p w14:paraId="00E47925" w14:textId="77777777" w:rsidR="00D33606" w:rsidRDefault="00D33606" w:rsidP="00D33606">
            <w:pPr>
              <w:pStyle w:val="TableText"/>
            </w:pPr>
          </w:p>
        </w:tc>
        <w:tc>
          <w:tcPr>
            <w:tcW w:w="485" w:type="pct"/>
            <w:vMerge/>
          </w:tcPr>
          <w:p w14:paraId="580842E7" w14:textId="77777777" w:rsidR="00D33606" w:rsidRDefault="00D33606" w:rsidP="00D33606">
            <w:pPr>
              <w:pStyle w:val="TableText"/>
            </w:pPr>
          </w:p>
        </w:tc>
        <w:tc>
          <w:tcPr>
            <w:tcW w:w="421" w:type="pct"/>
          </w:tcPr>
          <w:p w14:paraId="4FFB762E" w14:textId="394C791C" w:rsidR="00D33606" w:rsidRDefault="00867644" w:rsidP="00D33606">
            <w:pPr>
              <w:pStyle w:val="TableText"/>
            </w:pPr>
            <w:r>
              <w:t>4,542</w:t>
            </w:r>
          </w:p>
        </w:tc>
        <w:tc>
          <w:tcPr>
            <w:tcW w:w="625" w:type="pct"/>
          </w:tcPr>
          <w:p w14:paraId="7CF194FB" w14:textId="4A86536B" w:rsidR="00D33606" w:rsidRDefault="00D33606" w:rsidP="00D33606">
            <w:pPr>
              <w:pStyle w:val="TableText"/>
            </w:pPr>
            <w:r>
              <w:t>10.1</w:t>
            </w:r>
          </w:p>
        </w:tc>
        <w:tc>
          <w:tcPr>
            <w:tcW w:w="480" w:type="pct"/>
          </w:tcPr>
          <w:p w14:paraId="5AED4BF5" w14:textId="68C3017C" w:rsidR="00D33606" w:rsidRDefault="00D33606" w:rsidP="00D33606">
            <w:pPr>
              <w:pStyle w:val="TableText"/>
            </w:pPr>
            <w:r>
              <w:t>0.3</w:t>
            </w:r>
          </w:p>
        </w:tc>
        <w:tc>
          <w:tcPr>
            <w:tcW w:w="476" w:type="pct"/>
          </w:tcPr>
          <w:p w14:paraId="6885AD9C" w14:textId="1BBEC0A0" w:rsidR="00D33606" w:rsidRDefault="00D33606" w:rsidP="00D33606">
            <w:pPr>
              <w:pStyle w:val="TableText"/>
            </w:pPr>
            <w:r>
              <w:t>0.004</w:t>
            </w:r>
          </w:p>
        </w:tc>
      </w:tr>
      <w:tr w:rsidR="006B233D" w:rsidRPr="00596FE7" w14:paraId="19D3B36F" w14:textId="1BE9A98C" w:rsidTr="00596FE7">
        <w:tc>
          <w:tcPr>
            <w:tcW w:w="204" w:type="pct"/>
            <w:shd w:val="clear" w:color="auto" w:fill="FFFFFF" w:themeFill="background2"/>
          </w:tcPr>
          <w:p w14:paraId="0C2E7FDE" w14:textId="27E4CB51" w:rsidR="00D33606" w:rsidRPr="00596FE7" w:rsidRDefault="00D33606" w:rsidP="00B02557">
            <w:pPr>
              <w:pStyle w:val="TableText"/>
              <w:ind w:right="-681"/>
              <w:rPr>
                <w:i/>
              </w:rPr>
            </w:pPr>
            <w:r w:rsidRPr="00596FE7">
              <w:rPr>
                <w:i/>
              </w:rPr>
              <w:t>12</w:t>
            </w:r>
          </w:p>
        </w:tc>
        <w:tc>
          <w:tcPr>
            <w:tcW w:w="1824" w:type="pct"/>
            <w:shd w:val="clear" w:color="auto" w:fill="FFFFFF" w:themeFill="background2"/>
          </w:tcPr>
          <w:p w14:paraId="0F919FD0" w14:textId="3C31E766" w:rsidR="00D33606" w:rsidRPr="00596FE7" w:rsidRDefault="00D33606" w:rsidP="003F0846">
            <w:pPr>
              <w:pStyle w:val="TableText"/>
              <w:ind w:right="-113"/>
              <w:rPr>
                <w:i/>
              </w:rPr>
            </w:pPr>
            <w:r w:rsidRPr="00596FE7">
              <w:rPr>
                <w:i/>
              </w:rPr>
              <w:t>Combination of 10 and 11</w:t>
            </w:r>
          </w:p>
        </w:tc>
        <w:tc>
          <w:tcPr>
            <w:tcW w:w="485" w:type="pct"/>
            <w:vMerge/>
            <w:shd w:val="clear" w:color="auto" w:fill="FFFFFF" w:themeFill="background2"/>
          </w:tcPr>
          <w:p w14:paraId="60AC9AB2" w14:textId="77777777" w:rsidR="00D33606" w:rsidRPr="00596FE7" w:rsidRDefault="00D33606" w:rsidP="00D33606">
            <w:pPr>
              <w:pStyle w:val="TableText"/>
              <w:rPr>
                <w:i/>
              </w:rPr>
            </w:pPr>
          </w:p>
        </w:tc>
        <w:tc>
          <w:tcPr>
            <w:tcW w:w="485" w:type="pct"/>
            <w:vMerge/>
            <w:shd w:val="clear" w:color="auto" w:fill="FFFFFF" w:themeFill="background2"/>
          </w:tcPr>
          <w:p w14:paraId="58B777FA" w14:textId="77777777" w:rsidR="00D33606" w:rsidRPr="00596FE7" w:rsidRDefault="00D33606" w:rsidP="00D33606">
            <w:pPr>
              <w:pStyle w:val="TableText"/>
              <w:rPr>
                <w:i/>
              </w:rPr>
            </w:pPr>
          </w:p>
        </w:tc>
        <w:tc>
          <w:tcPr>
            <w:tcW w:w="421" w:type="pct"/>
            <w:shd w:val="clear" w:color="auto" w:fill="FFFFFF" w:themeFill="background2"/>
          </w:tcPr>
          <w:p w14:paraId="11829F72" w14:textId="5CD72632" w:rsidR="00D33606" w:rsidRPr="00596FE7" w:rsidRDefault="00867644" w:rsidP="00D33606">
            <w:pPr>
              <w:pStyle w:val="TableText"/>
              <w:rPr>
                <w:i/>
              </w:rPr>
            </w:pPr>
            <w:r w:rsidRPr="00596FE7">
              <w:rPr>
                <w:i/>
              </w:rPr>
              <w:t>10,055</w:t>
            </w:r>
          </w:p>
        </w:tc>
        <w:tc>
          <w:tcPr>
            <w:tcW w:w="625" w:type="pct"/>
            <w:shd w:val="clear" w:color="auto" w:fill="FFFFFF" w:themeFill="background2"/>
          </w:tcPr>
          <w:p w14:paraId="5B2B81EC" w14:textId="050BEC8A" w:rsidR="00D33606" w:rsidRPr="00596FE7" w:rsidRDefault="00D33606" w:rsidP="00D33606">
            <w:pPr>
              <w:pStyle w:val="TableText"/>
              <w:rPr>
                <w:i/>
              </w:rPr>
            </w:pPr>
            <w:r w:rsidRPr="00596FE7">
              <w:rPr>
                <w:i/>
              </w:rPr>
              <w:t>22.3</w:t>
            </w:r>
          </w:p>
        </w:tc>
        <w:tc>
          <w:tcPr>
            <w:tcW w:w="480" w:type="pct"/>
            <w:shd w:val="clear" w:color="auto" w:fill="FFFFFF" w:themeFill="background2"/>
          </w:tcPr>
          <w:p w14:paraId="2F242CB4" w14:textId="436273EB" w:rsidR="00D33606" w:rsidRPr="00596FE7" w:rsidRDefault="00D33606" w:rsidP="00D33606">
            <w:pPr>
              <w:pStyle w:val="TableText"/>
              <w:rPr>
                <w:i/>
              </w:rPr>
            </w:pPr>
            <w:r w:rsidRPr="00596FE7">
              <w:rPr>
                <w:i/>
              </w:rPr>
              <w:t>0.8</w:t>
            </w:r>
          </w:p>
        </w:tc>
        <w:tc>
          <w:tcPr>
            <w:tcW w:w="476" w:type="pct"/>
            <w:shd w:val="clear" w:color="auto" w:fill="FFFFFF" w:themeFill="background2"/>
          </w:tcPr>
          <w:p w14:paraId="6E1A26E4" w14:textId="5098F118" w:rsidR="00D33606" w:rsidRPr="00596FE7" w:rsidRDefault="00D33606" w:rsidP="00D33606">
            <w:pPr>
              <w:pStyle w:val="TableText"/>
              <w:rPr>
                <w:i/>
              </w:rPr>
            </w:pPr>
            <w:r w:rsidRPr="00596FE7">
              <w:rPr>
                <w:i/>
              </w:rPr>
              <w:t>0.009</w:t>
            </w:r>
          </w:p>
        </w:tc>
      </w:tr>
      <w:tr w:rsidR="006B233D" w:rsidRPr="00456498" w14:paraId="6A3CD44C" w14:textId="307D7126" w:rsidTr="006B233D">
        <w:tc>
          <w:tcPr>
            <w:tcW w:w="204" w:type="pct"/>
          </w:tcPr>
          <w:p w14:paraId="6F0C74FE" w14:textId="2FD16839" w:rsidR="00D33606" w:rsidRDefault="00D33606" w:rsidP="00B02557">
            <w:pPr>
              <w:pStyle w:val="TableText"/>
              <w:ind w:right="-681"/>
            </w:pPr>
            <w:r>
              <w:t>13</w:t>
            </w:r>
          </w:p>
        </w:tc>
        <w:tc>
          <w:tcPr>
            <w:tcW w:w="1824" w:type="pct"/>
          </w:tcPr>
          <w:p w14:paraId="19174589" w14:textId="74A6BC5A" w:rsidR="00D33606" w:rsidRDefault="00D33606" w:rsidP="003F0846">
            <w:pPr>
              <w:pStyle w:val="TableText"/>
              <w:ind w:right="-113"/>
            </w:pPr>
            <w:r w:rsidRPr="003F0846">
              <w:t xml:space="preserve">Halving of distance to metro landfill from metro </w:t>
            </w:r>
            <w:r w:rsidRPr="000C2E25">
              <w:t xml:space="preserve">MSW </w:t>
            </w:r>
            <w:r w:rsidR="000C2E25" w:rsidRPr="000C2E25">
              <w:t>collections</w:t>
            </w:r>
          </w:p>
        </w:tc>
        <w:tc>
          <w:tcPr>
            <w:tcW w:w="485" w:type="pct"/>
            <w:vMerge w:val="restart"/>
          </w:tcPr>
          <w:p w14:paraId="2CD362A6" w14:textId="2CBF5473" w:rsidR="00D33606" w:rsidRDefault="00D33606" w:rsidP="00D33606">
            <w:pPr>
              <w:pStyle w:val="TableText"/>
            </w:pPr>
            <w:r>
              <w:t>Landfill</w:t>
            </w:r>
          </w:p>
        </w:tc>
        <w:tc>
          <w:tcPr>
            <w:tcW w:w="485" w:type="pct"/>
            <w:vMerge w:val="restart"/>
          </w:tcPr>
          <w:p w14:paraId="447C57E4" w14:textId="22E43C11" w:rsidR="00D33606" w:rsidRDefault="00D33606" w:rsidP="00D33606">
            <w:pPr>
              <w:pStyle w:val="TableText"/>
            </w:pPr>
            <w:r>
              <w:t>1-3</w:t>
            </w:r>
          </w:p>
        </w:tc>
        <w:tc>
          <w:tcPr>
            <w:tcW w:w="421" w:type="pct"/>
          </w:tcPr>
          <w:p w14:paraId="71449AA5" w14:textId="230C6010" w:rsidR="00D33606" w:rsidRDefault="00867644" w:rsidP="00D33606">
            <w:pPr>
              <w:pStyle w:val="TableText"/>
            </w:pPr>
            <w:r>
              <w:t>5,381</w:t>
            </w:r>
          </w:p>
        </w:tc>
        <w:tc>
          <w:tcPr>
            <w:tcW w:w="625" w:type="pct"/>
          </w:tcPr>
          <w:p w14:paraId="6FED9D75" w14:textId="3DC0CDA3" w:rsidR="00D33606" w:rsidRDefault="00D33606" w:rsidP="00D33606">
            <w:pPr>
              <w:pStyle w:val="TableText"/>
            </w:pPr>
            <w:r>
              <w:t>4.2</w:t>
            </w:r>
          </w:p>
        </w:tc>
        <w:tc>
          <w:tcPr>
            <w:tcW w:w="480" w:type="pct"/>
          </w:tcPr>
          <w:p w14:paraId="09BE728A" w14:textId="4DA95E4E" w:rsidR="00D33606" w:rsidRDefault="00D33606" w:rsidP="00D33606">
            <w:pPr>
              <w:pStyle w:val="TableText"/>
            </w:pPr>
            <w:r>
              <w:t>0.4</w:t>
            </w:r>
          </w:p>
        </w:tc>
        <w:tc>
          <w:tcPr>
            <w:tcW w:w="476" w:type="pct"/>
          </w:tcPr>
          <w:p w14:paraId="576A8EFA" w14:textId="3A1E3310" w:rsidR="00D33606" w:rsidRDefault="00D33606" w:rsidP="00D33606">
            <w:pPr>
              <w:pStyle w:val="TableText"/>
            </w:pPr>
            <w:r>
              <w:t>0.005</w:t>
            </w:r>
          </w:p>
        </w:tc>
      </w:tr>
      <w:tr w:rsidR="006B233D" w:rsidRPr="00456498" w14:paraId="1931E949" w14:textId="350DB4AB" w:rsidTr="006B233D">
        <w:tc>
          <w:tcPr>
            <w:tcW w:w="204" w:type="pct"/>
          </w:tcPr>
          <w:p w14:paraId="63D42FDB" w14:textId="57D918E8" w:rsidR="00D33606" w:rsidRDefault="00D33606" w:rsidP="00B02557">
            <w:pPr>
              <w:pStyle w:val="TableText"/>
              <w:ind w:right="-681"/>
            </w:pPr>
            <w:r>
              <w:t>14</w:t>
            </w:r>
          </w:p>
        </w:tc>
        <w:tc>
          <w:tcPr>
            <w:tcW w:w="1824" w:type="pct"/>
          </w:tcPr>
          <w:p w14:paraId="04AD2C9A" w14:textId="21A16D9C" w:rsidR="00D33606" w:rsidRDefault="00D33606" w:rsidP="003F0846">
            <w:pPr>
              <w:pStyle w:val="TableText"/>
              <w:ind w:right="-113"/>
            </w:pPr>
            <w:r w:rsidRPr="003F0846">
              <w:t>Halving of distance to metro and regional landfill from metro and regional MSW collections</w:t>
            </w:r>
          </w:p>
        </w:tc>
        <w:tc>
          <w:tcPr>
            <w:tcW w:w="485" w:type="pct"/>
            <w:vMerge/>
          </w:tcPr>
          <w:p w14:paraId="0294C9F2" w14:textId="77777777" w:rsidR="00D33606" w:rsidRDefault="00D33606" w:rsidP="00D33606">
            <w:pPr>
              <w:pStyle w:val="TableText"/>
            </w:pPr>
          </w:p>
        </w:tc>
        <w:tc>
          <w:tcPr>
            <w:tcW w:w="485" w:type="pct"/>
            <w:vMerge/>
          </w:tcPr>
          <w:p w14:paraId="2113ECA8" w14:textId="77777777" w:rsidR="00D33606" w:rsidRDefault="00D33606" w:rsidP="00D33606">
            <w:pPr>
              <w:pStyle w:val="TableText"/>
            </w:pPr>
          </w:p>
        </w:tc>
        <w:tc>
          <w:tcPr>
            <w:tcW w:w="421" w:type="pct"/>
          </w:tcPr>
          <w:p w14:paraId="146AB52A" w14:textId="1F805C69" w:rsidR="00D33606" w:rsidRDefault="00867644" w:rsidP="00D33606">
            <w:pPr>
              <w:pStyle w:val="TableText"/>
            </w:pPr>
            <w:r>
              <w:t>10,442</w:t>
            </w:r>
          </w:p>
        </w:tc>
        <w:tc>
          <w:tcPr>
            <w:tcW w:w="625" w:type="pct"/>
          </w:tcPr>
          <w:p w14:paraId="5CB4C55A" w14:textId="4BB272C0" w:rsidR="00D33606" w:rsidRDefault="00D33606" w:rsidP="00D33606">
            <w:pPr>
              <w:pStyle w:val="TableText"/>
            </w:pPr>
            <w:r>
              <w:t>8.2</w:t>
            </w:r>
          </w:p>
        </w:tc>
        <w:tc>
          <w:tcPr>
            <w:tcW w:w="480" w:type="pct"/>
          </w:tcPr>
          <w:p w14:paraId="1E03F746" w14:textId="0C6C3777" w:rsidR="00D33606" w:rsidRDefault="00D33606" w:rsidP="00D33606">
            <w:pPr>
              <w:pStyle w:val="TableText"/>
            </w:pPr>
            <w:r>
              <w:t>0.8</w:t>
            </w:r>
          </w:p>
        </w:tc>
        <w:tc>
          <w:tcPr>
            <w:tcW w:w="476" w:type="pct"/>
          </w:tcPr>
          <w:p w14:paraId="69D8C9CD" w14:textId="05C638B7" w:rsidR="00D33606" w:rsidRDefault="00D33606" w:rsidP="00D33606">
            <w:pPr>
              <w:pStyle w:val="TableText"/>
            </w:pPr>
            <w:r>
              <w:t>0.009</w:t>
            </w:r>
          </w:p>
        </w:tc>
      </w:tr>
      <w:tr w:rsidR="006B233D" w:rsidRPr="00456498" w14:paraId="378D1B91" w14:textId="57637ADC" w:rsidTr="006B233D">
        <w:tc>
          <w:tcPr>
            <w:tcW w:w="204" w:type="pct"/>
          </w:tcPr>
          <w:p w14:paraId="3B9508EC" w14:textId="60EC474F" w:rsidR="00D33606" w:rsidRDefault="00D33606" w:rsidP="00B02557">
            <w:pPr>
              <w:pStyle w:val="TableText"/>
              <w:ind w:right="-681"/>
            </w:pPr>
            <w:r>
              <w:t>15</w:t>
            </w:r>
          </w:p>
        </w:tc>
        <w:tc>
          <w:tcPr>
            <w:tcW w:w="1824" w:type="pct"/>
          </w:tcPr>
          <w:p w14:paraId="42F69DD9" w14:textId="0760FEE5" w:rsidR="00D33606" w:rsidRDefault="00D33606" w:rsidP="003F0846">
            <w:pPr>
              <w:pStyle w:val="TableText"/>
              <w:ind w:right="-113"/>
            </w:pPr>
            <w:r w:rsidRPr="003F0846">
              <w:t xml:space="preserve">Halving of distance to metro landfill from metro </w:t>
            </w:r>
            <w:r>
              <w:t>RRC</w:t>
            </w:r>
          </w:p>
        </w:tc>
        <w:tc>
          <w:tcPr>
            <w:tcW w:w="485" w:type="pct"/>
            <w:vMerge/>
          </w:tcPr>
          <w:p w14:paraId="0A126CD8" w14:textId="77777777" w:rsidR="00D33606" w:rsidRDefault="00D33606" w:rsidP="00D33606">
            <w:pPr>
              <w:pStyle w:val="TableText"/>
            </w:pPr>
          </w:p>
        </w:tc>
        <w:tc>
          <w:tcPr>
            <w:tcW w:w="485" w:type="pct"/>
            <w:vMerge/>
          </w:tcPr>
          <w:p w14:paraId="7FE65A3B" w14:textId="77777777" w:rsidR="00D33606" w:rsidRDefault="00D33606" w:rsidP="00D33606">
            <w:pPr>
              <w:pStyle w:val="TableText"/>
            </w:pPr>
          </w:p>
        </w:tc>
        <w:tc>
          <w:tcPr>
            <w:tcW w:w="421" w:type="pct"/>
          </w:tcPr>
          <w:p w14:paraId="43207960" w14:textId="6D9779D0" w:rsidR="00D33606" w:rsidRDefault="00867644" w:rsidP="00D33606">
            <w:pPr>
              <w:pStyle w:val="TableText"/>
            </w:pPr>
            <w:r>
              <w:t>1,166</w:t>
            </w:r>
          </w:p>
        </w:tc>
        <w:tc>
          <w:tcPr>
            <w:tcW w:w="625" w:type="pct"/>
          </w:tcPr>
          <w:p w14:paraId="4FDD401A" w14:textId="739D7F66" w:rsidR="00D33606" w:rsidRDefault="00D33606" w:rsidP="00D33606">
            <w:pPr>
              <w:pStyle w:val="TableText"/>
            </w:pPr>
            <w:r>
              <w:t>0.9</w:t>
            </w:r>
          </w:p>
        </w:tc>
        <w:tc>
          <w:tcPr>
            <w:tcW w:w="480" w:type="pct"/>
          </w:tcPr>
          <w:p w14:paraId="75F0F252" w14:textId="0FE83B4E" w:rsidR="00D33606" w:rsidRDefault="00D33606" w:rsidP="00D33606">
            <w:pPr>
              <w:pStyle w:val="TableText"/>
            </w:pPr>
            <w:r>
              <w:t>0.1</w:t>
            </w:r>
          </w:p>
        </w:tc>
        <w:tc>
          <w:tcPr>
            <w:tcW w:w="476" w:type="pct"/>
          </w:tcPr>
          <w:p w14:paraId="1E6D3047" w14:textId="4AAB941C" w:rsidR="00D33606" w:rsidRDefault="00D33606" w:rsidP="00D33606">
            <w:pPr>
              <w:pStyle w:val="TableText"/>
            </w:pPr>
            <w:r>
              <w:t>0.001</w:t>
            </w:r>
          </w:p>
        </w:tc>
      </w:tr>
      <w:tr w:rsidR="006B233D" w:rsidRPr="00456498" w14:paraId="31A67124" w14:textId="76C09845" w:rsidTr="006B233D">
        <w:tc>
          <w:tcPr>
            <w:tcW w:w="204" w:type="pct"/>
          </w:tcPr>
          <w:p w14:paraId="3838E8FC" w14:textId="11AFC2B6" w:rsidR="00D33606" w:rsidRDefault="00D33606" w:rsidP="00B02557">
            <w:pPr>
              <w:pStyle w:val="TableText"/>
              <w:ind w:right="-681"/>
            </w:pPr>
            <w:r>
              <w:t>16</w:t>
            </w:r>
          </w:p>
        </w:tc>
        <w:tc>
          <w:tcPr>
            <w:tcW w:w="1824" w:type="pct"/>
          </w:tcPr>
          <w:p w14:paraId="3A8FE2F5" w14:textId="7ABD78E2" w:rsidR="00D33606" w:rsidRDefault="00D33606" w:rsidP="003F0846">
            <w:pPr>
              <w:pStyle w:val="TableText"/>
              <w:ind w:right="-113"/>
            </w:pPr>
            <w:r w:rsidRPr="003F0846">
              <w:t xml:space="preserve">Halving of distance to metro and regional landfill from metro and regional </w:t>
            </w:r>
            <w:r>
              <w:t>RRC</w:t>
            </w:r>
          </w:p>
        </w:tc>
        <w:tc>
          <w:tcPr>
            <w:tcW w:w="485" w:type="pct"/>
            <w:vMerge/>
          </w:tcPr>
          <w:p w14:paraId="3D0296B0" w14:textId="77777777" w:rsidR="00D33606" w:rsidRDefault="00D33606" w:rsidP="00D33606">
            <w:pPr>
              <w:pStyle w:val="TableText"/>
            </w:pPr>
          </w:p>
        </w:tc>
        <w:tc>
          <w:tcPr>
            <w:tcW w:w="485" w:type="pct"/>
            <w:vMerge/>
          </w:tcPr>
          <w:p w14:paraId="275BB4EE" w14:textId="77777777" w:rsidR="00D33606" w:rsidRDefault="00D33606" w:rsidP="00D33606">
            <w:pPr>
              <w:pStyle w:val="TableText"/>
            </w:pPr>
          </w:p>
        </w:tc>
        <w:tc>
          <w:tcPr>
            <w:tcW w:w="421" w:type="pct"/>
          </w:tcPr>
          <w:p w14:paraId="0438E3E2" w14:textId="32F7358A" w:rsidR="00D33606" w:rsidRDefault="00867644" w:rsidP="00D33606">
            <w:pPr>
              <w:pStyle w:val="TableText"/>
            </w:pPr>
            <w:r>
              <w:t>2,205</w:t>
            </w:r>
          </w:p>
        </w:tc>
        <w:tc>
          <w:tcPr>
            <w:tcW w:w="625" w:type="pct"/>
          </w:tcPr>
          <w:p w14:paraId="158B0B47" w14:textId="2B2065AB" w:rsidR="00D33606" w:rsidRDefault="00D33606" w:rsidP="00D33606">
            <w:pPr>
              <w:pStyle w:val="TableText"/>
            </w:pPr>
            <w:r>
              <w:t>1.7</w:t>
            </w:r>
          </w:p>
        </w:tc>
        <w:tc>
          <w:tcPr>
            <w:tcW w:w="480" w:type="pct"/>
          </w:tcPr>
          <w:p w14:paraId="123C62C9" w14:textId="04967517" w:rsidR="00D33606" w:rsidRDefault="00D33606" w:rsidP="00D33606">
            <w:pPr>
              <w:pStyle w:val="TableText"/>
            </w:pPr>
            <w:r>
              <w:t>0.2</w:t>
            </w:r>
          </w:p>
        </w:tc>
        <w:tc>
          <w:tcPr>
            <w:tcW w:w="476" w:type="pct"/>
          </w:tcPr>
          <w:p w14:paraId="559E7485" w14:textId="791460A6" w:rsidR="00D33606" w:rsidRDefault="00D33606" w:rsidP="00D33606">
            <w:pPr>
              <w:pStyle w:val="TableText"/>
            </w:pPr>
            <w:r>
              <w:t>0.002</w:t>
            </w:r>
          </w:p>
        </w:tc>
      </w:tr>
      <w:tr w:rsidR="006B233D" w:rsidRPr="00456498" w14:paraId="6E18A7AA" w14:textId="7733EB57" w:rsidTr="006B233D">
        <w:tc>
          <w:tcPr>
            <w:tcW w:w="204" w:type="pct"/>
          </w:tcPr>
          <w:p w14:paraId="5CEC43F4" w14:textId="742FBF69" w:rsidR="00D33606" w:rsidRDefault="00D33606" w:rsidP="00B02557">
            <w:pPr>
              <w:pStyle w:val="TableText"/>
              <w:ind w:right="-681"/>
            </w:pPr>
            <w:r>
              <w:t>17</w:t>
            </w:r>
          </w:p>
        </w:tc>
        <w:tc>
          <w:tcPr>
            <w:tcW w:w="1824" w:type="pct"/>
          </w:tcPr>
          <w:p w14:paraId="105DBBED" w14:textId="1A14E538" w:rsidR="00D33606" w:rsidRDefault="00D33606" w:rsidP="003F0846">
            <w:pPr>
              <w:pStyle w:val="TableText"/>
              <w:ind w:right="-113"/>
            </w:pPr>
            <w:r w:rsidRPr="003F0846">
              <w:t>Reduction of methane gas recovery rate from landfill (by -15%)</w:t>
            </w:r>
          </w:p>
        </w:tc>
        <w:tc>
          <w:tcPr>
            <w:tcW w:w="485" w:type="pct"/>
            <w:vMerge/>
          </w:tcPr>
          <w:p w14:paraId="76FF3675" w14:textId="77777777" w:rsidR="00D33606" w:rsidRDefault="00D33606" w:rsidP="00D33606">
            <w:pPr>
              <w:pStyle w:val="TableText"/>
            </w:pPr>
          </w:p>
        </w:tc>
        <w:tc>
          <w:tcPr>
            <w:tcW w:w="485" w:type="pct"/>
            <w:vMerge/>
          </w:tcPr>
          <w:p w14:paraId="37D90BA8" w14:textId="77777777" w:rsidR="00D33606" w:rsidRDefault="00D33606" w:rsidP="00D33606">
            <w:pPr>
              <w:pStyle w:val="TableText"/>
            </w:pPr>
          </w:p>
        </w:tc>
        <w:tc>
          <w:tcPr>
            <w:tcW w:w="421" w:type="pct"/>
          </w:tcPr>
          <w:p w14:paraId="1CA10E44" w14:textId="07C8E8C1" w:rsidR="00D33606" w:rsidRDefault="00867644" w:rsidP="00D33606">
            <w:pPr>
              <w:pStyle w:val="TableText"/>
            </w:pPr>
            <w:r>
              <w:t>89,372</w:t>
            </w:r>
          </w:p>
        </w:tc>
        <w:tc>
          <w:tcPr>
            <w:tcW w:w="625" w:type="pct"/>
          </w:tcPr>
          <w:p w14:paraId="69ACFF32" w14:textId="29B71921" w:rsidR="00D33606" w:rsidRDefault="00D33606" w:rsidP="00D33606">
            <w:pPr>
              <w:pStyle w:val="TableText"/>
            </w:pPr>
            <w:r>
              <w:t>70.4</w:t>
            </w:r>
          </w:p>
        </w:tc>
        <w:tc>
          <w:tcPr>
            <w:tcW w:w="480" w:type="pct"/>
          </w:tcPr>
          <w:p w14:paraId="2CC71FB8" w14:textId="38438883" w:rsidR="00D33606" w:rsidRDefault="00D33606" w:rsidP="00D33606">
            <w:pPr>
              <w:pStyle w:val="TableText"/>
            </w:pPr>
            <w:r>
              <w:t>6.6</w:t>
            </w:r>
          </w:p>
        </w:tc>
        <w:tc>
          <w:tcPr>
            <w:tcW w:w="476" w:type="pct"/>
          </w:tcPr>
          <w:p w14:paraId="1DD852B5" w14:textId="1A5F0AC3" w:rsidR="00D33606" w:rsidRDefault="00D33606" w:rsidP="00D33606">
            <w:pPr>
              <w:pStyle w:val="TableText"/>
            </w:pPr>
            <w:r>
              <w:t>0.076</w:t>
            </w:r>
          </w:p>
        </w:tc>
      </w:tr>
      <w:tr w:rsidR="006B233D" w:rsidRPr="00EC405B" w14:paraId="036F0E4D" w14:textId="46F593D4" w:rsidTr="006B233D">
        <w:tc>
          <w:tcPr>
            <w:tcW w:w="204" w:type="pct"/>
          </w:tcPr>
          <w:p w14:paraId="34D6B1AD" w14:textId="50CAA149" w:rsidR="00D33606" w:rsidRPr="00EC405B" w:rsidRDefault="00D33606" w:rsidP="00B02557">
            <w:pPr>
              <w:pStyle w:val="TableText"/>
              <w:ind w:right="-681"/>
              <w:rPr>
                <w:b/>
              </w:rPr>
            </w:pPr>
            <w:r w:rsidRPr="00EC405B">
              <w:rPr>
                <w:b/>
              </w:rPr>
              <w:t>18</w:t>
            </w:r>
          </w:p>
        </w:tc>
        <w:tc>
          <w:tcPr>
            <w:tcW w:w="1824" w:type="pct"/>
          </w:tcPr>
          <w:p w14:paraId="7C562B6F" w14:textId="3EA6A501" w:rsidR="00D33606" w:rsidRPr="00EC405B" w:rsidRDefault="00D33606" w:rsidP="003F0846">
            <w:pPr>
              <w:pStyle w:val="TableText"/>
              <w:ind w:right="-113"/>
              <w:rPr>
                <w:b/>
              </w:rPr>
            </w:pPr>
            <w:r w:rsidRPr="00EC405B">
              <w:rPr>
                <w:b/>
              </w:rPr>
              <w:t>Increase of methane gas recovery rate from landfill (by +15%)</w:t>
            </w:r>
          </w:p>
        </w:tc>
        <w:tc>
          <w:tcPr>
            <w:tcW w:w="485" w:type="pct"/>
            <w:vMerge/>
          </w:tcPr>
          <w:p w14:paraId="10CD4EA4" w14:textId="77777777" w:rsidR="00D33606" w:rsidRPr="00EC405B" w:rsidRDefault="00D33606" w:rsidP="00D33606">
            <w:pPr>
              <w:pStyle w:val="TableText"/>
              <w:rPr>
                <w:b/>
              </w:rPr>
            </w:pPr>
          </w:p>
        </w:tc>
        <w:tc>
          <w:tcPr>
            <w:tcW w:w="485" w:type="pct"/>
            <w:vMerge/>
          </w:tcPr>
          <w:p w14:paraId="2F4EB33C" w14:textId="77777777" w:rsidR="00D33606" w:rsidRPr="00EC405B" w:rsidRDefault="00D33606" w:rsidP="00D33606">
            <w:pPr>
              <w:pStyle w:val="TableText"/>
              <w:rPr>
                <w:b/>
              </w:rPr>
            </w:pPr>
          </w:p>
        </w:tc>
        <w:tc>
          <w:tcPr>
            <w:tcW w:w="421" w:type="pct"/>
          </w:tcPr>
          <w:p w14:paraId="793ECD79" w14:textId="2B95BE68" w:rsidR="00D33606" w:rsidRPr="00EC405B" w:rsidRDefault="00867644" w:rsidP="00D33606">
            <w:pPr>
              <w:pStyle w:val="TableText"/>
              <w:rPr>
                <w:b/>
              </w:rPr>
            </w:pPr>
            <w:r w:rsidRPr="00EC405B">
              <w:rPr>
                <w:b/>
              </w:rPr>
              <w:t>86,003</w:t>
            </w:r>
          </w:p>
        </w:tc>
        <w:tc>
          <w:tcPr>
            <w:tcW w:w="625" w:type="pct"/>
          </w:tcPr>
          <w:p w14:paraId="795DA280" w14:textId="794844C5" w:rsidR="00D33606" w:rsidRPr="00EC405B" w:rsidRDefault="0020394F" w:rsidP="00D33606">
            <w:pPr>
              <w:pStyle w:val="TableText"/>
              <w:rPr>
                <w:b/>
              </w:rPr>
            </w:pPr>
            <w:r w:rsidRPr="00EC405B">
              <w:rPr>
                <w:b/>
              </w:rPr>
              <w:t>67.8</w:t>
            </w:r>
          </w:p>
        </w:tc>
        <w:tc>
          <w:tcPr>
            <w:tcW w:w="480" w:type="pct"/>
          </w:tcPr>
          <w:p w14:paraId="182FF8F8" w14:textId="4A4D5AC7" w:rsidR="00D33606" w:rsidRPr="00EC405B" w:rsidRDefault="0020394F" w:rsidP="00D33606">
            <w:pPr>
              <w:pStyle w:val="TableText"/>
              <w:rPr>
                <w:b/>
              </w:rPr>
            </w:pPr>
            <w:r w:rsidRPr="00EC405B">
              <w:rPr>
                <w:b/>
              </w:rPr>
              <w:t>6.4</w:t>
            </w:r>
          </w:p>
        </w:tc>
        <w:tc>
          <w:tcPr>
            <w:tcW w:w="476" w:type="pct"/>
          </w:tcPr>
          <w:p w14:paraId="5634FAD7" w14:textId="70D913C7" w:rsidR="00D33606" w:rsidRPr="00EC405B" w:rsidRDefault="0020394F" w:rsidP="00D33606">
            <w:pPr>
              <w:pStyle w:val="TableText"/>
              <w:rPr>
                <w:b/>
              </w:rPr>
            </w:pPr>
            <w:r w:rsidRPr="00EC405B">
              <w:rPr>
                <w:b/>
              </w:rPr>
              <w:t>0.073</w:t>
            </w:r>
          </w:p>
        </w:tc>
      </w:tr>
      <w:tr w:rsidR="006B233D" w:rsidRPr="00596FE7" w14:paraId="0DB28D4F" w14:textId="24786313" w:rsidTr="00596FE7">
        <w:trPr>
          <w:cnfStyle w:val="010000000000" w:firstRow="0" w:lastRow="1" w:firstColumn="0" w:lastColumn="0" w:oddVBand="0" w:evenVBand="0" w:oddHBand="0" w:evenHBand="0" w:firstRowFirstColumn="0" w:firstRowLastColumn="0" w:lastRowFirstColumn="0" w:lastRowLastColumn="0"/>
        </w:trPr>
        <w:tc>
          <w:tcPr>
            <w:tcW w:w="204" w:type="pct"/>
            <w:shd w:val="clear" w:color="auto" w:fill="FFFFFF" w:themeFill="background2"/>
          </w:tcPr>
          <w:p w14:paraId="5CA6EF08" w14:textId="1DED3D19" w:rsidR="00D33606" w:rsidRPr="00596FE7" w:rsidRDefault="00D33606" w:rsidP="00B02557">
            <w:pPr>
              <w:pStyle w:val="TableText"/>
              <w:ind w:right="-681"/>
              <w:rPr>
                <w:i/>
              </w:rPr>
            </w:pPr>
            <w:r w:rsidRPr="00596FE7">
              <w:rPr>
                <w:i/>
              </w:rPr>
              <w:t>19</w:t>
            </w:r>
          </w:p>
        </w:tc>
        <w:tc>
          <w:tcPr>
            <w:tcW w:w="1824" w:type="pct"/>
            <w:shd w:val="clear" w:color="auto" w:fill="FFFFFF" w:themeFill="background2"/>
          </w:tcPr>
          <w:p w14:paraId="2899F6D9" w14:textId="0321B197" w:rsidR="00D33606" w:rsidRPr="00596FE7" w:rsidRDefault="00D33606" w:rsidP="003F0846">
            <w:pPr>
              <w:pStyle w:val="TableText"/>
              <w:ind w:right="-113"/>
              <w:rPr>
                <w:i/>
              </w:rPr>
            </w:pPr>
            <w:r w:rsidRPr="00596FE7">
              <w:rPr>
                <w:i/>
              </w:rPr>
              <w:t>Combination of 8 and 16</w:t>
            </w:r>
          </w:p>
        </w:tc>
        <w:tc>
          <w:tcPr>
            <w:tcW w:w="485" w:type="pct"/>
            <w:shd w:val="clear" w:color="auto" w:fill="FFFFFF" w:themeFill="background2"/>
          </w:tcPr>
          <w:p w14:paraId="359FBD6C" w14:textId="0D42A606" w:rsidR="00D33606" w:rsidRPr="00596FE7" w:rsidRDefault="00D33606" w:rsidP="00D33606">
            <w:pPr>
              <w:pStyle w:val="TableText"/>
            </w:pPr>
            <w:r w:rsidRPr="00596FE7">
              <w:t>RR and Landfill</w:t>
            </w:r>
          </w:p>
        </w:tc>
        <w:tc>
          <w:tcPr>
            <w:tcW w:w="485" w:type="pct"/>
            <w:shd w:val="clear" w:color="auto" w:fill="FFFFFF" w:themeFill="background2"/>
          </w:tcPr>
          <w:p w14:paraId="4C32A2DD" w14:textId="6E9C7616" w:rsidR="00D33606" w:rsidRPr="00596FE7" w:rsidRDefault="00D33606" w:rsidP="00D33606">
            <w:pPr>
              <w:pStyle w:val="TableText"/>
              <w:rPr>
                <w:i/>
              </w:rPr>
            </w:pPr>
            <w:r w:rsidRPr="00596FE7">
              <w:rPr>
                <w:i/>
              </w:rPr>
              <w:t>1-3</w:t>
            </w:r>
          </w:p>
        </w:tc>
        <w:tc>
          <w:tcPr>
            <w:tcW w:w="421" w:type="pct"/>
            <w:shd w:val="clear" w:color="auto" w:fill="FFFFFF" w:themeFill="background2"/>
          </w:tcPr>
          <w:p w14:paraId="4D9ECED4" w14:textId="544359B0" w:rsidR="00D33606" w:rsidRPr="00596FE7" w:rsidRDefault="00D33606" w:rsidP="00D33606">
            <w:pPr>
              <w:pStyle w:val="TableText"/>
              <w:rPr>
                <w:i/>
              </w:rPr>
            </w:pPr>
            <w:r w:rsidRPr="00596FE7">
              <w:rPr>
                <w:i/>
              </w:rPr>
              <w:t>9,613</w:t>
            </w:r>
          </w:p>
        </w:tc>
        <w:tc>
          <w:tcPr>
            <w:tcW w:w="625" w:type="pct"/>
            <w:shd w:val="clear" w:color="auto" w:fill="FFFFFF" w:themeFill="background2"/>
          </w:tcPr>
          <w:p w14:paraId="60716CFC" w14:textId="2059866C" w:rsidR="00D33606" w:rsidRPr="00596FE7" w:rsidRDefault="0020394F" w:rsidP="00D33606">
            <w:pPr>
              <w:pStyle w:val="TableText"/>
              <w:rPr>
                <w:i/>
              </w:rPr>
            </w:pPr>
            <w:r w:rsidRPr="00596FE7">
              <w:rPr>
                <w:i/>
              </w:rPr>
              <w:t>0.8</w:t>
            </w:r>
          </w:p>
        </w:tc>
        <w:tc>
          <w:tcPr>
            <w:tcW w:w="480" w:type="pct"/>
            <w:shd w:val="clear" w:color="auto" w:fill="FFFFFF" w:themeFill="background2"/>
          </w:tcPr>
          <w:p w14:paraId="7A6EF4CE" w14:textId="3403C438" w:rsidR="00D33606" w:rsidRPr="00596FE7" w:rsidRDefault="0020394F" w:rsidP="00D33606">
            <w:pPr>
              <w:pStyle w:val="TableText"/>
              <w:rPr>
                <w:i/>
              </w:rPr>
            </w:pPr>
            <w:r w:rsidRPr="00596FE7">
              <w:rPr>
                <w:i/>
              </w:rPr>
              <w:t>0.7</w:t>
            </w:r>
          </w:p>
        </w:tc>
        <w:tc>
          <w:tcPr>
            <w:tcW w:w="476" w:type="pct"/>
            <w:shd w:val="clear" w:color="auto" w:fill="FFFFFF" w:themeFill="background2"/>
          </w:tcPr>
          <w:p w14:paraId="397D8853" w14:textId="7F0A5273" w:rsidR="00D33606" w:rsidRPr="00596FE7" w:rsidRDefault="0020394F" w:rsidP="00D33606">
            <w:pPr>
              <w:pStyle w:val="TableText"/>
              <w:rPr>
                <w:i/>
              </w:rPr>
            </w:pPr>
            <w:r w:rsidRPr="00596FE7">
              <w:rPr>
                <w:i/>
              </w:rPr>
              <w:t>0.008</w:t>
            </w:r>
          </w:p>
        </w:tc>
      </w:tr>
    </w:tbl>
    <w:p w14:paraId="038D6A9A" w14:textId="5C443A52" w:rsidR="00B02557" w:rsidRDefault="00B02557" w:rsidP="00D26762"/>
    <w:p w14:paraId="395EECC7" w14:textId="1AF5FCD3" w:rsidR="000C2E25" w:rsidRDefault="000C2E25" w:rsidP="000C2E25">
      <w:pPr>
        <w:pStyle w:val="Heading1Numbered"/>
      </w:pPr>
      <w:bookmarkStart w:id="23" w:name="_Toc16499295"/>
      <w:r>
        <w:t>Uncertainty of results</w:t>
      </w:r>
      <w:bookmarkEnd w:id="23"/>
    </w:p>
    <w:p w14:paraId="09AE72C7" w14:textId="78D4A0FF" w:rsidR="000C2E25" w:rsidRDefault="000817BB" w:rsidP="000C2E25">
      <w:r>
        <w:t>There are two</w:t>
      </w:r>
      <w:r w:rsidR="000C2E25">
        <w:t xml:space="preserve"> points </w:t>
      </w:r>
      <w:r w:rsidR="00E06265">
        <w:t xml:space="preserve">where </w:t>
      </w:r>
      <w:r w:rsidR="000C2E25">
        <w:t xml:space="preserve">the modelling </w:t>
      </w:r>
      <w:r w:rsidR="004D4924">
        <w:t>is</w:t>
      </w:r>
      <w:r w:rsidR="000C2E25">
        <w:t xml:space="preserve"> uncertain. The first point is in the </w:t>
      </w:r>
      <w:r w:rsidR="00172D5F">
        <w:t xml:space="preserve">scope </w:t>
      </w:r>
      <w:r w:rsidR="000C2E25">
        <w:t>1, 2 and 3 estimates of CO</w:t>
      </w:r>
      <w:r w:rsidR="000C2E25" w:rsidRPr="000C2E25">
        <w:rPr>
          <w:vertAlign w:val="subscript"/>
        </w:rPr>
        <w:t>2</w:t>
      </w:r>
      <w:r w:rsidR="000C2E25">
        <w:t xml:space="preserve"> emissions obtained from the National Greenhouse Accounts Factors (DoE 2015). This document provides emissions factors for different fuel types (for stationary and transportation purposes) and electricity consumption by end users</w:t>
      </w:r>
      <w:r w:rsidR="00CE6281">
        <w:t>,</w:t>
      </w:r>
      <w:r w:rsidR="000C2E25">
        <w:t xml:space="preserve"> which are used in the model. Another document, the Technical Guideline for the Estimation of Greenhouse Gas Emissions by Facilities in Australia (DoE 2014), provides uncertainty estimates for the values found within DoE (2015) based on a 95</w:t>
      </w:r>
      <w:r w:rsidR="00CE6281">
        <w:t xml:space="preserve"> per cent </w:t>
      </w:r>
      <w:r w:rsidR="000C2E25">
        <w:t>confidence interval (that is, we can be 95</w:t>
      </w:r>
      <w:r w:rsidR="00CE6281">
        <w:t xml:space="preserve"> per cent </w:t>
      </w:r>
      <w:r w:rsidR="000C2E25">
        <w:t>confident that a value falls within the +/- percentage range around a</w:t>
      </w:r>
      <w:r w:rsidR="00CE6281">
        <w:t>n</w:t>
      </w:r>
      <w:r w:rsidR="000C2E25">
        <w:t xml:space="preserve"> </w:t>
      </w:r>
      <w:r>
        <w:t>estimate</w:t>
      </w:r>
      <w:r w:rsidR="000C2E25">
        <w:t xml:space="preserve">). These uncertainty values are applied in the modelling, however applying these values to the final summary outputs is problematic. </w:t>
      </w:r>
    </w:p>
    <w:p w14:paraId="0475DFAA" w14:textId="4158D45C" w:rsidR="000C2E25" w:rsidRDefault="000C2E25" w:rsidP="000C2E25">
      <w:r>
        <w:t xml:space="preserve">Rather than applying these values to the summary outputs, we </w:t>
      </w:r>
      <w:r w:rsidR="005A1328">
        <w:t>estimate</w:t>
      </w:r>
      <w:r>
        <w:t xml:space="preserve"> that the uncertainty for overall emissions associated with technology and transportation to be in the range of +/- 5</w:t>
      </w:r>
      <w:r w:rsidR="00CE6281">
        <w:t xml:space="preserve"> per cent. </w:t>
      </w:r>
      <w:r>
        <w:t xml:space="preserve">This is based on the individual uncertainty values provided for different fuel types and the emissions profile as presented in Figure 10. </w:t>
      </w:r>
    </w:p>
    <w:p w14:paraId="3912260B" w14:textId="65B32500" w:rsidR="000C2E25" w:rsidRDefault="000C2E25" w:rsidP="000C2E25">
      <w:r>
        <w:t>It is important to note that there are other areas of the model where uncertainty may arise due to the accuracy (or lack thereof) of input data or assumptions applied in the model. Additional uncertainty may arise from</w:t>
      </w:r>
      <w:r w:rsidR="00E80B5B">
        <w:t xml:space="preserve"> the</w:t>
      </w:r>
      <w:r>
        <w:t>:</w:t>
      </w:r>
    </w:p>
    <w:p w14:paraId="261476DB" w14:textId="3F3B0680" w:rsidR="000C2E25" w:rsidRDefault="00CE6281" w:rsidP="009E08E0">
      <w:pPr>
        <w:pStyle w:val="ListBullet"/>
      </w:pPr>
      <w:r>
        <w:t xml:space="preserve">accuracy </w:t>
      </w:r>
      <w:r w:rsidR="000C2E25">
        <w:t>of input tonnage and fat</w:t>
      </w:r>
      <w:r w:rsidR="004216E0">
        <w:t>e data supplied by SV for 2014-1</w:t>
      </w:r>
      <w:r w:rsidR="000C2E25">
        <w:t>5</w:t>
      </w:r>
    </w:p>
    <w:p w14:paraId="49A36980" w14:textId="6F529B68" w:rsidR="000C2E25" w:rsidRDefault="00CE6281" w:rsidP="009E08E0">
      <w:pPr>
        <w:pStyle w:val="ListBullet"/>
      </w:pPr>
      <w:r>
        <w:t xml:space="preserve">accuracy </w:t>
      </w:r>
      <w:r w:rsidR="000C2E25">
        <w:t>of recycling source sector data obtained from the</w:t>
      </w:r>
      <w:r w:rsidR="00B43750">
        <w:t xml:space="preserve"> regional waste and resource recovery database </w:t>
      </w:r>
      <w:r w:rsidR="000C2E25">
        <w:t>for 2013-14 data</w:t>
      </w:r>
    </w:p>
    <w:p w14:paraId="1D13215A" w14:textId="3F9CE7C3" w:rsidR="000C2E25" w:rsidRDefault="00CE6281" w:rsidP="009E08E0">
      <w:pPr>
        <w:pStyle w:val="ListBullet"/>
      </w:pPr>
      <w:r>
        <w:t>electricity</w:t>
      </w:r>
      <w:r w:rsidR="000C2E25">
        <w:t>, diesel and gas consumption at different facility types</w:t>
      </w:r>
    </w:p>
    <w:p w14:paraId="01F348F9" w14:textId="05A68B75" w:rsidR="000C2E25" w:rsidRDefault="00CE6281" w:rsidP="009E08E0">
      <w:pPr>
        <w:pStyle w:val="ListBullet"/>
      </w:pPr>
      <w:r>
        <w:t xml:space="preserve">split </w:t>
      </w:r>
      <w:r w:rsidR="000C2E25">
        <w:t>of tonnages between metropolitan</w:t>
      </w:r>
      <w:r w:rsidR="00B43750">
        <w:t xml:space="preserve"> and regional areas based on DELW</w:t>
      </w:r>
      <w:r w:rsidR="000C2E25">
        <w:t>P (2015) household data</w:t>
      </w:r>
    </w:p>
    <w:p w14:paraId="6D4332AD" w14:textId="6CF3B5CE" w:rsidR="000C2E25" w:rsidRDefault="00CE6281" w:rsidP="009E08E0">
      <w:pPr>
        <w:pStyle w:val="ListBullet"/>
      </w:pPr>
      <w:r>
        <w:t xml:space="preserve">estimated </w:t>
      </w:r>
      <w:r w:rsidR="000C2E25">
        <w:t>split of organics tonnages to different processing technologies based on Blue Environment industry knowledge</w:t>
      </w:r>
    </w:p>
    <w:p w14:paraId="45FBF5DC" w14:textId="3CD4E1B1" w:rsidR="000C2E25" w:rsidRDefault="00CE6281" w:rsidP="009E08E0">
      <w:pPr>
        <w:pStyle w:val="ListBullet"/>
      </w:pPr>
      <w:r>
        <w:t xml:space="preserve">split </w:t>
      </w:r>
      <w:r w:rsidR="000C2E25">
        <w:t>of the ‘Organics o</w:t>
      </w:r>
      <w:r w:rsidR="000E3CFF">
        <w:t xml:space="preserve">ther’ category of data, </w:t>
      </w:r>
      <w:r w:rsidR="000C2E25">
        <w:t>based on discussions between SV and the project team</w:t>
      </w:r>
    </w:p>
    <w:p w14:paraId="6E13CFC3" w14:textId="5A016EFE" w:rsidR="000C2E25" w:rsidRDefault="00CE6281" w:rsidP="009E08E0">
      <w:pPr>
        <w:pStyle w:val="ListBullet"/>
      </w:pPr>
      <w:r>
        <w:t xml:space="preserve">assumptions </w:t>
      </w:r>
      <w:r w:rsidR="000C2E25">
        <w:t>around the collection origin of materials (truck collections v</w:t>
      </w:r>
      <w:r>
        <w:t>ersu</w:t>
      </w:r>
      <w:r w:rsidR="000C2E25">
        <w:t>s RRC drop-offs)</w:t>
      </w:r>
    </w:p>
    <w:p w14:paraId="091659B0" w14:textId="6FCCCD36" w:rsidR="000C2E25" w:rsidRDefault="00CE6281" w:rsidP="009E08E0">
      <w:pPr>
        <w:pStyle w:val="ListBullet"/>
      </w:pPr>
      <w:r>
        <w:t xml:space="preserve">estimated </w:t>
      </w:r>
      <w:r w:rsidR="000C2E25">
        <w:t>proportions for materials processed in Victoria, interstate or overseas</w:t>
      </w:r>
    </w:p>
    <w:p w14:paraId="397B7381" w14:textId="155C4957" w:rsidR="000C2E25" w:rsidRDefault="00CE6281" w:rsidP="009E08E0">
      <w:pPr>
        <w:pStyle w:val="ListBullet"/>
      </w:pPr>
      <w:r>
        <w:t xml:space="preserve">assumed </w:t>
      </w:r>
      <w:r w:rsidR="000C2E25">
        <w:t>average transport distances used between different from and to points for waste transport</w:t>
      </w:r>
    </w:p>
    <w:p w14:paraId="500AE90A" w14:textId="495662E6" w:rsidR="000C2E25" w:rsidRDefault="00CE6281" w:rsidP="009E08E0">
      <w:pPr>
        <w:pStyle w:val="ListBullet"/>
      </w:pPr>
      <w:r>
        <w:t xml:space="preserve">assumed </w:t>
      </w:r>
      <w:r w:rsidR="000C2E25">
        <w:t xml:space="preserve">percentage of full waste transport vehicles and the current back haul rates applied to each leg of the transport model. While additional uncertainty may result from the above, the information required to reduce this uncertainty is not available. </w:t>
      </w:r>
    </w:p>
    <w:p w14:paraId="727F5DB0" w14:textId="310E8496" w:rsidR="00F67B30" w:rsidRDefault="000C2E25" w:rsidP="000C2E25">
      <w:pPr>
        <w:sectPr w:rsidR="00F67B30" w:rsidSect="002211F4">
          <w:pgSz w:w="11906" w:h="16838" w:code="9"/>
          <w:pgMar w:top="1474" w:right="964" w:bottom="1134" w:left="3175" w:header="851" w:footer="369" w:gutter="0"/>
          <w:cols w:space="708"/>
          <w:titlePg/>
          <w:docGrid w:linePitch="360"/>
        </w:sectPr>
      </w:pPr>
      <w:r>
        <w:t>Despite these uncertainties, the background data referenced in the model provides a reasonable estimate of th</w:t>
      </w:r>
      <w:r w:rsidR="00E80B5B">
        <w:t>e GHG emissions from the waste sector</w:t>
      </w:r>
      <w:r>
        <w:t xml:space="preserve"> in Victoria. RMIT peer review also noted that the modelling had used a current</w:t>
      </w:r>
      <w:r w:rsidR="00F67B30">
        <w:t xml:space="preserve"> and complete set of references</w:t>
      </w:r>
      <w:r w:rsidR="00FC30F6">
        <w:t>.</w:t>
      </w:r>
    </w:p>
    <w:p w14:paraId="20114E28" w14:textId="71D51C1A" w:rsidR="00AC3D93" w:rsidRDefault="004149A5" w:rsidP="00C038D3">
      <w:pPr>
        <w:pStyle w:val="SectionDividerTitle"/>
        <w:framePr w:wrap="around"/>
      </w:pPr>
      <w:bookmarkStart w:id="24" w:name="_Toc16499296"/>
      <w:r>
        <w:t>Key o</w:t>
      </w:r>
      <w:r w:rsidR="00C038D3">
        <w:t>pportunities and potential interventions to reduce GHG emissions</w:t>
      </w:r>
      <w:bookmarkEnd w:id="24"/>
    </w:p>
    <w:p w14:paraId="28DDE7D3" w14:textId="24A237E6" w:rsidR="00C038D3" w:rsidRDefault="00C038D3" w:rsidP="00C038D3">
      <w:r w:rsidRPr="00C038D3">
        <w:t xml:space="preserve">The industries with the highest estimated emissions associated with scope 1 </w:t>
      </w:r>
      <w:r>
        <w:t>and 2 em</w:t>
      </w:r>
      <w:r w:rsidR="00FC30F6">
        <w:t>issions identified from Figure 12 are</w:t>
      </w:r>
      <w:r w:rsidRPr="00C038D3">
        <w:t xml:space="preserve"> steel recycling, licensed landfill, plastic recycling and paper</w:t>
      </w:r>
      <w:r w:rsidR="00B95E5F">
        <w:t>/cardboard</w:t>
      </w:r>
      <w:r w:rsidRPr="00C038D3">
        <w:t xml:space="preserve"> recycling.</w:t>
      </w:r>
    </w:p>
    <w:p w14:paraId="18D7BFF6" w14:textId="77777777" w:rsidR="00F336D7" w:rsidRDefault="00F336D7" w:rsidP="00F336D7">
      <w:pPr>
        <w:pStyle w:val="FigureCaption"/>
      </w:pPr>
      <w:r w:rsidRPr="00F336D7">
        <w:t>FIGURE 12: T</w:t>
      </w:r>
      <w:r>
        <w:t>otal scope 1 and 2 GHG emissions from industries managing waste in Victoria</w:t>
      </w:r>
    </w:p>
    <w:p w14:paraId="300D9755" w14:textId="77777777" w:rsidR="008172AC" w:rsidRDefault="00F336D7" w:rsidP="00F336D7">
      <w:pPr>
        <w:pStyle w:val="FigureCaption"/>
      </w:pPr>
      <w:r w:rsidRPr="00F336D7">
        <w:t xml:space="preserve"> </w:t>
      </w:r>
      <w:r w:rsidR="008172AC">
        <w:rPr>
          <w:noProof/>
          <w:lang w:eastAsia="en-AU"/>
        </w:rPr>
        <w:drawing>
          <wp:inline distT="0" distB="0" distL="0" distR="0" wp14:anchorId="130D87E5" wp14:editId="09231A50">
            <wp:extent cx="4843272" cy="3715512"/>
            <wp:effectExtent l="0" t="0" r="0" b="0"/>
            <wp:docPr id="46254" name="Picture 46254"/>
            <wp:cNvGraphicFramePr/>
            <a:graphic xmlns:a="http://schemas.openxmlformats.org/drawingml/2006/main">
              <a:graphicData uri="http://schemas.openxmlformats.org/drawingml/2006/picture">
                <pic:pic xmlns:pic="http://schemas.openxmlformats.org/drawingml/2006/picture">
                  <pic:nvPicPr>
                    <pic:cNvPr id="46254" name="Picture 46254"/>
                    <pic:cNvPicPr/>
                  </pic:nvPicPr>
                  <pic:blipFill>
                    <a:blip r:embed="rId46"/>
                    <a:stretch>
                      <a:fillRect/>
                    </a:stretch>
                  </pic:blipFill>
                  <pic:spPr>
                    <a:xfrm>
                      <a:off x="0" y="0"/>
                      <a:ext cx="4843272" cy="3715512"/>
                    </a:xfrm>
                    <a:prstGeom prst="rect">
                      <a:avLst/>
                    </a:prstGeom>
                  </pic:spPr>
                </pic:pic>
              </a:graphicData>
            </a:graphic>
          </wp:inline>
        </w:drawing>
      </w:r>
    </w:p>
    <w:p w14:paraId="7883D3D7" w14:textId="77777777" w:rsidR="008172AC" w:rsidRDefault="008172AC" w:rsidP="008172AC">
      <w:r w:rsidRPr="008172AC">
        <w:t>The estimated emissions from these industries, in kg CO</w:t>
      </w:r>
      <w:r w:rsidRPr="00B95E5F">
        <w:rPr>
          <w:vertAlign w:val="subscript"/>
        </w:rPr>
        <w:t>2</w:t>
      </w:r>
      <w:r w:rsidRPr="008172AC">
        <w:t>-e per tonne of waste and overall emissions in tonnes CO</w:t>
      </w:r>
      <w:r w:rsidRPr="008172AC">
        <w:rPr>
          <w:vertAlign w:val="subscript"/>
        </w:rPr>
        <w:t>2</w:t>
      </w:r>
      <w:r w:rsidRPr="008172AC">
        <w:t>-e</w:t>
      </w:r>
      <w:r>
        <w:t>,</w:t>
      </w:r>
      <w:r w:rsidRPr="008172AC">
        <w:t xml:space="preserve"> are presented in Table 3 along with the total tonnes of waste material managed in each industry.</w:t>
      </w:r>
    </w:p>
    <w:p w14:paraId="75EC1A59" w14:textId="77777777" w:rsidR="008172AC" w:rsidRDefault="008172AC" w:rsidP="008172AC"/>
    <w:p w14:paraId="26ACDBF7" w14:textId="77777777" w:rsidR="00191118" w:rsidRDefault="00191118">
      <w:pPr>
        <w:spacing w:after="0" w:line="240" w:lineRule="auto"/>
        <w:rPr>
          <w:color w:val="82C341" w:themeColor="background1"/>
          <w:sz w:val="16"/>
        </w:rPr>
      </w:pPr>
      <w:r>
        <w:br w:type="page"/>
      </w:r>
    </w:p>
    <w:p w14:paraId="568550E2" w14:textId="70FFF6D2" w:rsidR="004917E0" w:rsidRDefault="008172AC" w:rsidP="008172AC">
      <w:pPr>
        <w:pStyle w:val="TableCaptionWide"/>
      </w:pPr>
      <w:r w:rsidRPr="008172AC">
        <w:t xml:space="preserve">TABLE </w:t>
      </w:r>
      <w:r>
        <w:t>3: Per tonne and overall scope 1 and 2 GHG emissions form industries managing waste in Victoria</w:t>
      </w:r>
    </w:p>
    <w:tbl>
      <w:tblPr>
        <w:tblStyle w:val="SVTable"/>
        <w:tblW w:w="6300" w:type="pct"/>
        <w:tblInd w:w="-1984" w:type="dxa"/>
        <w:tblLook w:val="04E0" w:firstRow="1" w:lastRow="1" w:firstColumn="1" w:lastColumn="0" w:noHBand="0" w:noVBand="1"/>
      </w:tblPr>
      <w:tblGrid>
        <w:gridCol w:w="1398"/>
        <w:gridCol w:w="1398"/>
        <w:gridCol w:w="1405"/>
        <w:gridCol w:w="1397"/>
        <w:gridCol w:w="1397"/>
        <w:gridCol w:w="1397"/>
        <w:gridCol w:w="1394"/>
      </w:tblGrid>
      <w:tr w:rsidR="008172AC" w:rsidRPr="008172AC" w14:paraId="4C9D8368" w14:textId="54C7691E" w:rsidTr="00423C02">
        <w:trPr>
          <w:cnfStyle w:val="100000000000" w:firstRow="1" w:lastRow="0" w:firstColumn="0" w:lastColumn="0" w:oddVBand="0" w:evenVBand="0" w:oddHBand="0" w:evenHBand="0" w:firstRowFirstColumn="0" w:firstRowLastColumn="0" w:lastRowFirstColumn="0" w:lastRowLastColumn="0"/>
        </w:trPr>
        <w:tc>
          <w:tcPr>
            <w:tcW w:w="714" w:type="pct"/>
            <w:vMerge w:val="restart"/>
            <w:shd w:val="clear" w:color="auto" w:fill="92D050"/>
          </w:tcPr>
          <w:p w14:paraId="16EFC5CC" w14:textId="636D4D0B" w:rsidR="008172AC" w:rsidRPr="008172AC" w:rsidRDefault="008172AC" w:rsidP="008172AC">
            <w:pPr>
              <w:spacing w:before="80" w:after="80" w:line="220" w:lineRule="atLeast"/>
              <w:rPr>
                <w:rFonts w:asciiTheme="majorHAnsi" w:hAnsiTheme="majorHAnsi"/>
                <w:bCs/>
                <w:color w:val="FFFFFF"/>
                <w:sz w:val="17"/>
              </w:rPr>
            </w:pPr>
            <w:r>
              <w:rPr>
                <w:rFonts w:asciiTheme="majorHAnsi" w:hAnsiTheme="majorHAnsi"/>
                <w:bCs/>
                <w:color w:val="FFFFFF"/>
                <w:sz w:val="17"/>
              </w:rPr>
              <w:t>Industry</w:t>
            </w:r>
            <w:r w:rsidRPr="008172AC">
              <w:rPr>
                <w:rFonts w:asciiTheme="majorHAnsi" w:hAnsiTheme="majorHAnsi"/>
                <w:bCs/>
                <w:color w:val="FFFFFF"/>
                <w:sz w:val="17"/>
              </w:rPr>
              <w:t xml:space="preserve"> </w:t>
            </w:r>
          </w:p>
        </w:tc>
        <w:tc>
          <w:tcPr>
            <w:tcW w:w="1432" w:type="pct"/>
            <w:gridSpan w:val="2"/>
            <w:shd w:val="clear" w:color="auto" w:fill="92D050"/>
          </w:tcPr>
          <w:p w14:paraId="674AAFFB" w14:textId="47ED15AF" w:rsidR="008172AC" w:rsidRPr="008172AC" w:rsidRDefault="001548E3" w:rsidP="008172AC">
            <w:pPr>
              <w:spacing w:before="80" w:after="80" w:line="220" w:lineRule="atLeast"/>
              <w:rPr>
                <w:rFonts w:asciiTheme="majorHAnsi" w:hAnsiTheme="majorHAnsi"/>
                <w:bCs/>
                <w:color w:val="FFFFFF"/>
                <w:sz w:val="17"/>
              </w:rPr>
            </w:pPr>
            <w:r>
              <w:rPr>
                <w:rFonts w:asciiTheme="majorHAnsi" w:hAnsiTheme="majorHAnsi"/>
                <w:bCs/>
                <w:color w:val="FFFFFF"/>
                <w:sz w:val="17"/>
              </w:rPr>
              <w:t xml:space="preserve">GHG </w:t>
            </w:r>
            <w:r w:rsidR="00B95E5F">
              <w:rPr>
                <w:rFonts w:asciiTheme="majorHAnsi" w:hAnsiTheme="majorHAnsi"/>
                <w:bCs/>
                <w:color w:val="FFFFFF"/>
                <w:sz w:val="17"/>
              </w:rPr>
              <w:t xml:space="preserve">Emissions / t </w:t>
            </w:r>
            <w:r w:rsidR="008172AC">
              <w:rPr>
                <w:rFonts w:asciiTheme="majorHAnsi" w:hAnsiTheme="majorHAnsi"/>
                <w:bCs/>
                <w:color w:val="FFFFFF"/>
                <w:sz w:val="17"/>
              </w:rPr>
              <w:t>(t CO</w:t>
            </w:r>
            <w:r w:rsidR="008172AC" w:rsidRPr="008172AC">
              <w:rPr>
                <w:rFonts w:asciiTheme="majorHAnsi" w:hAnsiTheme="majorHAnsi"/>
                <w:bCs/>
                <w:color w:val="FFFFFF"/>
                <w:sz w:val="17"/>
                <w:vertAlign w:val="subscript"/>
              </w:rPr>
              <w:t>2</w:t>
            </w:r>
            <w:r w:rsidR="008172AC">
              <w:rPr>
                <w:rFonts w:asciiTheme="majorHAnsi" w:hAnsiTheme="majorHAnsi"/>
                <w:bCs/>
                <w:color w:val="FFFFFF"/>
                <w:sz w:val="17"/>
              </w:rPr>
              <w:t>-e/t)</w:t>
            </w:r>
          </w:p>
        </w:tc>
        <w:tc>
          <w:tcPr>
            <w:tcW w:w="714" w:type="pct"/>
            <w:vMerge w:val="restart"/>
            <w:shd w:val="clear" w:color="auto" w:fill="92D050"/>
          </w:tcPr>
          <w:p w14:paraId="374E2991" w14:textId="094A10FB" w:rsidR="008172AC" w:rsidRPr="008172AC" w:rsidRDefault="008172AC" w:rsidP="008172AC">
            <w:pPr>
              <w:spacing w:before="80" w:after="80" w:line="220" w:lineRule="atLeast"/>
              <w:rPr>
                <w:rFonts w:asciiTheme="majorHAnsi" w:hAnsiTheme="majorHAnsi"/>
                <w:bCs/>
                <w:color w:val="FFFFFF"/>
                <w:sz w:val="17"/>
              </w:rPr>
            </w:pPr>
            <w:r>
              <w:rPr>
                <w:rFonts w:asciiTheme="majorHAnsi" w:hAnsiTheme="majorHAnsi"/>
                <w:bCs/>
                <w:color w:val="FFFFFF"/>
                <w:sz w:val="17"/>
              </w:rPr>
              <w:t>Tonnes managed</w:t>
            </w:r>
          </w:p>
        </w:tc>
        <w:tc>
          <w:tcPr>
            <w:tcW w:w="2140" w:type="pct"/>
            <w:gridSpan w:val="3"/>
            <w:shd w:val="clear" w:color="auto" w:fill="92D050"/>
          </w:tcPr>
          <w:p w14:paraId="01187C2B" w14:textId="6437334C" w:rsidR="008172AC" w:rsidRPr="008172AC" w:rsidRDefault="008172AC" w:rsidP="008172AC">
            <w:pPr>
              <w:spacing w:before="80" w:after="80" w:line="220" w:lineRule="atLeast"/>
              <w:rPr>
                <w:rFonts w:asciiTheme="majorHAnsi" w:hAnsiTheme="majorHAnsi"/>
                <w:bCs/>
                <w:color w:val="FFFFFF"/>
                <w:sz w:val="17"/>
              </w:rPr>
            </w:pPr>
            <w:r>
              <w:rPr>
                <w:rFonts w:asciiTheme="majorHAnsi" w:hAnsiTheme="majorHAnsi"/>
                <w:bCs/>
                <w:color w:val="FFFFFF"/>
                <w:sz w:val="17"/>
              </w:rPr>
              <w:t xml:space="preserve">Overall </w:t>
            </w:r>
            <w:r w:rsidR="001548E3">
              <w:rPr>
                <w:rFonts w:asciiTheme="majorHAnsi" w:hAnsiTheme="majorHAnsi"/>
                <w:bCs/>
                <w:color w:val="FFFFFF"/>
                <w:sz w:val="17"/>
              </w:rPr>
              <w:t xml:space="preserve">GHG </w:t>
            </w:r>
            <w:r>
              <w:rPr>
                <w:rFonts w:asciiTheme="majorHAnsi" w:hAnsiTheme="majorHAnsi"/>
                <w:bCs/>
                <w:color w:val="FFFFFF"/>
                <w:sz w:val="17"/>
              </w:rPr>
              <w:t>emissions (t CO</w:t>
            </w:r>
            <w:r w:rsidRPr="008172AC">
              <w:rPr>
                <w:rFonts w:asciiTheme="majorHAnsi" w:hAnsiTheme="majorHAnsi"/>
                <w:bCs/>
                <w:color w:val="FFFFFF"/>
                <w:sz w:val="17"/>
                <w:vertAlign w:val="subscript"/>
              </w:rPr>
              <w:t>2</w:t>
            </w:r>
            <w:r>
              <w:rPr>
                <w:rFonts w:asciiTheme="majorHAnsi" w:hAnsiTheme="majorHAnsi"/>
                <w:bCs/>
                <w:color w:val="FFFFFF"/>
                <w:sz w:val="17"/>
              </w:rPr>
              <w:t>-e)</w:t>
            </w:r>
          </w:p>
        </w:tc>
      </w:tr>
      <w:tr w:rsidR="008172AC" w:rsidRPr="008172AC" w14:paraId="4D2A3CC2" w14:textId="2360300D" w:rsidTr="00423C02">
        <w:tc>
          <w:tcPr>
            <w:tcW w:w="714" w:type="pct"/>
            <w:vMerge/>
            <w:shd w:val="clear" w:color="auto" w:fill="92D050"/>
          </w:tcPr>
          <w:p w14:paraId="0AF2D188" w14:textId="77777777" w:rsidR="008172AC" w:rsidRPr="008172AC" w:rsidRDefault="008172AC" w:rsidP="008172AC">
            <w:pPr>
              <w:spacing w:before="80" w:after="80" w:line="220" w:lineRule="atLeast"/>
              <w:rPr>
                <w:rFonts w:asciiTheme="majorHAnsi" w:hAnsiTheme="majorHAnsi"/>
                <w:bCs/>
                <w:color w:val="FFFFFF"/>
                <w:sz w:val="17"/>
              </w:rPr>
            </w:pPr>
          </w:p>
        </w:tc>
        <w:tc>
          <w:tcPr>
            <w:tcW w:w="714" w:type="pct"/>
            <w:shd w:val="clear" w:color="auto" w:fill="92D050"/>
          </w:tcPr>
          <w:p w14:paraId="205D1092" w14:textId="62C74339" w:rsidR="008172AC" w:rsidRPr="008172AC" w:rsidRDefault="008172AC" w:rsidP="008172AC">
            <w:pPr>
              <w:spacing w:before="80" w:after="80" w:line="220" w:lineRule="atLeast"/>
              <w:rPr>
                <w:rFonts w:asciiTheme="majorHAnsi" w:hAnsiTheme="majorHAnsi"/>
                <w:bCs/>
                <w:color w:val="FFFFFF"/>
                <w:sz w:val="17"/>
              </w:rPr>
            </w:pPr>
            <w:r>
              <w:rPr>
                <w:rFonts w:asciiTheme="majorHAnsi" w:hAnsiTheme="majorHAnsi"/>
                <w:bCs/>
                <w:color w:val="FFFFFF"/>
                <w:sz w:val="17"/>
              </w:rPr>
              <w:t>Scope 1</w:t>
            </w:r>
          </w:p>
        </w:tc>
        <w:tc>
          <w:tcPr>
            <w:tcW w:w="717" w:type="pct"/>
            <w:shd w:val="clear" w:color="auto" w:fill="92D050"/>
          </w:tcPr>
          <w:p w14:paraId="2D51736D" w14:textId="17BAD07F" w:rsidR="008172AC" w:rsidRPr="008172AC" w:rsidRDefault="008172AC" w:rsidP="008172AC">
            <w:pPr>
              <w:spacing w:before="80" w:after="80" w:line="220" w:lineRule="atLeast"/>
              <w:rPr>
                <w:rFonts w:asciiTheme="majorHAnsi" w:hAnsiTheme="majorHAnsi"/>
                <w:bCs/>
                <w:color w:val="FFFFFF"/>
                <w:sz w:val="17"/>
              </w:rPr>
            </w:pPr>
            <w:r>
              <w:rPr>
                <w:rFonts w:asciiTheme="majorHAnsi" w:hAnsiTheme="majorHAnsi"/>
                <w:bCs/>
                <w:color w:val="FFFFFF"/>
                <w:sz w:val="17"/>
              </w:rPr>
              <w:t>Scope 2</w:t>
            </w:r>
          </w:p>
        </w:tc>
        <w:tc>
          <w:tcPr>
            <w:tcW w:w="714" w:type="pct"/>
            <w:vMerge/>
            <w:shd w:val="clear" w:color="auto" w:fill="92D050"/>
          </w:tcPr>
          <w:p w14:paraId="28C5F3E4" w14:textId="77777777" w:rsidR="008172AC" w:rsidRPr="008172AC" w:rsidRDefault="008172AC" w:rsidP="008172AC">
            <w:pPr>
              <w:spacing w:before="80" w:after="80" w:line="220" w:lineRule="atLeast"/>
              <w:rPr>
                <w:rFonts w:asciiTheme="majorHAnsi" w:hAnsiTheme="majorHAnsi"/>
                <w:bCs/>
                <w:color w:val="FFFFFF"/>
                <w:sz w:val="17"/>
              </w:rPr>
            </w:pPr>
          </w:p>
        </w:tc>
        <w:tc>
          <w:tcPr>
            <w:tcW w:w="714" w:type="pct"/>
            <w:shd w:val="clear" w:color="auto" w:fill="92D050"/>
          </w:tcPr>
          <w:p w14:paraId="2E2000AF" w14:textId="7C5027A9" w:rsidR="008172AC" w:rsidRPr="008172AC" w:rsidRDefault="008172AC" w:rsidP="008172AC">
            <w:pPr>
              <w:spacing w:before="80" w:after="80" w:line="220" w:lineRule="atLeast"/>
              <w:rPr>
                <w:rFonts w:asciiTheme="majorHAnsi" w:hAnsiTheme="majorHAnsi"/>
                <w:bCs/>
                <w:color w:val="FFFFFF"/>
                <w:sz w:val="17"/>
              </w:rPr>
            </w:pPr>
            <w:r>
              <w:rPr>
                <w:rFonts w:asciiTheme="majorHAnsi" w:hAnsiTheme="majorHAnsi"/>
                <w:bCs/>
                <w:color w:val="FFFFFF"/>
                <w:sz w:val="17"/>
              </w:rPr>
              <w:t>Scope 1</w:t>
            </w:r>
          </w:p>
        </w:tc>
        <w:tc>
          <w:tcPr>
            <w:tcW w:w="714" w:type="pct"/>
            <w:shd w:val="clear" w:color="auto" w:fill="92D050"/>
          </w:tcPr>
          <w:p w14:paraId="47A5583B" w14:textId="534D009D" w:rsidR="008172AC" w:rsidRPr="008172AC" w:rsidRDefault="008172AC" w:rsidP="008172AC">
            <w:pPr>
              <w:spacing w:before="80" w:after="80" w:line="220" w:lineRule="atLeast"/>
              <w:rPr>
                <w:rFonts w:asciiTheme="majorHAnsi" w:hAnsiTheme="majorHAnsi"/>
                <w:bCs/>
                <w:color w:val="FFFFFF"/>
                <w:sz w:val="17"/>
              </w:rPr>
            </w:pPr>
            <w:r>
              <w:rPr>
                <w:rFonts w:asciiTheme="majorHAnsi" w:hAnsiTheme="majorHAnsi"/>
                <w:bCs/>
                <w:color w:val="FFFFFF"/>
                <w:sz w:val="17"/>
              </w:rPr>
              <w:t>Scope 2</w:t>
            </w:r>
          </w:p>
        </w:tc>
        <w:tc>
          <w:tcPr>
            <w:tcW w:w="713" w:type="pct"/>
            <w:shd w:val="clear" w:color="auto" w:fill="92D050"/>
          </w:tcPr>
          <w:p w14:paraId="3C201F91" w14:textId="7BB8BF47" w:rsidR="008172AC" w:rsidRPr="008172AC" w:rsidRDefault="008172AC" w:rsidP="008172AC">
            <w:pPr>
              <w:spacing w:before="80" w:after="80" w:line="220" w:lineRule="atLeast"/>
              <w:rPr>
                <w:rFonts w:asciiTheme="majorHAnsi" w:hAnsiTheme="majorHAnsi"/>
                <w:bCs/>
                <w:color w:val="FFFFFF"/>
                <w:sz w:val="17"/>
              </w:rPr>
            </w:pPr>
            <w:r>
              <w:rPr>
                <w:rFonts w:asciiTheme="majorHAnsi" w:hAnsiTheme="majorHAnsi"/>
                <w:bCs/>
                <w:color w:val="FFFFFF"/>
                <w:sz w:val="17"/>
              </w:rPr>
              <w:t>Scope 3</w:t>
            </w:r>
          </w:p>
        </w:tc>
      </w:tr>
      <w:tr w:rsidR="008172AC" w:rsidRPr="008172AC" w14:paraId="60D4E3DB" w14:textId="3767CF89" w:rsidTr="00423C02">
        <w:tc>
          <w:tcPr>
            <w:tcW w:w="714" w:type="pct"/>
            <w:vAlign w:val="center"/>
          </w:tcPr>
          <w:p w14:paraId="51C6FD8E" w14:textId="409DED09" w:rsidR="008172AC" w:rsidRPr="008172AC" w:rsidRDefault="008172AC" w:rsidP="008172AC">
            <w:pPr>
              <w:spacing w:before="70" w:after="70" w:line="220" w:lineRule="atLeast"/>
              <w:rPr>
                <w:bCs/>
                <w:sz w:val="17"/>
              </w:rPr>
            </w:pPr>
            <w:r>
              <w:t>Steel recycling</w:t>
            </w:r>
          </w:p>
        </w:tc>
        <w:tc>
          <w:tcPr>
            <w:tcW w:w="714" w:type="pct"/>
            <w:vAlign w:val="center"/>
          </w:tcPr>
          <w:p w14:paraId="59FA0315" w14:textId="30F55949" w:rsidR="008172AC" w:rsidRPr="008172AC" w:rsidRDefault="008172AC" w:rsidP="008172AC">
            <w:pPr>
              <w:spacing w:before="70" w:after="70" w:line="220" w:lineRule="atLeast"/>
              <w:ind w:left="227" w:hanging="227"/>
              <w:rPr>
                <w:bCs/>
                <w:sz w:val="17"/>
              </w:rPr>
            </w:pPr>
            <w:r>
              <w:t>30.0</w:t>
            </w:r>
          </w:p>
        </w:tc>
        <w:tc>
          <w:tcPr>
            <w:tcW w:w="717" w:type="pct"/>
            <w:vAlign w:val="center"/>
          </w:tcPr>
          <w:p w14:paraId="675515F1" w14:textId="707E12DB" w:rsidR="008172AC" w:rsidRPr="008172AC" w:rsidRDefault="008172AC" w:rsidP="008172AC">
            <w:pPr>
              <w:spacing w:before="70" w:after="70" w:line="220" w:lineRule="atLeast"/>
              <w:rPr>
                <w:bCs/>
                <w:sz w:val="17"/>
              </w:rPr>
            </w:pPr>
            <w:r>
              <w:t>560.6</w:t>
            </w:r>
          </w:p>
        </w:tc>
        <w:tc>
          <w:tcPr>
            <w:tcW w:w="714" w:type="pct"/>
            <w:vAlign w:val="center"/>
          </w:tcPr>
          <w:p w14:paraId="4637AC2C" w14:textId="1B0CE5BF" w:rsidR="008172AC" w:rsidRPr="008172AC" w:rsidRDefault="008172AC" w:rsidP="008172AC">
            <w:pPr>
              <w:spacing w:before="70" w:after="70" w:line="220" w:lineRule="atLeast"/>
              <w:rPr>
                <w:bCs/>
                <w:sz w:val="17"/>
              </w:rPr>
            </w:pPr>
            <w:r>
              <w:t>859,752</w:t>
            </w:r>
          </w:p>
        </w:tc>
        <w:tc>
          <w:tcPr>
            <w:tcW w:w="714" w:type="pct"/>
            <w:vAlign w:val="center"/>
          </w:tcPr>
          <w:p w14:paraId="1886461E" w14:textId="58D68E20" w:rsidR="008172AC" w:rsidRPr="008172AC" w:rsidRDefault="008172AC" w:rsidP="008172AC">
            <w:pPr>
              <w:spacing w:before="70" w:after="70" w:line="220" w:lineRule="atLeast"/>
              <w:rPr>
                <w:bCs/>
                <w:sz w:val="17"/>
              </w:rPr>
            </w:pPr>
            <w:r>
              <w:t>25,779</w:t>
            </w:r>
          </w:p>
        </w:tc>
        <w:tc>
          <w:tcPr>
            <w:tcW w:w="714" w:type="pct"/>
            <w:vAlign w:val="center"/>
          </w:tcPr>
          <w:p w14:paraId="279DD65C" w14:textId="3A17553D" w:rsidR="008172AC" w:rsidRPr="008172AC" w:rsidRDefault="008172AC" w:rsidP="008172AC">
            <w:pPr>
              <w:spacing w:before="70" w:after="70" w:line="220" w:lineRule="atLeast"/>
              <w:rPr>
                <w:bCs/>
                <w:sz w:val="17"/>
              </w:rPr>
            </w:pPr>
            <w:r>
              <w:t>481,942</w:t>
            </w:r>
          </w:p>
        </w:tc>
        <w:tc>
          <w:tcPr>
            <w:tcW w:w="713" w:type="pct"/>
            <w:vAlign w:val="center"/>
          </w:tcPr>
          <w:p w14:paraId="24919270" w14:textId="2C2DE96A" w:rsidR="008172AC" w:rsidRPr="008172AC" w:rsidRDefault="008172AC" w:rsidP="008172AC">
            <w:pPr>
              <w:spacing w:before="70" w:after="70" w:line="220" w:lineRule="atLeast"/>
              <w:rPr>
                <w:bCs/>
                <w:sz w:val="17"/>
              </w:rPr>
            </w:pPr>
            <w:r>
              <w:t>507,721</w:t>
            </w:r>
          </w:p>
        </w:tc>
      </w:tr>
      <w:tr w:rsidR="008172AC" w:rsidRPr="008172AC" w14:paraId="7C6C52C9" w14:textId="7FAB9A17" w:rsidTr="00423C02">
        <w:tc>
          <w:tcPr>
            <w:tcW w:w="714" w:type="pct"/>
            <w:vAlign w:val="center"/>
          </w:tcPr>
          <w:p w14:paraId="62363A86" w14:textId="2F8D5952" w:rsidR="008172AC" w:rsidRPr="008172AC" w:rsidRDefault="008172AC" w:rsidP="008172AC">
            <w:pPr>
              <w:spacing w:before="70" w:after="70" w:line="220" w:lineRule="atLeast"/>
              <w:rPr>
                <w:bCs/>
                <w:sz w:val="17"/>
              </w:rPr>
            </w:pPr>
            <w:r>
              <w:t>Licensed landfill</w:t>
            </w:r>
          </w:p>
        </w:tc>
        <w:tc>
          <w:tcPr>
            <w:tcW w:w="714" w:type="pct"/>
            <w:vAlign w:val="center"/>
          </w:tcPr>
          <w:p w14:paraId="55700B15" w14:textId="24B722AE" w:rsidR="008172AC" w:rsidRPr="008172AC" w:rsidRDefault="008172AC" w:rsidP="008172AC">
            <w:pPr>
              <w:spacing w:before="70" w:after="70" w:line="220" w:lineRule="atLeast"/>
              <w:ind w:left="227" w:hanging="227"/>
              <w:rPr>
                <w:bCs/>
                <w:sz w:val="17"/>
              </w:rPr>
            </w:pPr>
            <w:r>
              <w:t>364.1</w:t>
            </w:r>
          </w:p>
        </w:tc>
        <w:tc>
          <w:tcPr>
            <w:tcW w:w="717" w:type="pct"/>
            <w:vAlign w:val="center"/>
          </w:tcPr>
          <w:p w14:paraId="46660DC1" w14:textId="1FD54DFE" w:rsidR="008172AC" w:rsidRPr="008172AC" w:rsidRDefault="008172AC" w:rsidP="008172AC">
            <w:pPr>
              <w:spacing w:before="70" w:after="70" w:line="220" w:lineRule="atLeast"/>
              <w:rPr>
                <w:bCs/>
                <w:sz w:val="17"/>
              </w:rPr>
            </w:pPr>
            <w:r>
              <w:t>0.1</w:t>
            </w:r>
          </w:p>
        </w:tc>
        <w:tc>
          <w:tcPr>
            <w:tcW w:w="714" w:type="pct"/>
            <w:vAlign w:val="center"/>
          </w:tcPr>
          <w:p w14:paraId="542A78E2" w14:textId="70C224B6" w:rsidR="008172AC" w:rsidRPr="008172AC" w:rsidRDefault="008172AC" w:rsidP="008172AC">
            <w:pPr>
              <w:spacing w:before="70" w:after="70" w:line="220" w:lineRule="atLeast"/>
              <w:rPr>
                <w:bCs/>
                <w:sz w:val="17"/>
              </w:rPr>
            </w:pPr>
            <w:r>
              <w:t>3,466,400</w:t>
            </w:r>
          </w:p>
        </w:tc>
        <w:tc>
          <w:tcPr>
            <w:tcW w:w="714" w:type="pct"/>
            <w:vAlign w:val="center"/>
          </w:tcPr>
          <w:p w14:paraId="1EA1695B" w14:textId="63075CB7" w:rsidR="008172AC" w:rsidRPr="008172AC" w:rsidRDefault="008172AC" w:rsidP="008172AC">
            <w:pPr>
              <w:spacing w:before="70" w:after="70" w:line="220" w:lineRule="atLeast"/>
              <w:rPr>
                <w:bCs/>
                <w:sz w:val="17"/>
              </w:rPr>
            </w:pPr>
            <w:r>
              <w:t>200,820</w:t>
            </w:r>
          </w:p>
        </w:tc>
        <w:tc>
          <w:tcPr>
            <w:tcW w:w="714" w:type="pct"/>
            <w:vAlign w:val="center"/>
          </w:tcPr>
          <w:p w14:paraId="2FBF489B" w14:textId="2C7CC966" w:rsidR="008172AC" w:rsidRPr="008172AC" w:rsidRDefault="008172AC" w:rsidP="008172AC">
            <w:pPr>
              <w:spacing w:before="70" w:after="70" w:line="220" w:lineRule="atLeast"/>
              <w:rPr>
                <w:bCs/>
                <w:sz w:val="17"/>
              </w:rPr>
            </w:pPr>
            <w:r>
              <w:t>34</w:t>
            </w:r>
          </w:p>
        </w:tc>
        <w:tc>
          <w:tcPr>
            <w:tcW w:w="713" w:type="pct"/>
            <w:vAlign w:val="center"/>
          </w:tcPr>
          <w:p w14:paraId="75436887" w14:textId="4A471DA1" w:rsidR="008172AC" w:rsidRPr="008172AC" w:rsidRDefault="008172AC" w:rsidP="008172AC">
            <w:pPr>
              <w:spacing w:before="70" w:after="70" w:line="220" w:lineRule="atLeast"/>
              <w:rPr>
                <w:bCs/>
                <w:sz w:val="17"/>
              </w:rPr>
            </w:pPr>
            <w:r>
              <w:t>200,853</w:t>
            </w:r>
          </w:p>
        </w:tc>
      </w:tr>
      <w:tr w:rsidR="008172AC" w:rsidRPr="008172AC" w14:paraId="5E52E190" w14:textId="360DECC5" w:rsidTr="00423C02">
        <w:tc>
          <w:tcPr>
            <w:tcW w:w="714" w:type="pct"/>
            <w:vAlign w:val="center"/>
          </w:tcPr>
          <w:p w14:paraId="62B0DD4E" w14:textId="4705E034" w:rsidR="008172AC" w:rsidRPr="008172AC" w:rsidRDefault="008172AC" w:rsidP="008172AC">
            <w:pPr>
              <w:spacing w:before="70" w:after="70" w:line="220" w:lineRule="atLeast"/>
              <w:rPr>
                <w:bCs/>
                <w:sz w:val="17"/>
              </w:rPr>
            </w:pPr>
            <w:r>
              <w:t>Plastic recycling</w:t>
            </w:r>
          </w:p>
        </w:tc>
        <w:tc>
          <w:tcPr>
            <w:tcW w:w="714" w:type="pct"/>
            <w:vAlign w:val="center"/>
          </w:tcPr>
          <w:p w14:paraId="3626F5F1" w14:textId="695345A7" w:rsidR="008172AC" w:rsidRPr="008172AC" w:rsidRDefault="008172AC" w:rsidP="008172AC">
            <w:pPr>
              <w:spacing w:before="70" w:after="70" w:line="220" w:lineRule="atLeast"/>
              <w:rPr>
                <w:bCs/>
                <w:sz w:val="17"/>
              </w:rPr>
            </w:pPr>
            <w:r>
              <w:t>113.0</w:t>
            </w:r>
          </w:p>
        </w:tc>
        <w:tc>
          <w:tcPr>
            <w:tcW w:w="717" w:type="pct"/>
            <w:vAlign w:val="center"/>
          </w:tcPr>
          <w:p w14:paraId="0FB5FB04" w14:textId="4085C21A" w:rsidR="008172AC" w:rsidRPr="008172AC" w:rsidRDefault="008172AC" w:rsidP="008172AC">
            <w:pPr>
              <w:spacing w:before="70" w:after="70" w:line="220" w:lineRule="atLeast"/>
              <w:rPr>
                <w:bCs/>
                <w:sz w:val="17"/>
              </w:rPr>
            </w:pPr>
            <w:r>
              <w:t>672.0</w:t>
            </w:r>
          </w:p>
        </w:tc>
        <w:tc>
          <w:tcPr>
            <w:tcW w:w="714" w:type="pct"/>
            <w:vAlign w:val="center"/>
          </w:tcPr>
          <w:p w14:paraId="536B8179" w14:textId="150E2873" w:rsidR="008172AC" w:rsidRPr="008172AC" w:rsidRDefault="008172AC" w:rsidP="008172AC">
            <w:pPr>
              <w:spacing w:before="70" w:after="70" w:line="220" w:lineRule="atLeast"/>
              <w:rPr>
                <w:bCs/>
                <w:sz w:val="17"/>
              </w:rPr>
            </w:pPr>
            <w:r>
              <w:t>91,900</w:t>
            </w:r>
          </w:p>
        </w:tc>
        <w:tc>
          <w:tcPr>
            <w:tcW w:w="714" w:type="pct"/>
            <w:vAlign w:val="center"/>
          </w:tcPr>
          <w:p w14:paraId="6B580132" w14:textId="5B3293B9" w:rsidR="008172AC" w:rsidRPr="008172AC" w:rsidRDefault="008172AC" w:rsidP="008172AC">
            <w:pPr>
              <w:spacing w:before="70" w:after="70" w:line="220" w:lineRule="atLeast"/>
              <w:rPr>
                <w:bCs/>
                <w:sz w:val="17"/>
              </w:rPr>
            </w:pPr>
            <w:r>
              <w:t>10,385</w:t>
            </w:r>
          </w:p>
        </w:tc>
        <w:tc>
          <w:tcPr>
            <w:tcW w:w="714" w:type="pct"/>
            <w:vAlign w:val="center"/>
          </w:tcPr>
          <w:p w14:paraId="3CBFEF08" w14:textId="3E5A1924" w:rsidR="008172AC" w:rsidRPr="008172AC" w:rsidRDefault="008172AC" w:rsidP="008172AC">
            <w:pPr>
              <w:spacing w:before="70" w:after="70" w:line="220" w:lineRule="atLeast"/>
              <w:rPr>
                <w:bCs/>
                <w:sz w:val="17"/>
              </w:rPr>
            </w:pPr>
            <w:r>
              <w:t>61,783</w:t>
            </w:r>
          </w:p>
        </w:tc>
        <w:tc>
          <w:tcPr>
            <w:tcW w:w="713" w:type="pct"/>
            <w:vAlign w:val="center"/>
          </w:tcPr>
          <w:p w14:paraId="4F41006E" w14:textId="21835A5D" w:rsidR="008172AC" w:rsidRPr="008172AC" w:rsidRDefault="008172AC" w:rsidP="008172AC">
            <w:pPr>
              <w:spacing w:before="70" w:after="70" w:line="220" w:lineRule="atLeast"/>
              <w:rPr>
                <w:bCs/>
                <w:sz w:val="17"/>
              </w:rPr>
            </w:pPr>
            <w:r>
              <w:t>72,167</w:t>
            </w:r>
          </w:p>
        </w:tc>
      </w:tr>
      <w:tr w:rsidR="008172AC" w:rsidRPr="00423C02" w14:paraId="2FC34B5C" w14:textId="0BBA6504" w:rsidTr="00423C02">
        <w:trPr>
          <w:cnfStyle w:val="010000000000" w:firstRow="0" w:lastRow="1" w:firstColumn="0" w:lastColumn="0" w:oddVBand="0" w:evenVBand="0" w:oddHBand="0" w:evenHBand="0" w:firstRowFirstColumn="0" w:firstRowLastColumn="0" w:lastRowFirstColumn="0" w:lastRowLastColumn="0"/>
        </w:trPr>
        <w:tc>
          <w:tcPr>
            <w:tcW w:w="714" w:type="pct"/>
            <w:shd w:val="clear" w:color="auto" w:fill="auto"/>
            <w:vAlign w:val="center"/>
          </w:tcPr>
          <w:p w14:paraId="071930F5" w14:textId="4776F9DD" w:rsidR="008172AC" w:rsidRPr="00423C02" w:rsidRDefault="008172AC" w:rsidP="008172AC">
            <w:pPr>
              <w:spacing w:before="70" w:after="70" w:line="220" w:lineRule="atLeast"/>
              <w:rPr>
                <w:b w:val="0"/>
                <w:bCs/>
                <w:sz w:val="17"/>
              </w:rPr>
            </w:pPr>
            <w:r w:rsidRPr="00423C02">
              <w:rPr>
                <w:b w:val="0"/>
              </w:rPr>
              <w:t>Paper recycling</w:t>
            </w:r>
          </w:p>
        </w:tc>
        <w:tc>
          <w:tcPr>
            <w:tcW w:w="714" w:type="pct"/>
            <w:shd w:val="clear" w:color="auto" w:fill="auto"/>
            <w:vAlign w:val="center"/>
          </w:tcPr>
          <w:p w14:paraId="6C77E797" w14:textId="472E64EC" w:rsidR="008172AC" w:rsidRPr="00423C02" w:rsidRDefault="008172AC" w:rsidP="008172AC">
            <w:pPr>
              <w:spacing w:before="70" w:after="70" w:line="220" w:lineRule="atLeast"/>
              <w:rPr>
                <w:b w:val="0"/>
                <w:bCs/>
                <w:sz w:val="17"/>
              </w:rPr>
            </w:pPr>
            <w:r w:rsidRPr="00423C02">
              <w:rPr>
                <w:b w:val="0"/>
              </w:rPr>
              <w:t>367.1</w:t>
            </w:r>
          </w:p>
        </w:tc>
        <w:tc>
          <w:tcPr>
            <w:tcW w:w="717" w:type="pct"/>
            <w:shd w:val="clear" w:color="auto" w:fill="auto"/>
            <w:vAlign w:val="center"/>
          </w:tcPr>
          <w:p w14:paraId="4EFC7BB9" w14:textId="59E281FB" w:rsidR="008172AC" w:rsidRPr="00423C02" w:rsidRDefault="008172AC" w:rsidP="008172AC">
            <w:pPr>
              <w:spacing w:before="70" w:after="70" w:line="220" w:lineRule="atLeast"/>
              <w:rPr>
                <w:b w:val="0"/>
                <w:bCs/>
                <w:sz w:val="17"/>
              </w:rPr>
            </w:pPr>
            <w:r w:rsidRPr="00423C02">
              <w:rPr>
                <w:b w:val="0"/>
              </w:rPr>
              <w:t>481.0</w:t>
            </w:r>
          </w:p>
        </w:tc>
        <w:tc>
          <w:tcPr>
            <w:tcW w:w="714" w:type="pct"/>
            <w:shd w:val="clear" w:color="auto" w:fill="auto"/>
            <w:vAlign w:val="center"/>
          </w:tcPr>
          <w:p w14:paraId="47234964" w14:textId="61A168A0" w:rsidR="008172AC" w:rsidRPr="00423C02" w:rsidRDefault="008172AC" w:rsidP="008172AC">
            <w:pPr>
              <w:spacing w:before="70" w:after="70" w:line="220" w:lineRule="atLeast"/>
              <w:rPr>
                <w:b w:val="0"/>
                <w:bCs/>
                <w:sz w:val="17"/>
              </w:rPr>
            </w:pPr>
            <w:r w:rsidRPr="00423C02">
              <w:rPr>
                <w:b w:val="0"/>
              </w:rPr>
              <w:t>80,000</w:t>
            </w:r>
          </w:p>
        </w:tc>
        <w:tc>
          <w:tcPr>
            <w:tcW w:w="714" w:type="pct"/>
            <w:shd w:val="clear" w:color="auto" w:fill="auto"/>
            <w:vAlign w:val="center"/>
          </w:tcPr>
          <w:p w14:paraId="7BEE38B4" w14:textId="0837B84A" w:rsidR="008172AC" w:rsidRPr="00423C02" w:rsidRDefault="008172AC" w:rsidP="008172AC">
            <w:pPr>
              <w:spacing w:before="70" w:after="70" w:line="220" w:lineRule="atLeast"/>
              <w:rPr>
                <w:b w:val="0"/>
                <w:bCs/>
                <w:sz w:val="17"/>
              </w:rPr>
            </w:pPr>
            <w:r w:rsidRPr="00423C02">
              <w:rPr>
                <w:b w:val="0"/>
              </w:rPr>
              <w:t>29,369</w:t>
            </w:r>
          </w:p>
        </w:tc>
        <w:tc>
          <w:tcPr>
            <w:tcW w:w="714" w:type="pct"/>
            <w:shd w:val="clear" w:color="auto" w:fill="auto"/>
            <w:vAlign w:val="center"/>
          </w:tcPr>
          <w:p w14:paraId="3D56A6DE" w14:textId="5CA5B384" w:rsidR="008172AC" w:rsidRPr="00423C02" w:rsidRDefault="008172AC" w:rsidP="008172AC">
            <w:pPr>
              <w:spacing w:before="70" w:after="70" w:line="220" w:lineRule="atLeast"/>
              <w:rPr>
                <w:b w:val="0"/>
                <w:bCs/>
                <w:sz w:val="17"/>
              </w:rPr>
            </w:pPr>
            <w:r w:rsidRPr="00423C02">
              <w:rPr>
                <w:b w:val="0"/>
              </w:rPr>
              <w:t>38,481</w:t>
            </w:r>
          </w:p>
        </w:tc>
        <w:tc>
          <w:tcPr>
            <w:tcW w:w="713" w:type="pct"/>
            <w:shd w:val="clear" w:color="auto" w:fill="auto"/>
            <w:vAlign w:val="center"/>
          </w:tcPr>
          <w:p w14:paraId="08C1F0E5" w14:textId="5BE4B77A" w:rsidR="008172AC" w:rsidRPr="00423C02" w:rsidRDefault="008172AC" w:rsidP="008172AC">
            <w:pPr>
              <w:spacing w:before="70" w:after="70" w:line="220" w:lineRule="atLeast"/>
              <w:rPr>
                <w:b w:val="0"/>
                <w:bCs/>
                <w:sz w:val="17"/>
              </w:rPr>
            </w:pPr>
            <w:r w:rsidRPr="00423C02">
              <w:rPr>
                <w:b w:val="0"/>
              </w:rPr>
              <w:t>67,850</w:t>
            </w:r>
          </w:p>
        </w:tc>
      </w:tr>
    </w:tbl>
    <w:p w14:paraId="7D0A691B" w14:textId="15B23263" w:rsidR="008172AC" w:rsidRDefault="008172AC" w:rsidP="008172AC"/>
    <w:p w14:paraId="0D709EC6" w14:textId="77777777" w:rsidR="00612ED0" w:rsidRDefault="009F750D" w:rsidP="008172AC">
      <w:r>
        <w:t>For</w:t>
      </w:r>
      <w:r w:rsidRPr="009F750D">
        <w:t xml:space="preserve"> recycling industries, most </w:t>
      </w:r>
      <w:r w:rsidR="00612ED0">
        <w:t xml:space="preserve">GHG </w:t>
      </w:r>
      <w:r w:rsidRPr="009F750D">
        <w:t xml:space="preserve">emissions are </w:t>
      </w:r>
      <w:r>
        <w:t>generated because of electricity demand for operation of plant</w:t>
      </w:r>
      <w:r w:rsidRPr="009F750D">
        <w:t xml:space="preserve"> </w:t>
      </w:r>
      <w:r w:rsidR="005274AC">
        <w:t>equipment (i.e. scope 2</w:t>
      </w:r>
      <w:r w:rsidR="00B95E5F">
        <w:t>)</w:t>
      </w:r>
      <w:r>
        <w:t xml:space="preserve">. </w:t>
      </w:r>
      <w:r w:rsidRPr="009F750D">
        <w:t xml:space="preserve">The following </w:t>
      </w:r>
      <w:r w:rsidR="00FA5EAC">
        <w:t>outlines</w:t>
      </w:r>
      <w:r w:rsidRPr="009F750D">
        <w:t xml:space="preserve"> examples of common and best practice</w:t>
      </w:r>
      <w:r>
        <w:t xml:space="preserve"> opportunities to reduce GHG emissions from recycling (of steel, plastic, and </w:t>
      </w:r>
      <w:r w:rsidR="00FA5EAC">
        <w:t>paper/</w:t>
      </w:r>
      <w:r>
        <w:t xml:space="preserve">cardboard) and from licensed landfill infrastructure. </w:t>
      </w:r>
    </w:p>
    <w:p w14:paraId="53F3C6E5" w14:textId="2C49272C" w:rsidR="009F750D" w:rsidRDefault="009F750D" w:rsidP="008172AC">
      <w:r>
        <w:t>Emissions from landfills arise almost entirely from scope 1 which includes emissions associated with the decomposition of waste in landfill and fuel for machinery used for processing waste during landfilling.</w:t>
      </w:r>
    </w:p>
    <w:p w14:paraId="30DD1B2B" w14:textId="42AE3A00" w:rsidR="00F152A6" w:rsidRDefault="00F152A6" w:rsidP="00F152A6">
      <w:pPr>
        <w:pStyle w:val="Heading1Numbered"/>
      </w:pPr>
      <w:bookmarkStart w:id="25" w:name="_Toc16499297"/>
      <w:r w:rsidRPr="00F152A6">
        <w:t>Steel recycling</w:t>
      </w:r>
      <w:bookmarkEnd w:id="25"/>
    </w:p>
    <w:p w14:paraId="29C3C785" w14:textId="5FC584FF" w:rsidR="00F152A6" w:rsidRDefault="00F152A6" w:rsidP="00F152A6">
      <w:pPr>
        <w:pStyle w:val="Heading2Numbered"/>
      </w:pPr>
      <w:r>
        <w:t>Steel recycling sites in Victoria</w:t>
      </w:r>
    </w:p>
    <w:p w14:paraId="205F21F0" w14:textId="0DAD6B56" w:rsidR="00F152A6" w:rsidRDefault="00F152A6" w:rsidP="00F152A6">
      <w:r>
        <w:t xml:space="preserve">The Victorian steel recycling industry is detailed in the </w:t>
      </w:r>
      <w:r w:rsidR="00612ED0">
        <w:t>SWRRIP</w:t>
      </w:r>
      <w:r>
        <w:t>. There are three operating steel recycling sites, all loca</w:t>
      </w:r>
      <w:r w:rsidR="005274AC">
        <w:t xml:space="preserve">ted in </w:t>
      </w:r>
      <w:r w:rsidR="00C8473D">
        <w:t>Melbourne</w:t>
      </w:r>
      <w:r>
        <w:t>:</w:t>
      </w:r>
    </w:p>
    <w:p w14:paraId="15A7AA3A" w14:textId="3FF6E9B5" w:rsidR="00F152A6" w:rsidRDefault="00F152A6" w:rsidP="00F152A6">
      <w:pPr>
        <w:pStyle w:val="ListBullet"/>
      </w:pPr>
      <w:r>
        <w:t xml:space="preserve">Norstar Steel </w:t>
      </w:r>
    </w:p>
    <w:p w14:paraId="7269E8D1" w14:textId="4822E0A5" w:rsidR="00F152A6" w:rsidRDefault="00C8473D" w:rsidP="00F152A6">
      <w:pPr>
        <w:pStyle w:val="ListBullet"/>
      </w:pPr>
      <w:r>
        <w:t xml:space="preserve">OneSteel </w:t>
      </w:r>
      <w:r w:rsidR="00FF182B">
        <w:t xml:space="preserve">(in 2019 </w:t>
      </w:r>
      <w:r>
        <w:t xml:space="preserve">owned by </w:t>
      </w:r>
      <w:r>
        <w:rPr>
          <w:lang w:val="en"/>
        </w:rPr>
        <w:t>GFG Alliance and operating as Liberty One Steel</w:t>
      </w:r>
      <w:r w:rsidR="00FF182B">
        <w:rPr>
          <w:lang w:val="en"/>
        </w:rPr>
        <w:t>)</w:t>
      </w:r>
    </w:p>
    <w:p w14:paraId="7F50DA8C" w14:textId="56D80F47" w:rsidR="00F152A6" w:rsidRDefault="00F152A6" w:rsidP="00F152A6">
      <w:pPr>
        <w:pStyle w:val="ListBullet"/>
      </w:pPr>
      <w:r>
        <w:t>Sims Metal.</w:t>
      </w:r>
    </w:p>
    <w:p w14:paraId="508C3FBF" w14:textId="655E3621" w:rsidR="00F152A6" w:rsidRDefault="00F152A6" w:rsidP="00F152A6">
      <w:r>
        <w:t xml:space="preserve">Of these sites, </w:t>
      </w:r>
      <w:r w:rsidR="00C8473D">
        <w:t xml:space="preserve">in 2016, </w:t>
      </w:r>
      <w:r>
        <w:t xml:space="preserve">only </w:t>
      </w:r>
      <w:r w:rsidR="00172D5F">
        <w:t xml:space="preserve">OneSteel </w:t>
      </w:r>
      <w:r>
        <w:t>processes scrap steel using an Electric Arc Furnace (EAF) to generate new products for sale</w:t>
      </w:r>
      <w:r>
        <w:rPr>
          <w:rStyle w:val="FootnoteReference"/>
        </w:rPr>
        <w:footnoteReference w:id="8"/>
      </w:r>
      <w:r>
        <w:t>. Norstar and Sims are understood to send all steel for processing offsite (either nationally or to export).</w:t>
      </w:r>
    </w:p>
    <w:p w14:paraId="6BEAC129" w14:textId="5DAF06F7" w:rsidR="00F152A6" w:rsidRDefault="00F152A6" w:rsidP="0007569F">
      <w:pPr>
        <w:pStyle w:val="Heading2Numbered"/>
      </w:pPr>
      <w:r>
        <w:t>Steel recycling processes</w:t>
      </w:r>
    </w:p>
    <w:p w14:paraId="4B4F0589" w14:textId="6FE21923" w:rsidR="00F152A6" w:rsidRDefault="00F152A6" w:rsidP="00F152A6">
      <w:r>
        <w:t xml:space="preserve">The most common method of recycling steel is </w:t>
      </w:r>
      <w:r w:rsidR="0007569F">
        <w:t>using</w:t>
      </w:r>
      <w:r>
        <w:t xml:space="preserve"> an Electric Arc Furnace (EAF) as o</w:t>
      </w:r>
      <w:r w:rsidR="0007569F">
        <w:t xml:space="preserve">pposed to a Blast Furnace (BF) or </w:t>
      </w:r>
      <w:r>
        <w:t xml:space="preserve">Basic Oxygen Furnace (BOF), which is predominantly used for the processing of virgin materials (IIP 2016a). According to Worrell et al (2010), in an </w:t>
      </w:r>
      <w:r w:rsidR="005274AC">
        <w:t>EAF</w:t>
      </w:r>
      <w:r>
        <w:t xml:space="preserve"> scrap steel is melted via electric arcs created between a cathode and one (for direct current) or three (for alternating current) anodes. The electrodes are made of carbon and are consumed in the reprocessing operation. Up to 50</w:t>
      </w:r>
      <w:r w:rsidR="009F6094">
        <w:t xml:space="preserve"> per cent </w:t>
      </w:r>
      <w:r>
        <w:t>of the energy inputs to the process are in the form of electrical energy (Kirschen et al 2010). Efficiencies in heat loss, electrical loss, slag composition</w:t>
      </w:r>
      <w:r w:rsidR="009F6094">
        <w:t>/</w:t>
      </w:r>
      <w:r>
        <w:t xml:space="preserve">generation and furnace turn-around time have been proven to reduce the amount </w:t>
      </w:r>
      <w:r w:rsidR="0007569F">
        <w:t xml:space="preserve">of electrical energy required. </w:t>
      </w:r>
    </w:p>
    <w:p w14:paraId="331C4D43" w14:textId="3C632A6A" w:rsidR="00F152A6" w:rsidRDefault="00F152A6" w:rsidP="008172AC">
      <w:r>
        <w:t>Once the EAF process is completed the liquid steel is tapped into ladles and second</w:t>
      </w:r>
      <w:r w:rsidR="00E06265">
        <w:t>ary processes can be performed, for example</w:t>
      </w:r>
      <w:r w:rsidR="005F2FC3">
        <w:t>,</w:t>
      </w:r>
      <w:r w:rsidR="00E06265">
        <w:t xml:space="preserve"> rolling into sheets</w:t>
      </w:r>
      <w:r>
        <w:t>. The key difference between EAF and BF technologies is the type of raw</w:t>
      </w:r>
      <w:r w:rsidR="0007569F">
        <w:t xml:space="preserve"> materials they consume (World S</w:t>
      </w:r>
      <w:r>
        <w:t xml:space="preserve">teel </w:t>
      </w:r>
      <w:r w:rsidR="0007569F">
        <w:t>A</w:t>
      </w:r>
      <w:r>
        <w:t>ssociation</w:t>
      </w:r>
      <w:r w:rsidR="0007569F">
        <w:t>,</w:t>
      </w:r>
      <w:r>
        <w:t xml:space="preserve"> 2012). For BF/BOF the inputs are iron ore and coal while EAF uses electricity as its main non-material input. In Worrell et al (2008) it was estimated that the overall energy intensity of BF/BOF is 14.8 GJ/tonne of </w:t>
      </w:r>
      <w:r w:rsidR="00EE0746">
        <w:t>steel compared with 2.6 GJ/t</w:t>
      </w:r>
      <w:r>
        <w:t xml:space="preserve"> of steel for EAF. This large difference in energy intensity </w:t>
      </w:r>
      <w:r w:rsidR="0007569F">
        <w:t>to produce</w:t>
      </w:r>
      <w:r>
        <w:t xml:space="preserve"> virgin steel versus recycled steel is evident in the significant emissions offsets, which are part of scope 3 reporting (as detailed </w:t>
      </w:r>
      <w:r w:rsidR="0007569F">
        <w:t>previously</w:t>
      </w:r>
      <w:r>
        <w:t>).</w:t>
      </w:r>
    </w:p>
    <w:p w14:paraId="1EB1204E" w14:textId="3C8E4741" w:rsidR="00F152A6" w:rsidRDefault="008E27E3" w:rsidP="008E27E3">
      <w:pPr>
        <w:pStyle w:val="Heading2Numbered"/>
      </w:pPr>
      <w:r>
        <w:t>Steel recycling scope 1 and 2 emissions</w:t>
      </w:r>
    </w:p>
    <w:p w14:paraId="7C901EB2" w14:textId="49F7EAF7" w:rsidR="008E27E3" w:rsidRDefault="008E27E3" w:rsidP="008E27E3">
      <w:r>
        <w:t xml:space="preserve">Figure 13 shows the source of </w:t>
      </w:r>
      <w:r w:rsidR="00612ED0">
        <w:t xml:space="preserve">GHG </w:t>
      </w:r>
      <w:r>
        <w:t xml:space="preserve">emissions from the facility types which handle steel materials and the </w:t>
      </w:r>
      <w:r w:rsidR="005274AC">
        <w:t xml:space="preserve">split between scope 1 and </w:t>
      </w:r>
      <w:r w:rsidR="00612ED0">
        <w:t>2 emissions. S</w:t>
      </w:r>
      <w:r>
        <w:t xml:space="preserve">cope 1 and 2 emissions from </w:t>
      </w:r>
      <w:r w:rsidR="00FC30F6">
        <w:t>steel recycling infrastructure we</w:t>
      </w:r>
      <w:r>
        <w:t xml:space="preserve">re estimated at </w:t>
      </w:r>
      <w:r w:rsidRPr="005274AC">
        <w:t>50</w:t>
      </w:r>
      <w:r w:rsidR="005274AC" w:rsidRPr="005274AC">
        <w:t>8</w:t>
      </w:r>
      <w:r w:rsidRPr="005274AC">
        <w:t>,</w:t>
      </w:r>
      <w:r w:rsidR="005274AC" w:rsidRPr="005274AC">
        <w:t>000</w:t>
      </w:r>
      <w:r w:rsidRPr="005274AC">
        <w:t xml:space="preserve"> tCO</w:t>
      </w:r>
      <w:r w:rsidRPr="005274AC">
        <w:rPr>
          <w:vertAlign w:val="subscript"/>
        </w:rPr>
        <w:t>2</w:t>
      </w:r>
      <w:r w:rsidR="005274AC">
        <w:t xml:space="preserve">-e </w:t>
      </w:r>
      <w:r w:rsidRPr="005274AC">
        <w:t>(</w:t>
      </w:r>
      <w:r>
        <w:t>or approximately 591 kg CO</w:t>
      </w:r>
      <w:r w:rsidRPr="005274AC">
        <w:rPr>
          <w:vertAlign w:val="subscript"/>
        </w:rPr>
        <w:t>2</w:t>
      </w:r>
      <w:r>
        <w:t>-e/t of recovered material). Other emissions associated with steel recycling total 1,800 tCO</w:t>
      </w:r>
      <w:r w:rsidRPr="004D0F7D">
        <w:rPr>
          <w:vertAlign w:val="subscript"/>
        </w:rPr>
        <w:t>2</w:t>
      </w:r>
      <w:r w:rsidR="00612ED0">
        <w:t>-</w:t>
      </w:r>
      <w:r w:rsidR="004D0F7D">
        <w:t>e,</w:t>
      </w:r>
      <w:r>
        <w:t xml:space="preserve"> mostly from materials recovery facility (MRF) operations.</w:t>
      </w:r>
    </w:p>
    <w:p w14:paraId="3FF6927E" w14:textId="26281D3C" w:rsidR="008E27E3" w:rsidRDefault="008E27E3" w:rsidP="004D0F7D">
      <w:pPr>
        <w:pStyle w:val="FigureCaption"/>
      </w:pPr>
      <w:r w:rsidRPr="004D0F7D">
        <w:t>FIGURE 13: T</w:t>
      </w:r>
      <w:r w:rsidR="004D0F7D" w:rsidRPr="004D0F7D">
        <w:t>otal scope 1 and 2 GHG emissions for waste managed in Victoria’s Steel recycling industry</w:t>
      </w:r>
    </w:p>
    <w:p w14:paraId="715EC11D" w14:textId="449CB535" w:rsidR="008E27E3" w:rsidRDefault="008E27E3" w:rsidP="008E27E3">
      <w:r>
        <w:t xml:space="preserve"> </w:t>
      </w:r>
      <w:r w:rsidR="004D0F7D">
        <w:rPr>
          <w:noProof/>
          <w:lang w:eastAsia="en-AU"/>
        </w:rPr>
        <w:drawing>
          <wp:inline distT="0" distB="0" distL="0" distR="0" wp14:anchorId="4AE083DA" wp14:editId="222F149E">
            <wp:extent cx="4224528" cy="3252216"/>
            <wp:effectExtent l="0" t="0" r="0" b="0"/>
            <wp:docPr id="46255" name="Picture 46255"/>
            <wp:cNvGraphicFramePr/>
            <a:graphic xmlns:a="http://schemas.openxmlformats.org/drawingml/2006/main">
              <a:graphicData uri="http://schemas.openxmlformats.org/drawingml/2006/picture">
                <pic:pic xmlns:pic="http://schemas.openxmlformats.org/drawingml/2006/picture">
                  <pic:nvPicPr>
                    <pic:cNvPr id="46255" name="Picture 46255"/>
                    <pic:cNvPicPr/>
                  </pic:nvPicPr>
                  <pic:blipFill>
                    <a:blip r:embed="rId47"/>
                    <a:stretch>
                      <a:fillRect/>
                    </a:stretch>
                  </pic:blipFill>
                  <pic:spPr>
                    <a:xfrm>
                      <a:off x="0" y="0"/>
                      <a:ext cx="4224528" cy="3252216"/>
                    </a:xfrm>
                    <a:prstGeom prst="rect">
                      <a:avLst/>
                    </a:prstGeom>
                  </pic:spPr>
                </pic:pic>
              </a:graphicData>
            </a:graphic>
          </wp:inline>
        </w:drawing>
      </w:r>
    </w:p>
    <w:p w14:paraId="010D3071" w14:textId="2843241C" w:rsidR="009F750D" w:rsidRDefault="005274AC" w:rsidP="008E27E3">
      <w:r>
        <w:t>Most</w:t>
      </w:r>
      <w:r w:rsidR="00612ED0">
        <w:t xml:space="preserve"> GHG</w:t>
      </w:r>
      <w:r w:rsidR="00FF182B">
        <w:t xml:space="preserve">s </w:t>
      </w:r>
      <w:r w:rsidR="008E27E3">
        <w:t>arise from the actual reprocessing of material and fall under scope 2 (off-site emissions from electricity prod</w:t>
      </w:r>
      <w:r w:rsidR="00FF182B">
        <w:t>uction). This reflects Victoria</w:t>
      </w:r>
      <w:r w:rsidR="008E27E3">
        <w:t>’s current dependence on brown coal for electricity generation. While steel recycling and the EAF process is proven to be</w:t>
      </w:r>
      <w:r w:rsidR="004D0F7D">
        <w:t xml:space="preserve"> more energy efficient than virgin steel production, significant opportunities remain to reduce emissions by powering steel recycling with renewable </w:t>
      </w:r>
      <w:r w:rsidR="00EE0746">
        <w:t>electricity</w:t>
      </w:r>
      <w:r w:rsidR="004D0F7D">
        <w:t xml:space="preserve"> sources or less GHG</w:t>
      </w:r>
      <w:r w:rsidR="005F2FC3">
        <w:t>-</w:t>
      </w:r>
      <w:r w:rsidR="004D0F7D">
        <w:t xml:space="preserve">intensive generation than </w:t>
      </w:r>
      <w:r w:rsidR="00EE0746">
        <w:t xml:space="preserve">electricity generated from </w:t>
      </w:r>
      <w:r w:rsidR="004D0F7D">
        <w:t>burning brown coal.</w:t>
      </w:r>
    </w:p>
    <w:p w14:paraId="592EAE60" w14:textId="5E3369FA" w:rsidR="00E25679" w:rsidRDefault="00E25679" w:rsidP="00E25679">
      <w:pPr>
        <w:pStyle w:val="Heading2Numbered"/>
      </w:pPr>
      <w:r>
        <w:t xml:space="preserve"> Best practice emissions reduction</w:t>
      </w:r>
    </w:p>
    <w:p w14:paraId="4A203C4B" w14:textId="2DD9DD17" w:rsidR="00E25679" w:rsidRDefault="00E25679" w:rsidP="00E25679">
      <w:r>
        <w:t>The World Steel Association (2016) outlines two components of the EAF industry where potential improvements in energy efficiency can be achieved. These are summarised as the transfer of best practice technology (development, sharing and implementation between different companies and plants) and the optimisa</w:t>
      </w:r>
      <w:r w:rsidR="00EE0746">
        <w:t>tion of operations and controls</w:t>
      </w:r>
      <w:r>
        <w:t>.</w:t>
      </w:r>
    </w:p>
    <w:p w14:paraId="38684DA3" w14:textId="77777777" w:rsidR="00E25679" w:rsidRDefault="00E25679" w:rsidP="00E25679">
      <w:pPr>
        <w:pStyle w:val="Heading3"/>
      </w:pPr>
      <w:r>
        <w:t>Technology transfer</w:t>
      </w:r>
    </w:p>
    <w:p w14:paraId="5EC3E170" w14:textId="1A63EAAF" w:rsidR="00E25679" w:rsidRDefault="00E25679" w:rsidP="00E25679">
      <w:r>
        <w:t xml:space="preserve">Improvements in technology used throughout the EAF process can greatly reduce electricity consumption. IIP (2016b) provides a list of 33 technologies which have been demonstrated to provide energy savings or reductions in GHG emissions. In 2010 the Asia Pacific Partnership for Clean Development and Climate released </w:t>
      </w:r>
      <w:r w:rsidRPr="006C4A5C">
        <w:rPr>
          <w:rStyle w:val="BookTitle"/>
        </w:rPr>
        <w:t xml:space="preserve">The State-of-the-Art Clean Technologies (SOACT) for Steelmaking Handbook </w:t>
      </w:r>
      <w:r>
        <w:t xml:space="preserve">and provided a comprehensive assessment of technologies used in steel making (from virgin or recycled materials) which can help reduce energy consumption and emissions. In both examples, the technologies are developed by steel mills throughout the world and show the types of savings achievable through technology updates. It also shows that transferring proven technologies is an important industry trend. </w:t>
      </w:r>
      <w:r w:rsidR="00172D5F">
        <w:t>O</w:t>
      </w:r>
      <w:r>
        <w:t xml:space="preserve">pportunities to </w:t>
      </w:r>
      <w:r w:rsidR="009F6094">
        <w:t xml:space="preserve">transfer </w:t>
      </w:r>
      <w:r>
        <w:t>technologies greatly depend on the type and age of current equipment and the EAF mill in Victoria.</w:t>
      </w:r>
    </w:p>
    <w:p w14:paraId="51A1A64E" w14:textId="77777777" w:rsidR="00B94F71" w:rsidRDefault="00B94F71" w:rsidP="00B94F71">
      <w:pPr>
        <w:pStyle w:val="Heading3"/>
      </w:pPr>
      <w:r>
        <w:t>Optimisation of operations and controls</w:t>
      </w:r>
    </w:p>
    <w:p w14:paraId="2DC708E8" w14:textId="53204423" w:rsidR="004D0F7D" w:rsidRDefault="00B94F71" w:rsidP="00B94F71">
      <w:r>
        <w:t>The optimisation of operations and controls can be implemented across all areas of EAF steelmaking. A study presented on World Steel Association (2010b) reports that Tata Steel Europe reduced their energy use (and therefore their CO</w:t>
      </w:r>
      <w:r w:rsidRPr="006C4A5C">
        <w:rPr>
          <w:vertAlign w:val="subscript"/>
        </w:rPr>
        <w:t>2</w:t>
      </w:r>
      <w:r w:rsidR="006C4A5C">
        <w:t xml:space="preserve">-e </w:t>
      </w:r>
      <w:r>
        <w:t>emissions) through optimisation of plant equipment. The review and rationalisation of process equipment included examining equipment to establish the energy base load for cooling fans, motors and dust extraction and then looking at systems to reduce the base load. The program resulted in a 2.5</w:t>
      </w:r>
      <w:r w:rsidR="009F6094">
        <w:t xml:space="preserve"> per cent </w:t>
      </w:r>
      <w:r>
        <w:t>reduction in energy use in one of the company’s mills. Further examples of control improvements have achieved reductions of up to 14</w:t>
      </w:r>
      <w:r w:rsidR="009F6094">
        <w:t xml:space="preserve"> per cent</w:t>
      </w:r>
      <w:r>
        <w:t xml:space="preserve"> for electricity and 6</w:t>
      </w:r>
      <w:r w:rsidR="009F6094">
        <w:t xml:space="preserve"> per cent </w:t>
      </w:r>
      <w:r>
        <w:t>for natural gas consumption (IIP 2016b).</w:t>
      </w:r>
    </w:p>
    <w:p w14:paraId="10702BE5" w14:textId="2EEEF5E3" w:rsidR="00345281" w:rsidRDefault="00345281" w:rsidP="00345281">
      <w:pPr>
        <w:pStyle w:val="Heading2Numbered"/>
      </w:pPr>
      <w:r>
        <w:t>Current best practice in Victoria</w:t>
      </w:r>
    </w:p>
    <w:p w14:paraId="3A50A757" w14:textId="151C00B5" w:rsidR="00345281" w:rsidRDefault="00FF182B" w:rsidP="00345281">
      <w:r>
        <w:t>In 2008, OneSteel</w:t>
      </w:r>
      <w:r w:rsidR="001B3781">
        <w:t>,</w:t>
      </w:r>
      <w:r w:rsidR="00345281">
        <w:t xml:space="preserve"> </w:t>
      </w:r>
      <w:r w:rsidR="00660E6D">
        <w:t xml:space="preserve">and </w:t>
      </w:r>
      <w:r w:rsidR="00345281">
        <w:t>the University of New South Wales</w:t>
      </w:r>
      <w:r w:rsidR="001B3781">
        <w:t xml:space="preserve"> (UNSW),</w:t>
      </w:r>
      <w:r w:rsidR="00345281">
        <w:t xml:space="preserve"> developed and installed best practice technology at their Laverton (Vic) and Rooty Hill (NSW) EAF steel processing mills. The technology replaced an input to the EAF process with a recyclable material which reduces waste and improves the energy efficiency of the process (OneSteel 2016a). </w:t>
      </w:r>
    </w:p>
    <w:p w14:paraId="5CBBF1DC" w14:textId="23C3F794" w:rsidR="002105A4" w:rsidRDefault="00345281" w:rsidP="00345281">
      <w:r>
        <w:t>In the traditional EAF process, coke or anthracite is injected to produce a foaming slag that acts as a blanket over molten steel during steelmaking</w:t>
      </w:r>
      <w:r w:rsidR="00F45CE6">
        <w:t>,</w:t>
      </w:r>
      <w:r>
        <w:t xml:space="preserve"> help</w:t>
      </w:r>
      <w:r w:rsidR="00F45CE6">
        <w:t>ing to</w:t>
      </w:r>
      <w:r>
        <w:t xml:space="preserve"> insulate the material and reduce heat loss (World steel association 2010a). </w:t>
      </w:r>
      <w:r w:rsidR="00F45CE6">
        <w:t>T</w:t>
      </w:r>
      <w:r>
        <w:t>echnology developed by OneSteel and UNSW</w:t>
      </w:r>
      <w:r w:rsidR="00F45CE6" w:rsidRPr="00CB2256">
        <w:t xml:space="preserve"> </w:t>
      </w:r>
      <w:r w:rsidR="00F45CE6">
        <w:t xml:space="preserve">– </w:t>
      </w:r>
      <w:r>
        <w:t xml:space="preserve">called Polymer Injection Technology (PIT) </w:t>
      </w:r>
      <w:r w:rsidR="00F45CE6">
        <w:t xml:space="preserve">– </w:t>
      </w:r>
      <w:r>
        <w:t>uses recycled polymers (particularly</w:t>
      </w:r>
      <w:r w:rsidR="002E583F">
        <w:t xml:space="preserve"> old car tyres and high-density polyethylene plastic) as alternative carbon injectants to produce</w:t>
      </w:r>
      <w:r w:rsidR="00F45CE6">
        <w:t xml:space="preserve"> the</w:t>
      </w:r>
      <w:r w:rsidR="002E583F">
        <w:t xml:space="preserve"> foaming slag required in EAF steelmaking</w:t>
      </w:r>
      <w:r w:rsidR="00F45CE6">
        <w:t>, resulting in</w:t>
      </w:r>
      <w:r w:rsidR="002E583F">
        <w:t xml:space="preserve"> a more efficient and improved foaming slag</w:t>
      </w:r>
      <w:r w:rsidR="00F45CE6">
        <w:t xml:space="preserve"> </w:t>
      </w:r>
      <w:r w:rsidR="005F2FC3">
        <w:t>requiring</w:t>
      </w:r>
      <w:r w:rsidR="00F45CE6">
        <w:t xml:space="preserve"> a </w:t>
      </w:r>
      <w:r w:rsidR="002E583F">
        <w:t>smaller quantity of injectant</w:t>
      </w:r>
      <w:r w:rsidR="00F45CE6">
        <w:t xml:space="preserve">. </w:t>
      </w:r>
      <w:r w:rsidR="002E583F">
        <w:t>This reduces energy consumption by cutting heat losses from the molten steel, and improves productivity by compressing the power-on time. It was estimated that electrical energy consumption was reduced by up to 3</w:t>
      </w:r>
      <w:r w:rsidR="003C3FA8">
        <w:t xml:space="preserve"> per cent </w:t>
      </w:r>
      <w:r w:rsidR="002E583F">
        <w:t>in two separate EAF mills (OneSteel 2016a). As of November 2016, OneSteel (2016b) estimates that it uses the equivalent of between 20,000 and 40,000 tyres per month in the PIT process at its facilities in Laverton and Rooty Hill. According to OneSteel, since installing the technology at their plants, steelmakers in Thailand, South Korea, the United Kingdom and Norway have licensed the technology for use in their own EAF mills (OneSteel 2016b).</w:t>
      </w:r>
    </w:p>
    <w:p w14:paraId="19CA3776" w14:textId="77777777" w:rsidR="00524A0F" w:rsidRDefault="00524A0F">
      <w:pPr>
        <w:spacing w:after="0" w:line="240" w:lineRule="auto"/>
        <w:rPr>
          <w:rFonts w:asciiTheme="majorHAnsi" w:eastAsiaTheme="majorEastAsia" w:hAnsiTheme="majorHAnsi" w:cstheme="majorBidi"/>
          <w:bCs/>
          <w:color w:val="82C341" w:themeColor="accent1"/>
          <w:sz w:val="28"/>
          <w:szCs w:val="28"/>
        </w:rPr>
      </w:pPr>
      <w:r>
        <w:br w:type="page"/>
      </w:r>
    </w:p>
    <w:p w14:paraId="71A8B164" w14:textId="5D0EBF35" w:rsidR="002105A4" w:rsidRDefault="002105A4" w:rsidP="002105A4">
      <w:pPr>
        <w:pStyle w:val="Heading1Numbered"/>
      </w:pPr>
      <w:bookmarkStart w:id="26" w:name="_Toc16499298"/>
      <w:r>
        <w:t>Plastics recycling</w:t>
      </w:r>
      <w:bookmarkEnd w:id="26"/>
    </w:p>
    <w:p w14:paraId="3EAC6C36" w14:textId="344122C3" w:rsidR="002105A4" w:rsidRDefault="002105A4" w:rsidP="002105A4">
      <w:pPr>
        <w:pStyle w:val="Heading2Numbered"/>
      </w:pPr>
      <w:r>
        <w:t>Plastics recycling sites in Victoria</w:t>
      </w:r>
    </w:p>
    <w:p w14:paraId="5CB7D293" w14:textId="66189DB4" w:rsidR="002105A4" w:rsidRPr="00F049BF" w:rsidRDefault="002105A4" w:rsidP="001B3781">
      <w:r>
        <w:t xml:space="preserve">The </w:t>
      </w:r>
      <w:r w:rsidRPr="002105A4">
        <w:t>Victorian plastics recycling industry is detailed in the SWRRIP</w:t>
      </w:r>
      <w:r>
        <w:t>,</w:t>
      </w:r>
      <w:r w:rsidRPr="002105A4">
        <w:t xml:space="preserve"> which </w:t>
      </w:r>
      <w:r w:rsidR="0028207D">
        <w:t>states:</w:t>
      </w:r>
      <w:r w:rsidR="001B3781">
        <w:t xml:space="preserve"> </w:t>
      </w:r>
      <w:r>
        <w:t>“</w:t>
      </w:r>
      <w:r w:rsidRPr="002105A4">
        <w:rPr>
          <w:i/>
        </w:rPr>
        <w:t xml:space="preserve">Victoria is home to about half of Australia’s plastics reprocessors and recycles a significant proportion of Australia’s recovered plastics. The Plastics and Chemical Industries Association (PACIA) identified 37 plastic reprocessors in Victoria, 35 of which are in metropolitan Melbourne, making it </w:t>
      </w:r>
      <w:r w:rsidRPr="00F049BF">
        <w:rPr>
          <w:i/>
        </w:rPr>
        <w:t>the major reprocessing hub for plastics in Victoria</w:t>
      </w:r>
      <w:r w:rsidRPr="00F049BF">
        <w:t>” (</w:t>
      </w:r>
      <w:r w:rsidR="00FF182B" w:rsidRPr="00F049BF">
        <w:t xml:space="preserve">SV, 2015, </w:t>
      </w:r>
      <w:r w:rsidRPr="00F049BF">
        <w:t>page 87).</w:t>
      </w:r>
      <w:r w:rsidR="001B3781" w:rsidRPr="00F049BF">
        <w:t xml:space="preserve"> </w:t>
      </w:r>
      <w:r w:rsidR="00FF182B" w:rsidRPr="00F049BF">
        <w:t>The SWRRIP (2018) recorded 24 reprocessing facilities in Victoria</w:t>
      </w:r>
      <w:r w:rsidR="00F049BF" w:rsidRPr="00F049BF">
        <w:t xml:space="preserve"> and </w:t>
      </w:r>
      <w:r w:rsidRPr="00F049BF">
        <w:t>estimate</w:t>
      </w:r>
      <w:r w:rsidR="00625746" w:rsidRPr="00F049BF">
        <w:t xml:space="preserve">s that </w:t>
      </w:r>
      <w:r w:rsidR="0058370D" w:rsidRPr="00F049BF">
        <w:t>65</w:t>
      </w:r>
      <w:r w:rsidR="003C3FA8">
        <w:t xml:space="preserve"> per cent</w:t>
      </w:r>
      <w:r w:rsidR="003C3FA8" w:rsidRPr="00F049BF">
        <w:t xml:space="preserve"> </w:t>
      </w:r>
      <w:r w:rsidR="0058370D" w:rsidRPr="00F049BF">
        <w:t>of recovered plastic was</w:t>
      </w:r>
      <w:r w:rsidR="00625746" w:rsidRPr="00F049BF">
        <w:t xml:space="preserve"> exported for </w:t>
      </w:r>
      <w:r w:rsidRPr="00F049BF">
        <w:t>processing.</w:t>
      </w:r>
    </w:p>
    <w:p w14:paraId="312B5421" w14:textId="084586C1" w:rsidR="004D0F7D" w:rsidRDefault="002105A4" w:rsidP="002105A4">
      <w:r w:rsidRPr="00F049BF">
        <w:t xml:space="preserve">When compared to the steel recycling industry in Victoria, the plastics industry is more diverse and made up of a range of different sized businesses with </w:t>
      </w:r>
      <w:r w:rsidR="003C3FA8">
        <w:t>varied</w:t>
      </w:r>
      <w:r w:rsidR="003C3FA8" w:rsidRPr="00F049BF">
        <w:t xml:space="preserve"> </w:t>
      </w:r>
      <w:r w:rsidRPr="00F049BF">
        <w:t>focus</w:t>
      </w:r>
      <w:r>
        <w:t xml:space="preserve"> areas and products</w:t>
      </w:r>
      <w:r w:rsidR="0028207D">
        <w:t>.</w:t>
      </w:r>
    </w:p>
    <w:p w14:paraId="2825743B" w14:textId="713A34A4" w:rsidR="0028207D" w:rsidRDefault="0028207D" w:rsidP="0028207D">
      <w:pPr>
        <w:pStyle w:val="Heading2Numbered"/>
      </w:pPr>
      <w:r>
        <w:t xml:space="preserve">Plastics recycling processes </w:t>
      </w:r>
    </w:p>
    <w:p w14:paraId="553AD43B" w14:textId="15B63FA6" w:rsidR="0028207D" w:rsidRDefault="0028207D" w:rsidP="0028207D">
      <w:r>
        <w:t>The process for the recycling plastics can involve sorting, screening, shredding, compacting, washing, drying, melting, reforming and granulation. The exact processes used and the requirements for energy, fuel, water and other inputs at each stage of the process depend greatly on the type of plastic (PET, HDPE, etc.) and quality of material being recycled (Jansen 2012). Experiments in the energy mass balance field have shown the variations in consumption of energy by material type and recycling process, namely</w:t>
      </w:r>
      <w:r w:rsidR="00CE7E40">
        <w:t>:</w:t>
      </w:r>
    </w:p>
    <w:p w14:paraId="6FAFFAEF" w14:textId="31D5780F" w:rsidR="0028207D" w:rsidRDefault="0028207D" w:rsidP="0028207D">
      <w:pPr>
        <w:pStyle w:val="ListBullet"/>
      </w:pPr>
      <w:r>
        <w:t>Jansen (2012) measured the energy consumption at each stage of the recycling process for HDPE, the main consumers of energy were found to be the shredder, washer and dryer (the experimental process did not contain a melting phase). It was noted that in the processes examined approximately 90</w:t>
      </w:r>
      <w:r w:rsidR="00DC2AF5">
        <w:t xml:space="preserve"> per cent </w:t>
      </w:r>
      <w:r>
        <w:t>of energy used is converted to heat.</w:t>
      </w:r>
    </w:p>
    <w:p w14:paraId="0F60F5C1" w14:textId="134C4C90" w:rsidR="0028207D" w:rsidRPr="0028207D" w:rsidRDefault="0028207D" w:rsidP="0028207D">
      <w:pPr>
        <w:pStyle w:val="ListBullet"/>
      </w:pPr>
      <w:r>
        <w:t xml:space="preserve">ImpEE (2006) estimated the total energy required to recycle a single PET bottle into pellet form. The project estimated the energy </w:t>
      </w:r>
      <w:r w:rsidRPr="0028207D">
        <w:t>requirements of transport, washing, shredding and melting. Based on the estimates of activities undertaken at the recycling plant level, melting consumed 64</w:t>
      </w:r>
      <w:r w:rsidR="00DC2AF5">
        <w:t xml:space="preserve"> per cent</w:t>
      </w:r>
      <w:r w:rsidR="00DC2AF5" w:rsidRPr="0028207D">
        <w:t xml:space="preserve"> </w:t>
      </w:r>
      <w:r w:rsidRPr="0028207D">
        <w:t>of total energy requirements. However, some processes that would be expected to be undertaken were not included in the assessment</w:t>
      </w:r>
      <w:r>
        <w:t>.</w:t>
      </w:r>
    </w:p>
    <w:p w14:paraId="7B9E1A71" w14:textId="505EE378" w:rsidR="0028207D" w:rsidRDefault="0028207D" w:rsidP="0028207D">
      <w:pPr>
        <w:pStyle w:val="Heading2Numbered"/>
      </w:pPr>
      <w:r>
        <w:t xml:space="preserve">Plastics recycling scope 1 and 2 emissions </w:t>
      </w:r>
    </w:p>
    <w:p w14:paraId="1534E765" w14:textId="5972EA55" w:rsidR="0028207D" w:rsidRDefault="0028207D" w:rsidP="0028207D">
      <w:r>
        <w:t xml:space="preserve">Figure 14 shows the source of </w:t>
      </w:r>
      <w:r w:rsidR="006C4A5C">
        <w:t xml:space="preserve">GHG </w:t>
      </w:r>
      <w:r>
        <w:t>emissions from the facility types which handle</w:t>
      </w:r>
      <w:r w:rsidR="00FC30F6">
        <w:t>d</w:t>
      </w:r>
      <w:r>
        <w:t xml:space="preserve"> plastics and the split between scope 1 and scope 2 emissions. The emissions from plastic recycling infrastructure in Victoria in 2014-15</w:t>
      </w:r>
      <w:r w:rsidR="00FC30F6">
        <w:t xml:space="preserve"> were</w:t>
      </w:r>
      <w:r>
        <w:t xml:space="preserve"> </w:t>
      </w:r>
      <w:r w:rsidRPr="003C5672">
        <w:t>estimated at 72,</w:t>
      </w:r>
      <w:r w:rsidR="00CE7E40" w:rsidRPr="003C5672">
        <w:t>0</w:t>
      </w:r>
      <w:r w:rsidRPr="003C5672">
        <w:t>00 tCO</w:t>
      </w:r>
      <w:r w:rsidRPr="003C5672">
        <w:rPr>
          <w:vertAlign w:val="subscript"/>
        </w:rPr>
        <w:t>2</w:t>
      </w:r>
      <w:r w:rsidRPr="003C5672">
        <w:t xml:space="preserve"> (or approximately 785kg CO</w:t>
      </w:r>
      <w:r w:rsidRPr="003C5672">
        <w:rPr>
          <w:vertAlign w:val="subscript"/>
        </w:rPr>
        <w:t>2</w:t>
      </w:r>
      <w:r w:rsidRPr="003C5672">
        <w:t>-e/t of material). Other emissions associated with plastic total 900</w:t>
      </w:r>
      <w:r>
        <w:t xml:space="preserve"> tCO</w:t>
      </w:r>
      <w:r w:rsidRPr="00CE7E40">
        <w:rPr>
          <w:vertAlign w:val="subscript"/>
        </w:rPr>
        <w:t>2</w:t>
      </w:r>
      <w:r w:rsidR="00CE7E40">
        <w:t>-e from MRFs and less than five</w:t>
      </w:r>
      <w:r>
        <w:t xml:space="preserve"> tCO</w:t>
      </w:r>
      <w:r w:rsidRPr="00CE7E40">
        <w:rPr>
          <w:vertAlign w:val="subscript"/>
        </w:rPr>
        <w:t>2</w:t>
      </w:r>
      <w:r w:rsidR="00CE7E40">
        <w:t xml:space="preserve">-e </w:t>
      </w:r>
      <w:r>
        <w:t xml:space="preserve">for landfill disposal. </w:t>
      </w:r>
    </w:p>
    <w:p w14:paraId="3F6EA2AC" w14:textId="77777777" w:rsidR="00524A0F" w:rsidRDefault="00524A0F">
      <w:pPr>
        <w:spacing w:after="0" w:line="240" w:lineRule="auto"/>
        <w:rPr>
          <w:color w:val="82C341" w:themeColor="background1"/>
        </w:rPr>
      </w:pPr>
      <w:r>
        <w:br w:type="page"/>
      </w:r>
    </w:p>
    <w:p w14:paraId="1A0191B5" w14:textId="73DB4EE5" w:rsidR="0028207D" w:rsidRDefault="0028207D" w:rsidP="0028207D">
      <w:pPr>
        <w:pStyle w:val="FigureCaption"/>
      </w:pPr>
      <w:r>
        <w:t>FIGURE 14: Total scope 1 and 2 emissions for waste managed in Victoria’s plastics recycling industry</w:t>
      </w:r>
    </w:p>
    <w:p w14:paraId="0E5A3484" w14:textId="32E2A4AF" w:rsidR="0028207D" w:rsidRDefault="0028207D" w:rsidP="0028207D">
      <w:r>
        <w:rPr>
          <w:noProof/>
          <w:lang w:eastAsia="en-AU"/>
        </w:rPr>
        <w:drawing>
          <wp:inline distT="0" distB="0" distL="0" distR="0" wp14:anchorId="3BD4A9D0" wp14:editId="6EA78E0B">
            <wp:extent cx="4932045" cy="3290570"/>
            <wp:effectExtent l="0" t="0" r="1905" b="5080"/>
            <wp:docPr id="46256" name="Picture 46256"/>
            <wp:cNvGraphicFramePr/>
            <a:graphic xmlns:a="http://schemas.openxmlformats.org/drawingml/2006/main">
              <a:graphicData uri="http://schemas.openxmlformats.org/drawingml/2006/picture">
                <pic:pic xmlns:pic="http://schemas.openxmlformats.org/drawingml/2006/picture">
                  <pic:nvPicPr>
                    <pic:cNvPr id="46256" name="Picture 46256"/>
                    <pic:cNvPicPr/>
                  </pic:nvPicPr>
                  <pic:blipFill>
                    <a:blip r:embed="rId48"/>
                    <a:stretch>
                      <a:fillRect/>
                    </a:stretch>
                  </pic:blipFill>
                  <pic:spPr>
                    <a:xfrm>
                      <a:off x="0" y="0"/>
                      <a:ext cx="4932045" cy="3290570"/>
                    </a:xfrm>
                    <a:prstGeom prst="rect">
                      <a:avLst/>
                    </a:prstGeom>
                  </pic:spPr>
                </pic:pic>
              </a:graphicData>
            </a:graphic>
          </wp:inline>
        </w:drawing>
      </w:r>
    </w:p>
    <w:p w14:paraId="5530985E" w14:textId="77777777" w:rsidR="0028207D" w:rsidRDefault="0028207D" w:rsidP="0028207D"/>
    <w:p w14:paraId="1A96E3C4" w14:textId="3B448F9A" w:rsidR="0028207D" w:rsidRDefault="0028207D" w:rsidP="0028207D">
      <w:r>
        <w:t xml:space="preserve">Most emissions associated with the recycling of plastic arise from the actual reprocessing of material and fall under scope 2. This illustrates that the processes used in plastic recycling in Victoria are heavily dependent on electricity consumption, which in Victoria generates significant amounts of GHG emissions through the burning of </w:t>
      </w:r>
      <w:r w:rsidR="006C4A5C">
        <w:t xml:space="preserve">brown </w:t>
      </w:r>
      <w:r>
        <w:t>coal.</w:t>
      </w:r>
    </w:p>
    <w:p w14:paraId="429D841C" w14:textId="6D800AEB" w:rsidR="002D3633" w:rsidRDefault="002D3633" w:rsidP="002D3633">
      <w:pPr>
        <w:pStyle w:val="Heading2Numbered"/>
      </w:pPr>
      <w:r>
        <w:t xml:space="preserve">Best practice emissions reduction </w:t>
      </w:r>
    </w:p>
    <w:p w14:paraId="0115A545" w14:textId="16F6F614" w:rsidR="0028207D" w:rsidRDefault="002D3633" w:rsidP="002D3633">
      <w:r>
        <w:t xml:space="preserve">Due to the large range of plastics and processing techniques for plastics reprocessing, standardised best practice methods for reducing energy consumption are difficult to source. Much of the advertised improvements for improving efficiency in the recycling of plastic are because of material efficiency in product formation or </w:t>
      </w:r>
      <w:r w:rsidR="000F5020">
        <w:t>using</w:t>
      </w:r>
      <w:r>
        <w:t xml:space="preserve"> composite products</w:t>
      </w:r>
      <w:r w:rsidR="000F5020">
        <w:t>,</w:t>
      </w:r>
      <w:r>
        <w:t xml:space="preserve"> which reduce the amount of plastics used in manufacturing. These material efficiencies can have the impact of reducing requirements on resource use (energy, waster, etc.) and transportation fuel use due to lighter materials and improved compaction during waste transportation. For example, in Japan and Colombia, Coca-Cola has developed a lightweight twistable bottle. </w:t>
      </w:r>
      <w:r w:rsidR="005F2FC3">
        <w:t xml:space="preserve">This </w:t>
      </w:r>
      <w:r>
        <w:t>bottl</w:t>
      </w:r>
      <w:r w:rsidR="005F2FC3">
        <w:t>e</w:t>
      </w:r>
      <w:r>
        <w:t xml:space="preserve"> in conjunction with consumer communication has helped to improve the density of materials during waste transport (Coca-Cola 2012).</w:t>
      </w:r>
    </w:p>
    <w:p w14:paraId="02FC275D" w14:textId="1DC5B34B" w:rsidR="002D3633" w:rsidRDefault="002D3633" w:rsidP="002D3633">
      <w:pPr>
        <w:pStyle w:val="Heading2Numbered"/>
      </w:pPr>
      <w:r>
        <w:t>Opportunities for additional GHG reductions</w:t>
      </w:r>
    </w:p>
    <w:p w14:paraId="1E7EBB75" w14:textId="50D8FDA9" w:rsidR="002D3633" w:rsidRDefault="002D3633" w:rsidP="002D3633">
      <w:r>
        <w:t>The Australian Government Department of the Environment and Energy (2016a) maintain</w:t>
      </w:r>
      <w:r w:rsidR="007B6938">
        <w:t>s</w:t>
      </w:r>
      <w:r>
        <w:t xml:space="preserve"> the Energy Efficiency Exchange (EEX), which was a joint initiative between Australian and state and territory governments to support energy management and energy efficiency strategies amongst industries in Australia. The EEX provides information on the opportunities available to manufacturers in the chemicals and plastics industry that could be applied to plastics recyclers. The types of opportunities outlined for increasing energy efficiency include optimisation and maintenance of existing equipment, improving heat and power recovery, implementation of process innovation and equipment upgrades and design of output products to enable energy efficiency (e.g. in transportation). While these activities are not specific to plastic recyclers they highlight important areas in industrial processes where energy efficiency savings can be achieved.</w:t>
      </w:r>
    </w:p>
    <w:p w14:paraId="070298F8" w14:textId="52308071" w:rsidR="00062448" w:rsidRDefault="002D3633" w:rsidP="00062448">
      <w:r>
        <w:t>As an example of the opportunities in improving heat and power recovery, Arena et al (2003) found that the total energy required to produce one kilogram of recycled PET flakes ranged between 42 and 55 MJ. This range depended on whether the process wastes created during sorting and reprocessing were sent to energy recovery. The assessment suggests that an energy saving of approximately 23</w:t>
      </w:r>
      <w:r w:rsidR="007B6938">
        <w:t xml:space="preserve"> per cent </w:t>
      </w:r>
      <w:r>
        <w:t>can</w:t>
      </w:r>
      <w:r w:rsidR="00062448">
        <w:t xml:space="preserve"> be achieved if process waste is utilised in energy recovery in either an onsite process or a wider </w:t>
      </w:r>
      <w:r w:rsidR="00EE3812">
        <w:t>waste to energy</w:t>
      </w:r>
      <w:r w:rsidR="00062448">
        <w:t xml:space="preserve"> solution. </w:t>
      </w:r>
    </w:p>
    <w:p w14:paraId="09B30E61" w14:textId="6E0E3A53" w:rsidR="00062448" w:rsidRDefault="00062448" w:rsidP="00062448">
      <w:r>
        <w:t xml:space="preserve">The recovery of embodied energy (via waste </w:t>
      </w:r>
      <w:r w:rsidR="00EE3812">
        <w:t xml:space="preserve">to energy </w:t>
      </w:r>
      <w:r>
        <w:t>plant) from plastic recycling process residues in Victoria would offset some of the energy consumption (and associated emissions) from the operation of plastics recycling infrastructure.</w:t>
      </w:r>
    </w:p>
    <w:p w14:paraId="35C540D0" w14:textId="353B6021" w:rsidR="0028207D" w:rsidRDefault="00062448" w:rsidP="00062448">
      <w:pPr>
        <w:pStyle w:val="Heading1Numbered"/>
      </w:pPr>
      <w:bookmarkStart w:id="27" w:name="_Toc16499299"/>
      <w:r>
        <w:t>Paper and cardboard recycling</w:t>
      </w:r>
      <w:bookmarkEnd w:id="27"/>
    </w:p>
    <w:p w14:paraId="46077B7B" w14:textId="27C5F79C" w:rsidR="00062448" w:rsidRDefault="001D329E" w:rsidP="00062448">
      <w:pPr>
        <w:pStyle w:val="Heading2Numbered"/>
      </w:pPr>
      <w:r>
        <w:t>Paper/c</w:t>
      </w:r>
      <w:r w:rsidR="00062448">
        <w:t>ardboard recycling sites in Victoria</w:t>
      </w:r>
    </w:p>
    <w:p w14:paraId="2818E5C4" w14:textId="4B5CAFAB" w:rsidR="00062448" w:rsidRDefault="0051173E" w:rsidP="00062448">
      <w:r>
        <w:t>Most</w:t>
      </w:r>
      <w:r w:rsidR="00062448">
        <w:t xml:space="preserve"> </w:t>
      </w:r>
      <w:r w:rsidR="007B6938">
        <w:t xml:space="preserve">of </w:t>
      </w:r>
      <w:r w:rsidR="00062448">
        <w:t xml:space="preserve">Victoria’s recycled paper and cardboard is processed in paper mills in Victoria and NSW, which process a mixture of virgin and recovered materials to produce various grades of paper and cardboard. </w:t>
      </w:r>
    </w:p>
    <w:p w14:paraId="5E336000" w14:textId="5E082E6A" w:rsidR="00062448" w:rsidRDefault="00062448" w:rsidP="00062448">
      <w:r w:rsidRPr="00F049BF">
        <w:t>Two of Visy’s paper mills recycle</w:t>
      </w:r>
      <w:r w:rsidR="00F049BF" w:rsidRPr="00F049BF">
        <w:t>d</w:t>
      </w:r>
      <w:r w:rsidRPr="00F049BF">
        <w:t xml:space="preserve"> most of Victoria’s recovered paper </w:t>
      </w:r>
      <w:r w:rsidR="00D41424" w:rsidRPr="00F049BF">
        <w:t>and cardboard</w:t>
      </w:r>
      <w:r w:rsidR="00F049BF">
        <w:t xml:space="preserve"> in 2015</w:t>
      </w:r>
      <w:r w:rsidR="007B6938">
        <w:t>:</w:t>
      </w:r>
      <w:r w:rsidR="007B6938" w:rsidRPr="00F049BF">
        <w:t xml:space="preserve"> </w:t>
      </w:r>
      <w:r w:rsidR="00D41424" w:rsidRPr="00F049BF">
        <w:t>one in Coolaroo (Victoria)</w:t>
      </w:r>
      <w:r w:rsidRPr="00F049BF">
        <w:t xml:space="preserve"> and a larger facility in Tumut regional NSW.</w:t>
      </w:r>
    </w:p>
    <w:p w14:paraId="73F6CAFF" w14:textId="0A2FFA9D" w:rsidR="00062448" w:rsidRDefault="00062448" w:rsidP="00062448">
      <w:r>
        <w:t>In 2013, Australian Paper upgraded its waste paper recycling plant at its paper mill in Maryvale in Victoria, providing an additional 80,000 tonnes of paper recycling capacity (Australian Paper 2016), around 6</w:t>
      </w:r>
      <w:r w:rsidR="007B6938">
        <w:t xml:space="preserve"> per cent </w:t>
      </w:r>
      <w:r>
        <w:t>of Vic</w:t>
      </w:r>
      <w:r w:rsidR="007B6938">
        <w:t>torian</w:t>
      </w:r>
      <w:r>
        <w:t xml:space="preserve"> waste stream tonnages.    </w:t>
      </w:r>
    </w:p>
    <w:p w14:paraId="7F073E17" w14:textId="1372C2A5" w:rsidR="0028207D" w:rsidRDefault="00062448" w:rsidP="00062448">
      <w:r>
        <w:t>In</w:t>
      </w:r>
      <w:r w:rsidR="00EE7238">
        <w:t xml:space="preserve">ternational export </w:t>
      </w:r>
      <w:r w:rsidR="00F049BF">
        <w:t>is</w:t>
      </w:r>
      <w:r>
        <w:t xml:space="preserve"> significant at</w:t>
      </w:r>
      <w:r w:rsidR="000F2E72">
        <w:t xml:space="preserve"> around 40</w:t>
      </w:r>
      <w:r w:rsidR="007B6938">
        <w:t xml:space="preserve"> per cent </w:t>
      </w:r>
      <w:r w:rsidR="000F2E72">
        <w:t>(Net Balance</w:t>
      </w:r>
      <w:r w:rsidR="00EE7238">
        <w:t>,</w:t>
      </w:r>
      <w:r w:rsidR="000F2E72">
        <w:t xml:space="preserve"> 2012 p</w:t>
      </w:r>
      <w:r>
        <w:t>60).</w:t>
      </w:r>
    </w:p>
    <w:p w14:paraId="043BF920" w14:textId="027B7FA9" w:rsidR="004F0308" w:rsidRDefault="001D329E" w:rsidP="004F0308">
      <w:pPr>
        <w:pStyle w:val="Heading2Numbered"/>
      </w:pPr>
      <w:r>
        <w:t>Paper/</w:t>
      </w:r>
      <w:r w:rsidR="004F0308">
        <w:t>cardboard recycling process</w:t>
      </w:r>
    </w:p>
    <w:p w14:paraId="0BD0EAE3" w14:textId="062D1ED8" w:rsidR="004F0308" w:rsidRDefault="004F0308" w:rsidP="004F0308">
      <w:r>
        <w:t>The processes used in the recycling of paper and cardboard involve sorting, pulping, de-inking, screening, drying/pressing and rolling. The requirements at each stage of the process differ with the quality of the recovered input material and the required output product. In most circumstances, paper mills are designed to process a mix of virgin and recovered materials and so also have provisions for converting raw materials (wood) into pulp. This involves machines that prepare (stripping or chipping), mechanically or chemically pulp and bleach raw materials to create pulp</w:t>
      </w:r>
      <w:r w:rsidR="007B6938">
        <w:t>,</w:t>
      </w:r>
      <w:r>
        <w:t xml:space="preserve"> which is used similarly to pulp from recovered paper and cardboard from the waste stream.</w:t>
      </w:r>
    </w:p>
    <w:p w14:paraId="68CFCB06" w14:textId="5B4B9EE3" w:rsidR="004F0308" w:rsidRDefault="004F0308" w:rsidP="004F0308">
      <w:r>
        <w:t xml:space="preserve">The energy and thermal requirements for processing paper and cardboard differ depending on the desired quality of the output paper product. </w:t>
      </w:r>
      <w:r w:rsidR="00187FE8">
        <w:t>Australian Institute of Energy</w:t>
      </w:r>
      <w:r>
        <w:t xml:space="preserve"> (2016) outlines that packaging paper requires 150 to 200 kWh/t of material processed while 100</w:t>
      </w:r>
      <w:r w:rsidR="007B6938">
        <w:t xml:space="preserve"> per cent </w:t>
      </w:r>
      <w:r>
        <w:t xml:space="preserve">recycled office paper requires 400 to 500 kWh/t and 650 to 1,100 MJ/t in thermal energy (these output product types are at the low and high end of the range). Thermal energy is used in the process to heat water or produce steam and is generated from a combination of natural gas, onsite power generation, and off-site electricity. </w:t>
      </w:r>
    </w:p>
    <w:p w14:paraId="291187E9" w14:textId="2CCC53C8" w:rsidR="004F0308" w:rsidRDefault="004F0308" w:rsidP="004F0308">
      <w:r>
        <w:t>The combined paper and cardboard manufacturing/recycling processes generate significant quantities of waste. The main types of waste recovered</w:t>
      </w:r>
      <w:r w:rsidR="007B6938">
        <w:t xml:space="preserve"> include </w:t>
      </w:r>
      <w:r>
        <w:t>fibre waste, degraded fibre waste, pine and eucalyptus wood fines and bark</w:t>
      </w:r>
      <w:r w:rsidR="007B6938">
        <w:t>,</w:t>
      </w:r>
      <w:r>
        <w:t xml:space="preserve"> and a liquid/sludge waste known as black liquor</w:t>
      </w:r>
      <w:r>
        <w:rPr>
          <w:rStyle w:val="FootnoteReference"/>
        </w:rPr>
        <w:footnoteReference w:id="9"/>
      </w:r>
      <w:r w:rsidR="000F2E72">
        <w:t xml:space="preserve">. </w:t>
      </w:r>
      <w:r>
        <w:t>These mostly organic wastes from the combined paper and cardboard manufacturing /recycling processes generate additional GHG emissions during decomposition. However, since the 1930s, the paper industry has been able to significantly offset their need for energy from fossil fuels (reducing GHG emissions) by recovering energy from wastes generated during the pulping process in onsite recovery boilers. The black liquor waste stream is typically used for onsite power generation. The other waste streams such as degraded or contaminated fibre have historically been sent to landfill where they generate significant amounts of GHG emissions per tonne of material landfilled. However, recent innovations have reduced the tonnages of these waste to landfill (see discussion below).</w:t>
      </w:r>
    </w:p>
    <w:p w14:paraId="0B1D2965" w14:textId="22441A8E" w:rsidR="004F0308" w:rsidRDefault="000F2E72" w:rsidP="004F0308">
      <w:pPr>
        <w:pStyle w:val="Heading2Numbered"/>
      </w:pPr>
      <w:r>
        <w:t xml:space="preserve"> Paper/c</w:t>
      </w:r>
      <w:r w:rsidR="004F0308">
        <w:t xml:space="preserve">ardboard recycling scope 1 and 2 emissions </w:t>
      </w:r>
    </w:p>
    <w:p w14:paraId="4DB1F2D2" w14:textId="4DF0EB8F" w:rsidR="004F0308" w:rsidRDefault="004F0308" w:rsidP="004F0308">
      <w:r>
        <w:t xml:space="preserve">Figure 15 shows the source of </w:t>
      </w:r>
      <w:r w:rsidR="000F2E72">
        <w:t xml:space="preserve">GHG </w:t>
      </w:r>
      <w:r>
        <w:t>emissions between the facility types that handle</w:t>
      </w:r>
      <w:r w:rsidR="00392285">
        <w:t>d</w:t>
      </w:r>
      <w:r>
        <w:t xml:space="preserve"> paper and cardboard and the</w:t>
      </w:r>
      <w:r w:rsidR="000F2E72">
        <w:t xml:space="preserve"> split between scope 1 and</w:t>
      </w:r>
      <w:r>
        <w:t xml:space="preserve"> 2 emissions. The total </w:t>
      </w:r>
      <w:r w:rsidR="000F2E72">
        <w:t>GHG emissions from paper/</w:t>
      </w:r>
      <w:r>
        <w:t>cardboard reprocessing infr</w:t>
      </w:r>
      <w:r w:rsidR="00392285">
        <w:t>astructure we</w:t>
      </w:r>
      <w:r w:rsidR="000F2E72">
        <w:t>re estimated at 68,0</w:t>
      </w:r>
      <w:r>
        <w:t>00 tCO</w:t>
      </w:r>
      <w:r w:rsidRPr="004F0308">
        <w:rPr>
          <w:vertAlign w:val="subscript"/>
        </w:rPr>
        <w:t>2</w:t>
      </w:r>
      <w:r>
        <w:t xml:space="preserve"> (or approximately 848 kg CO</w:t>
      </w:r>
      <w:r w:rsidRPr="004F0308">
        <w:rPr>
          <w:vertAlign w:val="subscript"/>
        </w:rPr>
        <w:t>2</w:t>
      </w:r>
      <w:r>
        <w:t>-e/t of material). Other emi</w:t>
      </w:r>
      <w:r w:rsidR="00EE7238">
        <w:t>ssions associated with paper/</w:t>
      </w:r>
      <w:r>
        <w:t>cardboard total 26,100 tCO</w:t>
      </w:r>
      <w:r w:rsidRPr="004F0308">
        <w:rPr>
          <w:vertAlign w:val="subscript"/>
        </w:rPr>
        <w:t>2</w:t>
      </w:r>
      <w:r>
        <w:t xml:space="preserve"> for MRFs and 55,200 tCO</w:t>
      </w:r>
      <w:r w:rsidRPr="004F0308">
        <w:rPr>
          <w:vertAlign w:val="subscript"/>
        </w:rPr>
        <w:t>2</w:t>
      </w:r>
      <w:r>
        <w:t xml:space="preserve"> for landfill disposal. </w:t>
      </w:r>
    </w:p>
    <w:p w14:paraId="0AFCFD0B" w14:textId="3F1CC4AD" w:rsidR="004F0308" w:rsidRPr="000F2E72" w:rsidRDefault="004F0308" w:rsidP="004F0308">
      <w:pPr>
        <w:rPr>
          <w:i/>
        </w:rPr>
      </w:pPr>
      <w:r w:rsidRPr="000F2E72">
        <w:rPr>
          <w:i/>
        </w:rPr>
        <w:t>Note: the landfill disposal emissions included in Figure 15 result from emissions from paper and cardboard that is sent directly to landfill without reprocessing. Figure 15 does not include the GHG emissions associated with the landfilling of residues from the combined paper and cardboard manufacturing/recycling process. Residues from paper mills are often disposed of on-site and are not transported offsite for disposal.</w:t>
      </w:r>
    </w:p>
    <w:p w14:paraId="0A55CEDE" w14:textId="485FAC16" w:rsidR="004F0308" w:rsidRDefault="001373F6" w:rsidP="001373F6">
      <w:pPr>
        <w:pStyle w:val="FigureCaption"/>
      </w:pPr>
      <w:r w:rsidRPr="001373F6">
        <w:t>FIGURE 15: T</w:t>
      </w:r>
      <w:r>
        <w:t>otal scope 1 and 2 GHG emissions for waste managed by Victoria’s paper and cardboard recycling industry</w:t>
      </w:r>
    </w:p>
    <w:p w14:paraId="1959B371" w14:textId="45CB898A" w:rsidR="00D23525" w:rsidRDefault="00D23525" w:rsidP="00D23525">
      <w:r>
        <w:rPr>
          <w:noProof/>
          <w:lang w:eastAsia="en-AU"/>
        </w:rPr>
        <w:drawing>
          <wp:inline distT="0" distB="0" distL="0" distR="0" wp14:anchorId="2C683D63" wp14:editId="4999B6FC">
            <wp:extent cx="4932045" cy="3094830"/>
            <wp:effectExtent l="0" t="0" r="1905" b="0"/>
            <wp:docPr id="46257" name="Picture 46257"/>
            <wp:cNvGraphicFramePr/>
            <a:graphic xmlns:a="http://schemas.openxmlformats.org/drawingml/2006/main">
              <a:graphicData uri="http://schemas.openxmlformats.org/drawingml/2006/picture">
                <pic:pic xmlns:pic="http://schemas.openxmlformats.org/drawingml/2006/picture">
                  <pic:nvPicPr>
                    <pic:cNvPr id="46257" name="Picture 46257"/>
                    <pic:cNvPicPr/>
                  </pic:nvPicPr>
                  <pic:blipFill>
                    <a:blip r:embed="rId49"/>
                    <a:stretch>
                      <a:fillRect/>
                    </a:stretch>
                  </pic:blipFill>
                  <pic:spPr>
                    <a:xfrm>
                      <a:off x="0" y="0"/>
                      <a:ext cx="4932045" cy="3094830"/>
                    </a:xfrm>
                    <a:prstGeom prst="rect">
                      <a:avLst/>
                    </a:prstGeom>
                  </pic:spPr>
                </pic:pic>
              </a:graphicData>
            </a:graphic>
          </wp:inline>
        </w:drawing>
      </w:r>
    </w:p>
    <w:p w14:paraId="19BE4542" w14:textId="473F7C92" w:rsidR="00D23525" w:rsidRDefault="00D23525" w:rsidP="00D23525">
      <w:r>
        <w:t>Most emissions associated with paper</w:t>
      </w:r>
      <w:r w:rsidR="000F3B17">
        <w:t>/cardboard</w:t>
      </w:r>
      <w:r>
        <w:t xml:space="preserve"> recycling arise from the actual reprocessing of material and fal</w:t>
      </w:r>
      <w:r w:rsidR="000F3B17">
        <w:t>l roughly equally into scope 1 and 2 emissions</w:t>
      </w:r>
      <w:r>
        <w:t xml:space="preserve">. This suggests that the processes used in paper recycling are equally dependent on fuels (e.g. diesel, gas) and electricity from offsite. </w:t>
      </w:r>
    </w:p>
    <w:p w14:paraId="6B4935DE" w14:textId="17CEEC5A" w:rsidR="00D23525" w:rsidRDefault="00D23525" w:rsidP="00D23525">
      <w:r>
        <w:t>Also, apparent in Figure 15 are the emissions associated with the organic decomposition of unprocessed paper and cardboard in landfill which</w:t>
      </w:r>
      <w:r w:rsidRPr="00D23525">
        <w:t xml:space="preserve"> </w:t>
      </w:r>
      <w:r>
        <w:t>releases GHG emissions. These emissions are considered as a part of the emissions for licensed landfill, see</w:t>
      </w:r>
      <w:r w:rsidR="00EE7238">
        <w:t xml:space="preserve"> section 5.4</w:t>
      </w:r>
      <w:r>
        <w:t>.</w:t>
      </w:r>
    </w:p>
    <w:p w14:paraId="0D2F72C9" w14:textId="77777777" w:rsidR="00C263E5" w:rsidRDefault="00C263E5" w:rsidP="00C263E5">
      <w:pPr>
        <w:pStyle w:val="Heading2Numbered"/>
      </w:pPr>
      <w:r>
        <w:t xml:space="preserve">Best practice emissions reduction </w:t>
      </w:r>
    </w:p>
    <w:p w14:paraId="70533F57" w14:textId="03DF68CF" w:rsidR="00C263E5" w:rsidRDefault="00C263E5" w:rsidP="00C263E5">
      <w:r>
        <w:t>Examples of improvemen</w:t>
      </w:r>
      <w:r w:rsidR="00057D24">
        <w:t>ts to systems used in paper/</w:t>
      </w:r>
      <w:r>
        <w:t xml:space="preserve">cardboard recycling plants which have resulted in improved material efficiencies and reduced energy consumption are available from mills around the world. The Australian Government’s Department of the Environment and Energy (2016b), IIP (2016c), Kramer et al (2009) and the European Commission JRC Institute for Prospective Technological Studies (2015) provide </w:t>
      </w:r>
      <w:r w:rsidR="00B00761">
        <w:t>several</w:t>
      </w:r>
      <w:r>
        <w:t xml:space="preserve"> examples where improvements in technology have resulted in savings in requirements for electrical and heat energy. These include:</w:t>
      </w:r>
    </w:p>
    <w:p w14:paraId="44B1E0E5" w14:textId="6B5CED51" w:rsidR="00C263E5" w:rsidRDefault="001F6DFC" w:rsidP="00B00761">
      <w:pPr>
        <w:pStyle w:val="ListBullet"/>
      </w:pPr>
      <w:r>
        <w:t xml:space="preserve">a </w:t>
      </w:r>
      <w:r w:rsidR="00C263E5">
        <w:t>study by NCASI (2001) which suggests that replacing a vat batch pulper with a continuous drum pulper in de-inking operations can reduce energy consumption by 25</w:t>
      </w:r>
      <w:r>
        <w:t xml:space="preserve"> per cent</w:t>
      </w:r>
    </w:p>
    <w:p w14:paraId="770D876E" w14:textId="6E5709CB" w:rsidR="00C263E5" w:rsidRDefault="001F6DFC" w:rsidP="00B00761">
      <w:pPr>
        <w:pStyle w:val="ListBullet"/>
      </w:pPr>
      <w:r>
        <w:t xml:space="preserve">a </w:t>
      </w:r>
      <w:r w:rsidR="00C263E5">
        <w:t>funded project by United States Department of Energy (2004)</w:t>
      </w:r>
      <w:r w:rsidR="00B00761">
        <w:t>,</w:t>
      </w:r>
      <w:r w:rsidR="00C263E5">
        <w:t xml:space="preserve"> which demonstrated a reduction in boiler fuel consumption by 39,000 GJ/year as a result of the installation of a heat exchanger to recover heat from effluent streams and generate warm shower water for filtered water used in material reprocessing</w:t>
      </w:r>
    </w:p>
    <w:p w14:paraId="5D1189C9" w14:textId="0094174D" w:rsidR="00C263E5" w:rsidRDefault="001F6DFC" w:rsidP="00B00761">
      <w:pPr>
        <w:pStyle w:val="ListBullet"/>
      </w:pPr>
      <w:r>
        <w:t xml:space="preserve">a </w:t>
      </w:r>
      <w:r w:rsidR="00C263E5">
        <w:t>secondary separation pulping system installed at a plant in Japan (NEDO 2008) that reduced downstream contamination, improved daily throughput and reduced yearly energy requirements by 146,800 kWh</w:t>
      </w:r>
    </w:p>
    <w:p w14:paraId="04DFC38F" w14:textId="26E524BA" w:rsidR="00C263E5" w:rsidRDefault="001F6DFC" w:rsidP="00B00761">
      <w:pPr>
        <w:pStyle w:val="ListBullet"/>
      </w:pPr>
      <w:r>
        <w:t xml:space="preserve">an </w:t>
      </w:r>
      <w:r w:rsidR="00C263E5">
        <w:t>incineration plant installed at a German mill which used rejected material as its main feedstock (European Commission JRC Institute for Prospective Technological Studies, 2015). The mill, which had a yearly production of 370 kt, reduce</w:t>
      </w:r>
      <w:r w:rsidR="00B00761">
        <w:t>d</w:t>
      </w:r>
      <w:r w:rsidR="00C263E5">
        <w:t xml:space="preserve"> its energy consumption by 66,000 MWh</w:t>
      </w:r>
    </w:p>
    <w:p w14:paraId="175DE8C5" w14:textId="3B0AA107" w:rsidR="00C263E5" w:rsidRDefault="001F6DFC" w:rsidP="00B00761">
      <w:pPr>
        <w:pStyle w:val="ListBullet"/>
      </w:pPr>
      <w:r>
        <w:t xml:space="preserve">a </w:t>
      </w:r>
      <w:r w:rsidR="00B00761">
        <w:t xml:space="preserve">heat recovery system </w:t>
      </w:r>
      <w:r w:rsidR="00C263E5">
        <w:t>replaced dryers with stationary siphons and recovered steam at the paper drying process stage in a mill in America. The investment achieved energy savings of 0.89 GJ/t from improved drying efficiencies (Kramer et al 2009).</w:t>
      </w:r>
    </w:p>
    <w:p w14:paraId="0D97FA0C" w14:textId="08B77A4D" w:rsidR="00C263E5" w:rsidRDefault="00C263E5" w:rsidP="00C263E5">
      <w:r>
        <w:t>Further examples of energy efficiency savings can be found in the references listed above.</w:t>
      </w:r>
    </w:p>
    <w:p w14:paraId="055B90B9" w14:textId="77777777" w:rsidR="00084A1A" w:rsidRDefault="00084A1A" w:rsidP="00084A1A">
      <w:pPr>
        <w:pStyle w:val="Heading2Numbered"/>
      </w:pPr>
      <w:r>
        <w:t>Best practice in Victoria</w:t>
      </w:r>
    </w:p>
    <w:p w14:paraId="24CBC90D" w14:textId="06341977" w:rsidR="00084A1A" w:rsidRDefault="00084A1A" w:rsidP="00084A1A">
      <w:r>
        <w:t xml:space="preserve">In 2011, Visy Recycling completed the installation of co-generation infrastructure at their Coolaroo mill to generate electricity and heat from process waste materials. The $50 million plant was built with the help of a </w:t>
      </w:r>
      <w:r w:rsidR="00023562">
        <w:t xml:space="preserve">$2 </w:t>
      </w:r>
      <w:r>
        <w:t xml:space="preserve">million grant from SV. </w:t>
      </w:r>
    </w:p>
    <w:p w14:paraId="38ECB8E7" w14:textId="2C241595" w:rsidR="00084A1A" w:rsidRDefault="00084A1A" w:rsidP="00084A1A">
      <w:r>
        <w:t>At the time, Visy estimated that the plant would produce 30MW of thermal and 3MW electrical power. The fuel source is degraded paper fibres and a small percentage of plastic fragments generated on site as part of the recycling process. Visy estimated that the plant would divert 100,000 tonnes of waste from landfill each year, saving the company several million dollars in landfill costs. Visy estimated the plant would reduce the mill’s reliance on natural gas for thermal energy by about 50</w:t>
      </w:r>
      <w:r w:rsidR="001F6DFC">
        <w:t xml:space="preserve"> per cent </w:t>
      </w:r>
      <w:r>
        <w:t>and the sites reliance on grid electricity by 10</w:t>
      </w:r>
      <w:r w:rsidR="001F6DFC">
        <w:t xml:space="preserve"> per cent</w:t>
      </w:r>
      <w:r>
        <w:rPr>
          <w:rStyle w:val="FootnoteReference"/>
        </w:rPr>
        <w:footnoteReference w:id="10"/>
      </w:r>
      <w:r>
        <w:t>.</w:t>
      </w:r>
    </w:p>
    <w:p w14:paraId="0FB6BCB6" w14:textId="6C7E418E" w:rsidR="00D23525" w:rsidRDefault="00084A1A" w:rsidP="00084A1A">
      <w:r>
        <w:t>The Coolaroo co-generation processes were developed to increase investment in cleaner energy solutions (compared with coal fired power generation). The outputs of the systems help to reduce the amount of energy required from off-site electricity generation and reduce outputs to landfill.</w:t>
      </w:r>
    </w:p>
    <w:p w14:paraId="67149B59" w14:textId="0E3870F7" w:rsidR="00D23525" w:rsidRDefault="00084A1A" w:rsidP="00D23525">
      <w:r>
        <w:t>Since 2011, the performance of the co-generation plant at Coo</w:t>
      </w:r>
      <w:r w:rsidR="00057D24">
        <w:t>laroo has been subject to a</w:t>
      </w:r>
      <w:r>
        <w:t xml:space="preserve"> legal battle between Visy and the engineering company RCR</w:t>
      </w:r>
      <w:r>
        <w:rPr>
          <w:rStyle w:val="FootnoteReference"/>
        </w:rPr>
        <w:t>T</w:t>
      </w:r>
      <w:r>
        <w:t>. The actual performance of the Coolaroo plant since installation is unknown.</w:t>
      </w:r>
    </w:p>
    <w:p w14:paraId="1B40DF9B" w14:textId="1A20FAE5" w:rsidR="00654E33" w:rsidRDefault="00654E33" w:rsidP="00654E33">
      <w:r>
        <w:t>Australian Paper (2013) provides an account of energy use and GHG emissions from the Maryvale mill. In 2013, Maryvale produced 670,000 tonnes of black liquor which was used to generate some 8,300 GJ of energy providing a major offset to the mill’s fossil fuel energy demands and resulting GHG emissions.</w:t>
      </w:r>
    </w:p>
    <w:p w14:paraId="5A776575" w14:textId="1EE7D843" w:rsidR="00D23525" w:rsidRDefault="00654E33" w:rsidP="00654E33">
      <w:r>
        <w:t>Figure 16 includes the trends in sources of energy used by Australian Paper from 2009-13. The chart illustrates an increase in the amount of energy generated onsite from renewable energy and a decline in the energy used per tonne of paper and cardboard generated. ‘</w:t>
      </w:r>
      <w:r w:rsidR="004079F1">
        <w:t>D</w:t>
      </w:r>
      <w:r>
        <w:t>irect’ energy refers to the use of natural gas and indirect refers to offsite electricity</w:t>
      </w:r>
      <w:r w:rsidR="000C25F2">
        <w:t xml:space="preserve">. </w:t>
      </w:r>
    </w:p>
    <w:p w14:paraId="53670292" w14:textId="68B5EBC6" w:rsidR="000C25F2" w:rsidRDefault="000C25F2" w:rsidP="000C25F2">
      <w:pPr>
        <w:pStyle w:val="FigureCaption"/>
      </w:pPr>
      <w:r w:rsidRPr="000C25F2">
        <w:t xml:space="preserve">FIGURE 16: </w:t>
      </w:r>
      <w:r>
        <w:t>Australian Paper Maryvale site energy use trends</w:t>
      </w:r>
    </w:p>
    <w:p w14:paraId="26230B95" w14:textId="54096B62" w:rsidR="00943D29" w:rsidRPr="00943D29" w:rsidRDefault="00943D29" w:rsidP="00943D29">
      <w:r>
        <w:rPr>
          <w:noProof/>
          <w:lang w:eastAsia="en-AU"/>
        </w:rPr>
        <w:drawing>
          <wp:inline distT="0" distB="0" distL="0" distR="0" wp14:anchorId="08696958" wp14:editId="519B5C02">
            <wp:extent cx="4303644" cy="3409122"/>
            <wp:effectExtent l="0" t="0" r="1905" b="1270"/>
            <wp:docPr id="46258" name="Picture 46258"/>
            <wp:cNvGraphicFramePr/>
            <a:graphic xmlns:a="http://schemas.openxmlformats.org/drawingml/2006/main">
              <a:graphicData uri="http://schemas.openxmlformats.org/drawingml/2006/picture">
                <pic:pic xmlns:pic="http://schemas.openxmlformats.org/drawingml/2006/picture">
                  <pic:nvPicPr>
                    <pic:cNvPr id="46258" name="Picture 46258"/>
                    <pic:cNvPicPr/>
                  </pic:nvPicPr>
                  <pic:blipFill>
                    <a:blip r:embed="rId50"/>
                    <a:stretch>
                      <a:fillRect/>
                    </a:stretch>
                  </pic:blipFill>
                  <pic:spPr>
                    <a:xfrm>
                      <a:off x="0" y="0"/>
                      <a:ext cx="4304617" cy="3409893"/>
                    </a:xfrm>
                    <a:prstGeom prst="rect">
                      <a:avLst/>
                    </a:prstGeom>
                  </pic:spPr>
                </pic:pic>
              </a:graphicData>
            </a:graphic>
          </wp:inline>
        </w:drawing>
      </w:r>
    </w:p>
    <w:p w14:paraId="7B57423B" w14:textId="23AF54AD" w:rsidR="00943D29" w:rsidRDefault="00943D29" w:rsidP="00943D29">
      <w:pPr>
        <w:pStyle w:val="Heading2Numbered"/>
      </w:pPr>
      <w:r>
        <w:t>Opportunities for additional GHG reductions</w:t>
      </w:r>
    </w:p>
    <w:p w14:paraId="34C4085C" w14:textId="050A2A41" w:rsidR="000C25F2" w:rsidRDefault="00943D29" w:rsidP="00943D29">
      <w:r>
        <w:t xml:space="preserve">Australian Paper (2013) discusses the Maryvale mill’s ongoing program to reduce waste sent to landfill. Australian Paper reported that it had eliminated six waste streams </w:t>
      </w:r>
      <w:r w:rsidR="00057D24">
        <w:t>previously sent to landfill</w:t>
      </w:r>
      <w:r>
        <w:t>. Australian Paper is licensed to compost some of its organic wastes on</w:t>
      </w:r>
      <w:r w:rsidR="00057D24">
        <w:t xml:space="preserve">site (up to 110,000 tonnes </w:t>
      </w:r>
      <w:r>
        <w:t xml:space="preserve">per year). However, the Maryvale site still operates a landfill onsite that is licensed to receive paper pulp. There may be opportunities to recover energy from paper pulp currently sent to landfill onsite at Maryvale and reduce GHG emissions. Any co-generation infrastructure used to recover energy and heat from the paper pulp should carefully consider </w:t>
      </w:r>
      <w:r w:rsidRPr="00943D29">
        <w:t>any lessons from the Visy co-generation plant (which processes paper pulp historically sent to landfill).</w:t>
      </w:r>
    </w:p>
    <w:p w14:paraId="0CC410FA" w14:textId="214BA525" w:rsidR="00943D29" w:rsidRDefault="00943D29" w:rsidP="00943D29">
      <w:pPr>
        <w:pStyle w:val="Heading1Numbered"/>
      </w:pPr>
      <w:bookmarkStart w:id="28" w:name="_Toc16499300"/>
      <w:r>
        <w:t>Licenced landfills</w:t>
      </w:r>
      <w:bookmarkEnd w:id="28"/>
    </w:p>
    <w:p w14:paraId="1AD4BB9D" w14:textId="6906F618" w:rsidR="000C25F2" w:rsidRDefault="00943D29" w:rsidP="00943D29">
      <w:pPr>
        <w:pStyle w:val="Heading2Numbered"/>
      </w:pPr>
      <w:r>
        <w:t>Landfill sites in Victoria</w:t>
      </w:r>
    </w:p>
    <w:p w14:paraId="3847BCB3" w14:textId="713D08D1" w:rsidR="00CA5DC3" w:rsidRDefault="00276A2D" w:rsidP="00654E33">
      <w:r w:rsidRPr="00276A2D">
        <w:t xml:space="preserve">The total </w:t>
      </w:r>
      <w:r w:rsidR="00B44B49">
        <w:t>number of licensed landfill</w:t>
      </w:r>
      <w:r w:rsidRPr="00276A2D">
        <w:t xml:space="preserve">s in Victoria is reducing as some sites reach capacity and the Victorian Government implements stronger strategic planning control over the development of </w:t>
      </w:r>
      <w:r w:rsidRPr="00D61ED1">
        <w:t xml:space="preserve">new landfills. The </w:t>
      </w:r>
      <w:r w:rsidR="00D61ED1" w:rsidRPr="00D61ED1">
        <w:t>SWRRIP (2018</w:t>
      </w:r>
      <w:r w:rsidRPr="00D61ED1">
        <w:t>)</w:t>
      </w:r>
      <w:r w:rsidR="00D61ED1" w:rsidRPr="00D61ED1">
        <w:t xml:space="preserve"> states that </w:t>
      </w:r>
      <w:r w:rsidR="00D61ED1">
        <w:t xml:space="preserve">there were </w:t>
      </w:r>
      <w:r w:rsidR="00D61ED1" w:rsidRPr="00D61ED1">
        <w:t>47</w:t>
      </w:r>
      <w:r w:rsidR="00D61ED1">
        <w:t xml:space="preserve"> licensed landfills operating</w:t>
      </w:r>
      <w:r w:rsidRPr="00D61ED1">
        <w:t xml:space="preserve"> in Victoria</w:t>
      </w:r>
      <w:r w:rsidR="00D61ED1">
        <w:t xml:space="preserve"> at June 2016</w:t>
      </w:r>
      <w:r w:rsidRPr="00D61ED1">
        <w:t xml:space="preserve">. </w:t>
      </w:r>
    </w:p>
    <w:p w14:paraId="31F41400" w14:textId="47668F4E" w:rsidR="00943D29" w:rsidRDefault="00276A2D" w:rsidP="00654E33">
      <w:r w:rsidRPr="00276A2D">
        <w:t xml:space="preserve">The EPA lists 75 closed landfills that are subject to post-closure pollution abatement notices, most of which accepted municipal waste during operation and are therefore likely to be </w:t>
      </w:r>
      <w:r w:rsidR="004079F1">
        <w:t>producing</w:t>
      </w:r>
      <w:r w:rsidR="004079F1" w:rsidRPr="00276A2D">
        <w:t xml:space="preserve"> </w:t>
      </w:r>
      <w:r w:rsidRPr="00276A2D">
        <w:t>GHG</w:t>
      </w:r>
      <w:r>
        <w:t xml:space="preserve"> emission</w:t>
      </w:r>
      <w:r w:rsidRPr="00276A2D">
        <w:t>s.</w:t>
      </w:r>
    </w:p>
    <w:p w14:paraId="66C2D715" w14:textId="0C045E7F" w:rsidR="00B8357C" w:rsidRDefault="00B8357C" w:rsidP="00B8357C">
      <w:pPr>
        <w:pStyle w:val="Heading2Numbered"/>
      </w:pPr>
      <w:r>
        <w:t xml:space="preserve">Landfill infrastructure GHG emissions </w:t>
      </w:r>
    </w:p>
    <w:p w14:paraId="5BC230CC" w14:textId="1C12BB53" w:rsidR="00B8357C" w:rsidRDefault="00B8357C" w:rsidP="00B8357C">
      <w:r>
        <w:t>The microbial degradation of organic wastes in landfill produces landfill gas which is a potent GHG, made up of around 50</w:t>
      </w:r>
      <w:r w:rsidR="004079F1">
        <w:t xml:space="preserve"> per cent </w:t>
      </w:r>
      <w:r>
        <w:t>methane and 50</w:t>
      </w:r>
      <w:r w:rsidR="004079F1">
        <w:t xml:space="preserve"> per cent</w:t>
      </w:r>
      <w:r>
        <w:t xml:space="preserve"> carbon dioxide. The methane component of landfill gas can be oxidised (burned) and converted to carbon dioxide and water. Methane has a global warming potential factor 25 times that of carbon dioxide over the standard 100-year assessment timeframe, so the oxidation of methane to carbon dioxide and water results in significant emission reductions.</w:t>
      </w:r>
    </w:p>
    <w:p w14:paraId="43D6D8BA" w14:textId="5019D12B" w:rsidR="00B8357C" w:rsidRDefault="00B8357C" w:rsidP="00B8357C">
      <w:r>
        <w:t xml:space="preserve">The amount of landfill gas generated at a landfill site is closely related to the quantities of organic material landfilled at the site. Landfill gas is not generated instantly and typically the emissions from a landfill accepting organic wastes will increase during its operational life then gradually decline post closure, continuing for several decades (typically reducing significantly 30 </w:t>
      </w:r>
      <w:r w:rsidR="00635A90">
        <w:t>years</w:t>
      </w:r>
      <w:r>
        <w:t xml:space="preserve"> post closure).</w:t>
      </w:r>
    </w:p>
    <w:p w14:paraId="7205779D" w14:textId="174857C9" w:rsidR="00943D29" w:rsidRDefault="00B8357C" w:rsidP="00B8357C">
      <w:r>
        <w:t>Where landfill gas (and methane) volumes are sufficient, methane can be collected to drive power plants or as a substitute fuel. Where landfill gas volumes are insufficient to support energy recovery, there may still be sufficient methane to run a flare. While this does not allow for recovery of embodied energy, it still reduces methane emissions</w:t>
      </w:r>
      <w:r w:rsidR="00DB78DF">
        <w:t>.</w:t>
      </w:r>
    </w:p>
    <w:p w14:paraId="6D9FE7B1" w14:textId="109B2421" w:rsidR="00DB78DF" w:rsidRDefault="00DB78DF" w:rsidP="00DB78DF">
      <w:pPr>
        <w:pStyle w:val="Heading2Numbered"/>
      </w:pPr>
      <w:r>
        <w:t xml:space="preserve"> Landfill scope 1 and 2 emissions </w:t>
      </w:r>
    </w:p>
    <w:p w14:paraId="4D5C7716" w14:textId="64E8DF4C" w:rsidR="00DB78DF" w:rsidRDefault="00DB78DF" w:rsidP="00DB78DF">
      <w:r>
        <w:t xml:space="preserve">As </w:t>
      </w:r>
      <w:r w:rsidRPr="000817BB">
        <w:t>shown in Figure 12</w:t>
      </w:r>
      <w:r w:rsidR="000817BB" w:rsidRPr="000817BB">
        <w:t xml:space="preserve"> (p25)</w:t>
      </w:r>
      <w:r w:rsidRPr="000817BB">
        <w:t>, emissions</w:t>
      </w:r>
      <w:r>
        <w:t xml:space="preserve"> for licenced landfills were the second larg</w:t>
      </w:r>
      <w:r w:rsidR="00CA5DC3">
        <w:t>est emitter of scope 1 and 2</w:t>
      </w:r>
      <w:r>
        <w:t xml:space="preserve"> emissions in 2014</w:t>
      </w:r>
      <w:r w:rsidR="00392285">
        <w:t>-15. The landfill emissions aros</w:t>
      </w:r>
      <w:r>
        <w:t>e almost entirely from scope 1 emissions associated with the decomposition of waste with a minor contribution from fuel for machinery during landfilling (compaction dozers).</w:t>
      </w:r>
    </w:p>
    <w:p w14:paraId="47E97E61" w14:textId="71B1FF9F" w:rsidR="00DB78DF" w:rsidRDefault="00DB78DF" w:rsidP="00DB78DF">
      <w:pPr>
        <w:pStyle w:val="Heading2Numbered"/>
      </w:pPr>
      <w:r>
        <w:t>Best practice emissions reduction</w:t>
      </w:r>
    </w:p>
    <w:p w14:paraId="63A23C68" w14:textId="591A8ABF" w:rsidR="00DB78DF" w:rsidRPr="0055362A" w:rsidRDefault="00DB78DF" w:rsidP="0055362A">
      <w:r>
        <w:t xml:space="preserve">In Victoria, best practice management of landfill gas is </w:t>
      </w:r>
      <w:r w:rsidR="00CA5DC3">
        <w:t xml:space="preserve">set out in EPA Victoria’s </w:t>
      </w:r>
      <w:r w:rsidR="00CA5DC3" w:rsidRPr="00392285">
        <w:rPr>
          <w:rStyle w:val="BookTitle"/>
        </w:rPr>
        <w:t>Best Practice Environmental Management G</w:t>
      </w:r>
      <w:r w:rsidRPr="00392285">
        <w:rPr>
          <w:rStyle w:val="BookTitle"/>
        </w:rPr>
        <w:t>uideline – Siting, design, operation and rehabilitation of landfills</w:t>
      </w:r>
      <w:r>
        <w:t xml:space="preserve"> (August 2015) (Landfill BPEM).</w:t>
      </w:r>
    </w:p>
    <w:p w14:paraId="5ED0DA58" w14:textId="1BCF4A4E" w:rsidR="00DB78DF" w:rsidRDefault="00DB78DF" w:rsidP="00DB78DF">
      <w:r>
        <w:t>Best practice management of landfill gas depends on the amount of landfill gas generated</w:t>
      </w:r>
      <w:r w:rsidR="000E3CFF">
        <w:t xml:space="preserve">. Table 4, from the Landfill BPEM, </w:t>
      </w:r>
      <w:r w:rsidR="006934F2" w:rsidRPr="006934F2">
        <w:t>summarises best practice technology for differing landfill gas generation rates.</w:t>
      </w:r>
    </w:p>
    <w:p w14:paraId="6F45BB80" w14:textId="59675DCD" w:rsidR="006934F2" w:rsidRDefault="006934F2" w:rsidP="006934F2">
      <w:pPr>
        <w:pStyle w:val="TableCaption"/>
      </w:pPr>
      <w:r>
        <w:t xml:space="preserve">TABLE 4: EPA Landfill </w:t>
      </w:r>
      <w:r w:rsidR="00B50B70">
        <w:t>BPEM</w:t>
      </w:r>
      <w:r>
        <w:t xml:space="preserve"> recommended landfill gas management technologies</w:t>
      </w:r>
    </w:p>
    <w:tbl>
      <w:tblPr>
        <w:tblStyle w:val="SVTable"/>
        <w:tblW w:w="5000" w:type="pct"/>
        <w:tblLook w:val="04E0" w:firstRow="1" w:lastRow="1" w:firstColumn="1" w:lastColumn="0" w:noHBand="0" w:noVBand="1"/>
      </w:tblPr>
      <w:tblGrid>
        <w:gridCol w:w="2823"/>
        <w:gridCol w:w="4944"/>
      </w:tblGrid>
      <w:tr w:rsidR="006934F2" w:rsidRPr="00456498" w14:paraId="1CAF84E5" w14:textId="77777777" w:rsidTr="00312204">
        <w:trPr>
          <w:cnfStyle w:val="100000000000" w:firstRow="1" w:lastRow="0" w:firstColumn="0" w:lastColumn="0" w:oddVBand="0" w:evenVBand="0" w:oddHBand="0" w:evenHBand="0" w:firstRowFirstColumn="0" w:firstRowLastColumn="0" w:lastRowFirstColumn="0" w:lastRowLastColumn="0"/>
        </w:trPr>
        <w:tc>
          <w:tcPr>
            <w:tcW w:w="1817" w:type="pct"/>
          </w:tcPr>
          <w:p w14:paraId="5A0DA9D5" w14:textId="77777777" w:rsidR="00312204" w:rsidRDefault="006934F2" w:rsidP="00CD7B4D">
            <w:pPr>
              <w:pStyle w:val="TableHeading"/>
            </w:pPr>
            <w:r>
              <w:t>Landfill gas generation rate</w:t>
            </w:r>
          </w:p>
          <w:p w14:paraId="19F00C06" w14:textId="1861EF8E" w:rsidR="006934F2" w:rsidRPr="00456498" w:rsidRDefault="00312204" w:rsidP="00CD7B4D">
            <w:pPr>
              <w:pStyle w:val="TableHeading"/>
            </w:pPr>
            <w:r>
              <w:t>(m</w:t>
            </w:r>
            <w:r w:rsidRPr="00312204">
              <w:rPr>
                <w:vertAlign w:val="superscript"/>
              </w:rPr>
              <w:t>3</w:t>
            </w:r>
            <w:r>
              <w:t xml:space="preserve"> / hr)</w:t>
            </w:r>
          </w:p>
        </w:tc>
        <w:tc>
          <w:tcPr>
            <w:tcW w:w="3183" w:type="pct"/>
          </w:tcPr>
          <w:p w14:paraId="2909FA61" w14:textId="224A8ABB" w:rsidR="006934F2" w:rsidRPr="00456498" w:rsidRDefault="00312204" w:rsidP="00312204">
            <w:pPr>
              <w:pStyle w:val="TableHeading"/>
            </w:pPr>
            <w:r>
              <w:t>Potentially suitable landfill gas treatment technologies</w:t>
            </w:r>
          </w:p>
        </w:tc>
      </w:tr>
      <w:tr w:rsidR="006934F2" w:rsidRPr="00456498" w14:paraId="0FC7CF63" w14:textId="77777777" w:rsidTr="00312204">
        <w:tc>
          <w:tcPr>
            <w:tcW w:w="1817" w:type="pct"/>
          </w:tcPr>
          <w:p w14:paraId="148A04A9" w14:textId="225652AF" w:rsidR="006934F2" w:rsidRPr="00456498" w:rsidRDefault="00312204" w:rsidP="00312204">
            <w:pPr>
              <w:pStyle w:val="TableText"/>
            </w:pPr>
            <w:r>
              <w:t>&gt;1000</w:t>
            </w:r>
          </w:p>
        </w:tc>
        <w:tc>
          <w:tcPr>
            <w:tcW w:w="3183" w:type="pct"/>
          </w:tcPr>
          <w:p w14:paraId="2F4CE8A9" w14:textId="77777777" w:rsidR="006934F2" w:rsidRPr="00312204" w:rsidRDefault="00312204" w:rsidP="00312204">
            <w:pPr>
              <w:pStyle w:val="TableBullet"/>
              <w:ind w:left="334" w:hanging="284"/>
            </w:pPr>
            <w:r w:rsidRPr="00312204">
              <w:t>Combined heat and power generation</w:t>
            </w:r>
          </w:p>
          <w:p w14:paraId="422D941C" w14:textId="77777777" w:rsidR="00312204" w:rsidRPr="00312204" w:rsidRDefault="00312204" w:rsidP="00312204">
            <w:pPr>
              <w:pStyle w:val="TableBullet"/>
              <w:ind w:left="334" w:hanging="284"/>
            </w:pPr>
            <w:r w:rsidRPr="00312204">
              <w:t>Substitute fuel</w:t>
            </w:r>
          </w:p>
          <w:p w14:paraId="101651E3" w14:textId="77777777" w:rsidR="00312204" w:rsidRPr="00312204" w:rsidRDefault="00312204" w:rsidP="00312204">
            <w:pPr>
              <w:pStyle w:val="TableBullet"/>
              <w:ind w:left="334" w:hanging="284"/>
            </w:pPr>
            <w:r w:rsidRPr="00312204">
              <w:t>Power generation</w:t>
            </w:r>
          </w:p>
          <w:p w14:paraId="58E6DCA1" w14:textId="77777777" w:rsidR="00312204" w:rsidRPr="00312204" w:rsidRDefault="00312204" w:rsidP="00312204">
            <w:pPr>
              <w:pStyle w:val="TableBullet"/>
              <w:ind w:left="334" w:hanging="284"/>
            </w:pPr>
            <w:r w:rsidRPr="00312204">
              <w:t>Intermittent use and off-time flaring</w:t>
            </w:r>
          </w:p>
          <w:p w14:paraId="0DE1751B" w14:textId="58B743C7" w:rsidR="00312204" w:rsidRPr="00312204" w:rsidRDefault="00312204" w:rsidP="00312204">
            <w:pPr>
              <w:pStyle w:val="TableBullet"/>
              <w:ind w:left="334" w:hanging="284"/>
            </w:pPr>
            <w:r w:rsidRPr="00312204">
              <w:t>High temperature flaring</w:t>
            </w:r>
          </w:p>
        </w:tc>
      </w:tr>
      <w:tr w:rsidR="006934F2" w:rsidRPr="00456498" w14:paraId="3F502BDF" w14:textId="77777777" w:rsidTr="00312204">
        <w:tc>
          <w:tcPr>
            <w:tcW w:w="1817" w:type="pct"/>
          </w:tcPr>
          <w:p w14:paraId="7F6BBA57" w14:textId="3D94A419" w:rsidR="006934F2" w:rsidRPr="00456498" w:rsidRDefault="00312204" w:rsidP="00CD7B4D">
            <w:pPr>
              <w:pStyle w:val="TableText"/>
            </w:pPr>
            <w:r>
              <w:t>&gt;250 to &lt;1000</w:t>
            </w:r>
          </w:p>
        </w:tc>
        <w:tc>
          <w:tcPr>
            <w:tcW w:w="3183" w:type="pct"/>
          </w:tcPr>
          <w:p w14:paraId="58E41237" w14:textId="77777777" w:rsidR="006934F2" w:rsidRPr="00312204" w:rsidRDefault="00312204" w:rsidP="00312204">
            <w:pPr>
              <w:pStyle w:val="TableBullet"/>
              <w:ind w:left="334" w:hanging="284"/>
            </w:pPr>
            <w:r w:rsidRPr="00312204">
              <w:t>Power generation</w:t>
            </w:r>
          </w:p>
          <w:p w14:paraId="4A425012" w14:textId="77777777" w:rsidR="00312204" w:rsidRPr="00312204" w:rsidRDefault="00312204" w:rsidP="00312204">
            <w:pPr>
              <w:pStyle w:val="TableBullet"/>
              <w:ind w:left="334" w:hanging="284"/>
            </w:pPr>
            <w:r w:rsidRPr="00312204">
              <w:t>Intermittent use and off-time flaring</w:t>
            </w:r>
          </w:p>
          <w:p w14:paraId="4371C18E" w14:textId="77777777" w:rsidR="00312204" w:rsidRPr="00312204" w:rsidRDefault="00312204" w:rsidP="00312204">
            <w:pPr>
              <w:pStyle w:val="TableBullet"/>
              <w:ind w:left="334" w:hanging="284"/>
            </w:pPr>
            <w:r w:rsidRPr="00312204">
              <w:t>High temperature flaring</w:t>
            </w:r>
          </w:p>
          <w:p w14:paraId="62D89058" w14:textId="57F66DC4" w:rsidR="00312204" w:rsidRPr="00312204" w:rsidRDefault="00312204" w:rsidP="00312204">
            <w:pPr>
              <w:pStyle w:val="TableBullet"/>
              <w:ind w:left="334" w:hanging="284"/>
            </w:pPr>
            <w:r w:rsidRPr="00312204">
              <w:t>Low-calorific flaring</w:t>
            </w:r>
          </w:p>
        </w:tc>
      </w:tr>
      <w:tr w:rsidR="00312204" w:rsidRPr="00456498" w14:paraId="7ED94225" w14:textId="77777777" w:rsidTr="00312204">
        <w:tc>
          <w:tcPr>
            <w:tcW w:w="1817" w:type="pct"/>
          </w:tcPr>
          <w:p w14:paraId="397FE9E9" w14:textId="4B1D4EF0" w:rsidR="00312204" w:rsidRDefault="00312204" w:rsidP="00312204">
            <w:pPr>
              <w:pStyle w:val="TableText"/>
            </w:pPr>
            <w:r>
              <w:t>&gt;100 to &lt;250</w:t>
            </w:r>
          </w:p>
        </w:tc>
        <w:tc>
          <w:tcPr>
            <w:tcW w:w="3183" w:type="pct"/>
          </w:tcPr>
          <w:p w14:paraId="2ED31698" w14:textId="77777777" w:rsidR="00312204" w:rsidRPr="00312204" w:rsidRDefault="00312204" w:rsidP="00312204">
            <w:pPr>
              <w:pStyle w:val="TableBullet"/>
              <w:ind w:left="334" w:hanging="284"/>
            </w:pPr>
            <w:r w:rsidRPr="00312204">
              <w:t>Power generation</w:t>
            </w:r>
          </w:p>
          <w:p w14:paraId="457958C7" w14:textId="77777777" w:rsidR="00312204" w:rsidRPr="00312204" w:rsidRDefault="00312204" w:rsidP="00312204">
            <w:pPr>
              <w:pStyle w:val="TableBullet"/>
              <w:ind w:left="334" w:hanging="284"/>
            </w:pPr>
            <w:r w:rsidRPr="00312204">
              <w:t>High temperature flaring</w:t>
            </w:r>
          </w:p>
          <w:p w14:paraId="6B9E9443" w14:textId="77777777" w:rsidR="00312204" w:rsidRPr="00312204" w:rsidRDefault="00312204" w:rsidP="00312204">
            <w:pPr>
              <w:pStyle w:val="TableBullet"/>
              <w:ind w:left="334" w:hanging="284"/>
            </w:pPr>
            <w:r w:rsidRPr="00312204">
              <w:t>Low-calorific flaring</w:t>
            </w:r>
          </w:p>
          <w:p w14:paraId="7B3D6F06" w14:textId="68C502BD" w:rsidR="00312204" w:rsidRPr="00312204" w:rsidRDefault="00312204" w:rsidP="00312204">
            <w:pPr>
              <w:pStyle w:val="TableBullet"/>
              <w:ind w:left="334" w:hanging="284"/>
            </w:pPr>
            <w:r w:rsidRPr="00312204">
              <w:t xml:space="preserve">Other oxidation and discharge </w:t>
            </w:r>
            <w:r w:rsidRPr="00312204">
              <w:br/>
              <w:t>(e.g. passive flares, biofilters. Biocover)</w:t>
            </w:r>
          </w:p>
        </w:tc>
      </w:tr>
      <w:tr w:rsidR="00312204" w:rsidRPr="00BB520C" w14:paraId="709743D6" w14:textId="77777777" w:rsidTr="00BB520C">
        <w:trPr>
          <w:cnfStyle w:val="010000000000" w:firstRow="0" w:lastRow="1" w:firstColumn="0" w:lastColumn="0" w:oddVBand="0" w:evenVBand="0" w:oddHBand="0" w:evenHBand="0" w:firstRowFirstColumn="0" w:firstRowLastColumn="0" w:lastRowFirstColumn="0" w:lastRowLastColumn="0"/>
        </w:trPr>
        <w:tc>
          <w:tcPr>
            <w:tcW w:w="1817" w:type="pct"/>
            <w:shd w:val="clear" w:color="auto" w:fill="auto"/>
          </w:tcPr>
          <w:p w14:paraId="655931E3" w14:textId="7F508EE4" w:rsidR="00312204" w:rsidRPr="00BB520C" w:rsidRDefault="00312204" w:rsidP="00CD7B4D">
            <w:pPr>
              <w:pStyle w:val="TableText"/>
              <w:rPr>
                <w:b w:val="0"/>
              </w:rPr>
            </w:pPr>
            <w:r w:rsidRPr="00BB520C">
              <w:rPr>
                <w:b w:val="0"/>
              </w:rPr>
              <w:t>&lt;100</w:t>
            </w:r>
          </w:p>
        </w:tc>
        <w:tc>
          <w:tcPr>
            <w:tcW w:w="3183" w:type="pct"/>
            <w:shd w:val="clear" w:color="auto" w:fill="auto"/>
          </w:tcPr>
          <w:p w14:paraId="29DBCEBF" w14:textId="169FEAF1" w:rsidR="00312204" w:rsidRPr="00BB520C" w:rsidRDefault="00312204" w:rsidP="00312204">
            <w:pPr>
              <w:pStyle w:val="TableBullet"/>
              <w:ind w:left="334" w:hanging="284"/>
              <w:rPr>
                <w:b w:val="0"/>
              </w:rPr>
            </w:pPr>
            <w:r w:rsidRPr="00BB520C">
              <w:rPr>
                <w:b w:val="0"/>
              </w:rPr>
              <w:t xml:space="preserve">Other oxidation and discharge </w:t>
            </w:r>
            <w:r w:rsidRPr="00BB520C">
              <w:rPr>
                <w:b w:val="0"/>
              </w:rPr>
              <w:br/>
              <w:t>(e.g. passive flares, biofilters. Biocover)</w:t>
            </w:r>
          </w:p>
        </w:tc>
      </w:tr>
    </w:tbl>
    <w:p w14:paraId="2731748E" w14:textId="77777777" w:rsidR="000817BB" w:rsidRDefault="000817BB" w:rsidP="000817BB">
      <w:pPr>
        <w:pStyle w:val="Heading2Numbered"/>
        <w:numPr>
          <w:ilvl w:val="0"/>
          <w:numId w:val="0"/>
        </w:numPr>
      </w:pPr>
    </w:p>
    <w:p w14:paraId="592C7770" w14:textId="77777777" w:rsidR="000817BB" w:rsidRDefault="000817BB" w:rsidP="000817BB">
      <w:pPr>
        <w:rPr>
          <w:rFonts w:asciiTheme="majorHAnsi" w:eastAsiaTheme="majorEastAsia" w:hAnsiTheme="majorHAnsi" w:cstheme="majorBidi"/>
          <w:sz w:val="24"/>
          <w:szCs w:val="26"/>
        </w:rPr>
      </w:pPr>
      <w:r>
        <w:br w:type="page"/>
      </w:r>
    </w:p>
    <w:p w14:paraId="79E6961B" w14:textId="2F51335E" w:rsidR="00722A5F" w:rsidRDefault="000F5020" w:rsidP="00722A5F">
      <w:pPr>
        <w:pStyle w:val="Heading2Numbered"/>
      </w:pPr>
      <w:r>
        <w:t xml:space="preserve">Other opportunities for </w:t>
      </w:r>
      <w:r w:rsidR="00722A5F">
        <w:t>GHG reductions</w:t>
      </w:r>
    </w:p>
    <w:p w14:paraId="1E198E82" w14:textId="76A19FF6" w:rsidR="00722A5F" w:rsidRDefault="00722A5F" w:rsidP="00722A5F">
      <w:r>
        <w:t xml:space="preserve">In Victoria, the installation of best practice landfill gas management infrastructure is well developed for large metropolitan </w:t>
      </w:r>
      <w:r w:rsidR="00CA5DC3">
        <w:t>landfills accepting putrescible waste</w:t>
      </w:r>
      <w:r>
        <w:t>, where landfill gas is c</w:t>
      </w:r>
      <w:r w:rsidR="000F5020">
        <w:t>ombusted to generate electricity</w:t>
      </w:r>
      <w:r>
        <w:t xml:space="preserve"> which is fed into the grid. The development of landfill gas energy recovery on large landfills has been driven by economic incentives from:</w:t>
      </w:r>
    </w:p>
    <w:p w14:paraId="557CDF13" w14:textId="3640319C" w:rsidR="00722A5F" w:rsidRDefault="00023562" w:rsidP="00722A5F">
      <w:pPr>
        <w:pStyle w:val="ListBullet"/>
      </w:pPr>
      <w:r>
        <w:t xml:space="preserve">sale </w:t>
      </w:r>
      <w:r w:rsidR="00722A5F">
        <w:t>of renewable energy certificates</w:t>
      </w:r>
    </w:p>
    <w:p w14:paraId="3286D18A" w14:textId="1D29A8CB" w:rsidR="00722A5F" w:rsidRDefault="00023562" w:rsidP="00722A5F">
      <w:pPr>
        <w:pStyle w:val="ListBullet"/>
      </w:pPr>
      <w:r>
        <w:t xml:space="preserve">sale </w:t>
      </w:r>
      <w:r w:rsidR="00722A5F">
        <w:t xml:space="preserve">of electricity </w:t>
      </w:r>
    </w:p>
    <w:p w14:paraId="79217BB6" w14:textId="06CD2A1F" w:rsidR="00722A5F" w:rsidRDefault="00023562" w:rsidP="00722A5F">
      <w:pPr>
        <w:pStyle w:val="ListBullet"/>
      </w:pPr>
      <w:r>
        <w:t xml:space="preserve">credits </w:t>
      </w:r>
      <w:r w:rsidR="00722A5F">
        <w:t>from the Emissions Reduction Fund and various predecessor programs.</w:t>
      </w:r>
    </w:p>
    <w:p w14:paraId="1493FA7E" w14:textId="0E4BA482" w:rsidR="00722A5F" w:rsidRDefault="00722A5F" w:rsidP="00722A5F">
      <w:r>
        <w:t xml:space="preserve">The development of best practice landfill gas management infrastructure for medium and small municipal waste landfills in regional centres and rural areas is not well developed in Victoria. This presents a significant opportunity to reduce GHG emissions. </w:t>
      </w:r>
    </w:p>
    <w:p w14:paraId="3BB35D92" w14:textId="6C8DB1F9" w:rsidR="00101A99" w:rsidRDefault="000F5020" w:rsidP="00722A5F">
      <w:r>
        <w:t>For landfills</w:t>
      </w:r>
      <w:r w:rsidR="00722A5F">
        <w:t xml:space="preserve"> receiv</w:t>
      </w:r>
      <w:r>
        <w:t xml:space="preserve">ing less than </w:t>
      </w:r>
      <w:r w:rsidR="00722A5F">
        <w:t xml:space="preserve">100,000 tonnes of </w:t>
      </w:r>
      <w:r w:rsidR="00CA5DC3">
        <w:t>putrescible</w:t>
      </w:r>
      <w:r w:rsidR="00722A5F">
        <w:t xml:space="preserve"> waste per year, it is typically not viable to install landfill</w:t>
      </w:r>
      <w:r w:rsidR="00541CB3">
        <w:t xml:space="preserve"> gas </w:t>
      </w:r>
      <w:r w:rsidR="00722A5F">
        <w:t>driven power generation infrastructure onsite because the gas volumes are insufficient. Where landfill gas</w:t>
      </w:r>
      <w:r w:rsidR="00485837">
        <w:t xml:space="preserve"> </w:t>
      </w:r>
      <w:r w:rsidR="00722A5F">
        <w:t>driven power generation is not viable</w:t>
      </w:r>
      <w:r w:rsidR="00B71721">
        <w:t>,</w:t>
      </w:r>
      <w:r w:rsidR="00722A5F">
        <w:t xml:space="preserve"> EPA recommends flaring of the landfill gas to oxidise the methane.</w:t>
      </w:r>
    </w:p>
    <w:p w14:paraId="53B577B5" w14:textId="0DC1C63B" w:rsidR="00101A99" w:rsidRDefault="000817BB" w:rsidP="00101A99">
      <w:pPr>
        <w:pStyle w:val="Heading3"/>
        <w:shd w:val="clear" w:color="auto" w:fill="F2F2F2" w:themeFill="background2" w:themeFillShade="F2"/>
      </w:pPr>
      <w:r>
        <w:t>CASE STUDY: M</w:t>
      </w:r>
      <w:r w:rsidR="00101A99">
        <w:t>icro-flares for medium-sized landfill gas treatment</w:t>
      </w:r>
    </w:p>
    <w:p w14:paraId="73BE3FD4" w14:textId="01BF02AF" w:rsidR="00101A99" w:rsidRDefault="00101A99" w:rsidP="00101A99">
      <w:pPr>
        <w:shd w:val="clear" w:color="auto" w:fill="F2F2F2" w:themeFill="background2" w:themeFillShade="F2"/>
      </w:pPr>
      <w:r>
        <w:t>There is no collated database on gas collection infrastru</w:t>
      </w:r>
      <w:r w:rsidR="000817BB">
        <w:t>cture at Victorian landfills;</w:t>
      </w:r>
      <w:r>
        <w:t xml:space="preserve"> the following</w:t>
      </w:r>
      <w:r w:rsidR="000817BB">
        <w:t xml:space="preserve"> opportunity estimate is based</w:t>
      </w:r>
      <w:r>
        <w:t xml:space="preserve"> on site knowledge and estimates.</w:t>
      </w:r>
    </w:p>
    <w:p w14:paraId="64A3A97D" w14:textId="47C4EA71" w:rsidR="00101A99" w:rsidRDefault="00101A99" w:rsidP="00101A99">
      <w:pPr>
        <w:shd w:val="clear" w:color="auto" w:fill="F2F2F2" w:themeFill="background2" w:themeFillShade="F2"/>
      </w:pPr>
      <w:r>
        <w:t xml:space="preserve">Industry consultation suggests a lower annual tonnage limit of 10,000 tonnes per annum of </w:t>
      </w:r>
      <w:r w:rsidR="000817BB">
        <w:t>MSW</w:t>
      </w:r>
      <w:r>
        <w:t xml:space="preserve"> below which it is typically not viable to operate micro-flares. It is also important to note that it will take several years of landfilling for a new landfill to accumulate enough waste and begin generating a steady flow of landfill gas for flaring.</w:t>
      </w:r>
    </w:p>
    <w:p w14:paraId="75AA1BD0" w14:textId="7035AD11" w:rsidR="00101A99" w:rsidRDefault="00101A99" w:rsidP="00101A99">
      <w:pPr>
        <w:shd w:val="clear" w:color="auto" w:fill="F2F2F2" w:themeFill="background2" w:themeFillShade="F2"/>
      </w:pPr>
      <w:r>
        <w:t>Nine current or recently closed municipal sites are known to typically receive (or to have received) more than 100,000 tonnes of waste per year. It is understood that all these larger landfill sites are connected to landfill gas power generation infrastructure. About 25 of the remaining 42 open municipal landfills receive more than 10,000 tonnes per year and, unless they are new, are likely to be able to capture and flare gas. Based on site knowledge, it is estimated that at least half of these medium-sized sites have no gas management equipment. Flares may also be feasible on some of the 75 closed landfills that currently do not collect gas.</w:t>
      </w:r>
    </w:p>
    <w:p w14:paraId="19FA00FD" w14:textId="66E4A939" w:rsidR="00101A99" w:rsidRDefault="00101A99" w:rsidP="00101A99">
      <w:pPr>
        <w:shd w:val="clear" w:color="auto" w:fill="F2F2F2" w:themeFill="background2" w:themeFillShade="F2"/>
      </w:pPr>
      <w:r>
        <w:t xml:space="preserve">The Commonwealth Department of the Environment and Energy reports national greenhouse gas inventory data on its Australian Greenhouse Emissions Information System (AGEIS), based mainly on data from sites reporting under the </w:t>
      </w:r>
      <w:r w:rsidR="00E93C5F">
        <w:t>NGERs</w:t>
      </w:r>
      <w:r>
        <w:t xml:space="preserve"> system. The AGEIS indicates that in 2013-14, Victoria recovered 2.77 Mt CO</w:t>
      </w:r>
      <w:r w:rsidRPr="00B35CD4">
        <w:rPr>
          <w:vertAlign w:val="subscript"/>
        </w:rPr>
        <w:t>2</w:t>
      </w:r>
      <w:r>
        <w:t>-e in 2013-14, or 61</w:t>
      </w:r>
      <w:r w:rsidR="00950718">
        <w:t xml:space="preserve"> per cent </w:t>
      </w:r>
      <w:r>
        <w:t xml:space="preserve">of the methane generated in landfills. </w:t>
      </w:r>
    </w:p>
    <w:p w14:paraId="2704984B" w14:textId="6414B6CF" w:rsidR="00101A99" w:rsidRDefault="00101A99" w:rsidP="00101A99">
      <w:pPr>
        <w:shd w:val="clear" w:color="auto" w:fill="F2F2F2" w:themeFill="background2" w:themeFillShade="F2"/>
      </w:pPr>
      <w:r>
        <w:t>If flaring equipment was installed at all medium-sized landfills (open or closed), we estimate that a further 180,000 t CO</w:t>
      </w:r>
      <w:r w:rsidRPr="00B35CD4">
        <w:rPr>
          <w:vertAlign w:val="subscript"/>
        </w:rPr>
        <w:t>2</w:t>
      </w:r>
      <w:r>
        <w:t>-e could be recovered annually. This represents 4</w:t>
      </w:r>
      <w:r w:rsidR="00950718">
        <w:t xml:space="preserve"> per cent </w:t>
      </w:r>
      <w:r>
        <w:t xml:space="preserve">of landfill methane generated and is equivalent to the emissions of about 80,000 average cars. </w:t>
      </w:r>
    </w:p>
    <w:p w14:paraId="6A561321" w14:textId="2CACEC98" w:rsidR="00101A99" w:rsidRDefault="00101A99" w:rsidP="00101A99">
      <w:pPr>
        <w:shd w:val="clear" w:color="auto" w:fill="F2F2F2" w:themeFill="background2" w:themeFillShade="F2"/>
      </w:pPr>
      <w:r>
        <w:t>It should be noted that Victoria is easily the best performing state in terms of landfill gas capture. Victoria’s 2013-14 data reported in the AGEIS equates to a 61</w:t>
      </w:r>
      <w:r w:rsidR="00950718">
        <w:t xml:space="preserve"> per cent </w:t>
      </w:r>
      <w:r>
        <w:t>recovery rate compared with 41</w:t>
      </w:r>
      <w:r w:rsidR="00950718">
        <w:t xml:space="preserve"> per cent </w:t>
      </w:r>
      <w:r>
        <w:t>in N</w:t>
      </w:r>
      <w:r w:rsidR="004C46FD">
        <w:t>ew South Wales</w:t>
      </w:r>
      <w:r>
        <w:t>, 32</w:t>
      </w:r>
      <w:r w:rsidR="00950718">
        <w:t xml:space="preserve"> per cent </w:t>
      </w:r>
      <w:r>
        <w:t xml:space="preserve">in </w:t>
      </w:r>
      <w:r w:rsidR="002C37AB">
        <w:t xml:space="preserve">Queensland </w:t>
      </w:r>
      <w:r>
        <w:t>and 26</w:t>
      </w:r>
      <w:r w:rsidR="002C37AB">
        <w:t xml:space="preserve"> per cent</w:t>
      </w:r>
      <w:r>
        <w:t xml:space="preserve"> in S</w:t>
      </w:r>
      <w:r w:rsidR="002C37AB">
        <w:t xml:space="preserve">outh </w:t>
      </w:r>
      <w:r>
        <w:t>A</w:t>
      </w:r>
      <w:r w:rsidR="002C37AB">
        <w:t>ustralia</w:t>
      </w:r>
      <w:r>
        <w:t>.</w:t>
      </w:r>
    </w:p>
    <w:p w14:paraId="62001C89" w14:textId="77777777" w:rsidR="00967C60" w:rsidRDefault="00967C60">
      <w:pPr>
        <w:spacing w:after="0" w:line="240" w:lineRule="auto"/>
        <w:rPr>
          <w:rFonts w:asciiTheme="majorHAnsi" w:eastAsiaTheme="majorEastAsia" w:hAnsiTheme="majorHAnsi" w:cstheme="majorBidi"/>
          <w:b/>
          <w:bCs/>
        </w:rPr>
      </w:pPr>
      <w:r>
        <w:br w:type="page"/>
      </w:r>
    </w:p>
    <w:p w14:paraId="73EDCDD7" w14:textId="72D6EA7D" w:rsidR="00827E2D" w:rsidRDefault="00827E2D" w:rsidP="000817BB">
      <w:pPr>
        <w:pStyle w:val="Heading3"/>
        <w:shd w:val="clear" w:color="auto" w:fill="F1F1F2" w:themeFill="text2" w:themeFillTint="33"/>
      </w:pPr>
      <w:r>
        <w:t xml:space="preserve">Example </w:t>
      </w:r>
      <w:r w:rsidR="00101A99">
        <w:t xml:space="preserve">– Wangaratta landfill </w:t>
      </w:r>
      <w:r>
        <w:t>micro-flares</w:t>
      </w:r>
      <w:r w:rsidR="00E3650D">
        <w:t xml:space="preserve">: </w:t>
      </w:r>
      <w:r>
        <w:t xml:space="preserve">a cost-effective way to reduce GHG emissions </w:t>
      </w:r>
    </w:p>
    <w:p w14:paraId="49C12788" w14:textId="3159D05E" w:rsidR="006934F2" w:rsidRDefault="00023562" w:rsidP="000817BB">
      <w:pPr>
        <w:shd w:val="clear" w:color="auto" w:fill="F1F1F2" w:themeFill="text2" w:themeFillTint="33"/>
      </w:pPr>
      <w:r>
        <w:t xml:space="preserve">The </w:t>
      </w:r>
      <w:r w:rsidR="00E93C5F" w:rsidRPr="00E93C5F">
        <w:t>Rural City of Wangaratta</w:t>
      </w:r>
      <w:r w:rsidR="00CA5DC3" w:rsidRPr="00E93C5F">
        <w:t xml:space="preserve"> </w:t>
      </w:r>
      <w:r w:rsidR="00827E2D" w:rsidRPr="00E93C5F">
        <w:t>Council</w:t>
      </w:r>
      <w:r w:rsidR="00CA5DC3" w:rsidRPr="00E93C5F">
        <w:t xml:space="preserve"> owns and operates a licensed landfill at Bowser, which has</w:t>
      </w:r>
      <w:r w:rsidR="00827E2D" w:rsidRPr="00E93C5F">
        <w:t xml:space="preserve"> been operating since the early 1990s and is expected</w:t>
      </w:r>
      <w:r w:rsidR="00827E2D">
        <w:t xml:space="preserve"> to be operational until at least 2023. It receives about 15,000 tonnes of </w:t>
      </w:r>
      <w:r w:rsidR="00CA5DC3">
        <w:t xml:space="preserve">putrescible </w:t>
      </w:r>
      <w:r w:rsidR="000817BB">
        <w:t>M</w:t>
      </w:r>
      <w:r w:rsidR="00827E2D">
        <w:t xml:space="preserve"> each year</w:t>
      </w:r>
      <w:r w:rsidR="00D746B9">
        <w:rPr>
          <w:rStyle w:val="FootnoteReference"/>
        </w:rPr>
        <w:footnoteReference w:id="11"/>
      </w:r>
      <w:r w:rsidR="00B35CD4">
        <w:t>.</w:t>
      </w:r>
    </w:p>
    <w:p w14:paraId="261F3C07" w14:textId="4495C1EE" w:rsidR="00FE1F0C" w:rsidRDefault="00CA5DC3" w:rsidP="000817BB">
      <w:pPr>
        <w:shd w:val="clear" w:color="auto" w:fill="F1F1F2" w:themeFill="text2" w:themeFillTint="33"/>
      </w:pPr>
      <w:r>
        <w:t>Council</w:t>
      </w:r>
      <w:r w:rsidR="00FE1F0C">
        <w:t xml:space="preserve"> installed three micro-flares at the site to treat landfill gas. Figure 17 shows the micro-flare setup including (from right to left) the landfill gas extraction point with a solar</w:t>
      </w:r>
      <w:r w:rsidR="00023562">
        <w:t>-</w:t>
      </w:r>
      <w:r w:rsidR="00FE1F0C">
        <w:t>powered blower (to create a low level of suction), a solar</w:t>
      </w:r>
      <w:r w:rsidR="00023562">
        <w:t>-</w:t>
      </w:r>
      <w:r w:rsidR="00FE1F0C">
        <w:t>powered flow meter for data recording, connection to a condensation ‘knock out’ and flame arrestor and the flare. The landfill gas is ignited by a fail-safe solar/battery</w:t>
      </w:r>
      <w:r w:rsidR="00023562">
        <w:t>-</w:t>
      </w:r>
      <w:r w:rsidR="00FE1F0C">
        <w:t>powered ignition spark that continuously provides an ignition point. The photo also illustrates the securing of the flare system to the ground to ensure that the flare cannot tip over and start a fire</w:t>
      </w:r>
      <w:r w:rsidR="00FE1F0C">
        <w:rPr>
          <w:rStyle w:val="FootnoteReference"/>
        </w:rPr>
        <w:footnoteReference w:id="12"/>
      </w:r>
      <w:r w:rsidR="00FE1F0C">
        <w:t>.</w:t>
      </w:r>
    </w:p>
    <w:p w14:paraId="1AEF7EA7" w14:textId="76AE82EE" w:rsidR="000F5020" w:rsidRDefault="000F5020" w:rsidP="000817BB">
      <w:pPr>
        <w:shd w:val="clear" w:color="auto" w:fill="F1F1F2" w:themeFill="text2" w:themeFillTint="33"/>
      </w:pPr>
      <w:r>
        <w:t>To ensure optimal gas capture and delivery to the flare</w:t>
      </w:r>
      <w:r w:rsidR="00023562">
        <w:t>,</w:t>
      </w:r>
      <w:r>
        <w:t xml:space="preserve"> Council installed a network of landfill gas collection pipes within the first layer of the landfill capping (not visible as beneath the capping surface) in a herringbone pattern.</w:t>
      </w:r>
    </w:p>
    <w:p w14:paraId="52033E81" w14:textId="7B183193" w:rsidR="00FE1F0C" w:rsidRDefault="00FE1F0C" w:rsidP="00FE1F0C">
      <w:pPr>
        <w:pStyle w:val="FigureCaption"/>
      </w:pPr>
      <w:r>
        <w:rPr>
          <w:noProof/>
          <w:lang w:eastAsia="en-AU"/>
        </w:rPr>
        <w:drawing>
          <wp:anchor distT="0" distB="0" distL="114300" distR="114300" simplePos="0" relativeHeight="251658240" behindDoc="0" locked="0" layoutInCell="1" allowOverlap="0" wp14:anchorId="55DC5F39" wp14:editId="338A8E72">
            <wp:simplePos x="0" y="0"/>
            <wp:positionH relativeFrom="margin">
              <wp:align>left</wp:align>
            </wp:positionH>
            <wp:positionV relativeFrom="paragraph">
              <wp:posOffset>280918</wp:posOffset>
            </wp:positionV>
            <wp:extent cx="4919870" cy="3289852"/>
            <wp:effectExtent l="0" t="0" r="0" b="6350"/>
            <wp:wrapSquare wrapText="bothSides"/>
            <wp:docPr id="3412" name="Picture 3412"/>
            <wp:cNvGraphicFramePr/>
            <a:graphic xmlns:a="http://schemas.openxmlformats.org/drawingml/2006/main">
              <a:graphicData uri="http://schemas.openxmlformats.org/drawingml/2006/picture">
                <pic:pic xmlns:pic="http://schemas.openxmlformats.org/drawingml/2006/picture">
                  <pic:nvPicPr>
                    <pic:cNvPr id="3412" name="Picture 3412"/>
                    <pic:cNvPicPr/>
                  </pic:nvPicPr>
                  <pic:blipFill>
                    <a:blip r:embed="rId51"/>
                    <a:stretch>
                      <a:fillRect/>
                    </a:stretch>
                  </pic:blipFill>
                  <pic:spPr>
                    <a:xfrm>
                      <a:off x="0" y="0"/>
                      <a:ext cx="4919870" cy="3289852"/>
                    </a:xfrm>
                    <a:prstGeom prst="rect">
                      <a:avLst/>
                    </a:prstGeom>
                  </pic:spPr>
                </pic:pic>
              </a:graphicData>
            </a:graphic>
            <wp14:sizeRelH relativeFrom="margin">
              <wp14:pctWidth>0</wp14:pctWidth>
            </wp14:sizeRelH>
            <wp14:sizeRelV relativeFrom="margin">
              <wp14:pctHeight>0</wp14:pctHeight>
            </wp14:sizeRelV>
          </wp:anchor>
        </w:drawing>
      </w:r>
      <w:r>
        <w:t>FIGURE 17: Micro-flare installed at Wangaratta landfill</w:t>
      </w:r>
    </w:p>
    <w:p w14:paraId="331EF731" w14:textId="77777777" w:rsidR="00CA5DC3" w:rsidRDefault="00CA5DC3" w:rsidP="00DB78DF"/>
    <w:p w14:paraId="5CA03911" w14:textId="77777777" w:rsidR="00B35CD4" w:rsidRPr="00D23525" w:rsidRDefault="00B35CD4" w:rsidP="00DB78DF"/>
    <w:p w14:paraId="1F1C2653" w14:textId="77777777" w:rsidR="00431E0B" w:rsidRDefault="00431E0B" w:rsidP="00431E0B">
      <w:pPr>
        <w:spacing w:after="5"/>
        <w:ind w:left="9" w:right="14"/>
      </w:pPr>
    </w:p>
    <w:p w14:paraId="1387113A" w14:textId="77777777" w:rsidR="00734E1D" w:rsidRDefault="00734E1D">
      <w:pPr>
        <w:spacing w:after="0" w:line="240" w:lineRule="auto"/>
        <w:sectPr w:rsidR="00734E1D" w:rsidSect="002211F4">
          <w:pgSz w:w="11906" w:h="16838" w:code="9"/>
          <w:pgMar w:top="1474" w:right="964" w:bottom="1134" w:left="3175" w:header="851" w:footer="369" w:gutter="0"/>
          <w:cols w:space="708"/>
          <w:titlePg/>
          <w:docGrid w:linePitch="360"/>
        </w:sectPr>
      </w:pPr>
    </w:p>
    <w:p w14:paraId="76C7C011" w14:textId="668FD22D" w:rsidR="00431E0B" w:rsidRDefault="00431E0B" w:rsidP="00431E0B">
      <w:pPr>
        <w:pStyle w:val="SectionDividerTitle"/>
        <w:framePr w:wrap="around"/>
      </w:pPr>
      <w:bookmarkStart w:id="29" w:name="_Toc16499301"/>
      <w:r w:rsidRPr="00431E0B">
        <w:t>References</w:t>
      </w:r>
      <w:bookmarkEnd w:id="29"/>
    </w:p>
    <w:p w14:paraId="6EBCFAF2" w14:textId="4D8897B0" w:rsidR="00965AF2" w:rsidRPr="00E93C5F" w:rsidRDefault="00431E0B" w:rsidP="00965AF2">
      <w:pPr>
        <w:rPr>
          <w:szCs w:val="19"/>
        </w:rPr>
      </w:pPr>
      <w:r w:rsidRPr="00E93C5F">
        <w:rPr>
          <w:szCs w:val="19"/>
        </w:rPr>
        <w:t>ABS (Austral</w:t>
      </w:r>
      <w:r w:rsidR="00537859" w:rsidRPr="00E93C5F">
        <w:rPr>
          <w:szCs w:val="19"/>
        </w:rPr>
        <w:t xml:space="preserve">ian Bureau of Statistics 2014), </w:t>
      </w:r>
      <w:r w:rsidRPr="00E93C5F">
        <w:rPr>
          <w:szCs w:val="19"/>
        </w:rPr>
        <w:t xml:space="preserve">Catalogue number 9208.0: </w:t>
      </w:r>
      <w:r w:rsidRPr="00E93C5F">
        <w:rPr>
          <w:rStyle w:val="BookTitle"/>
          <w:szCs w:val="19"/>
        </w:rPr>
        <w:t>Survey of Motor Vehicle Use</w:t>
      </w:r>
      <w:r w:rsidRPr="00E93C5F">
        <w:rPr>
          <w:szCs w:val="19"/>
        </w:rPr>
        <w:t>, Australia, 12 months ended</w:t>
      </w:r>
      <w:r w:rsidR="0000307E" w:rsidRPr="00E93C5F">
        <w:rPr>
          <w:szCs w:val="19"/>
        </w:rPr>
        <w:t xml:space="preserve"> 31 October 2014, available at</w:t>
      </w:r>
      <w:r w:rsidRPr="00E93C5F">
        <w:rPr>
          <w:szCs w:val="19"/>
        </w:rPr>
        <w:t xml:space="preserve">  </w:t>
      </w:r>
      <w:hyperlink r:id="rId52" w:history="1">
        <w:r w:rsidRPr="00E3650D">
          <w:rPr>
            <w:rStyle w:val="Hyperlink"/>
            <w:szCs w:val="19"/>
          </w:rPr>
          <w:t>http://www.abs.gov.au/ausstats/abs@.nsf/mf/9208.0/</w:t>
        </w:r>
      </w:hyperlink>
      <w:r w:rsidR="0000307E" w:rsidRPr="00E93C5F">
        <w:rPr>
          <w:szCs w:val="19"/>
        </w:rPr>
        <w:t xml:space="preserve"> </w:t>
      </w:r>
    </w:p>
    <w:p w14:paraId="535D584E" w14:textId="1A22ABBC" w:rsidR="00431E0B" w:rsidRPr="00E93C5F" w:rsidRDefault="00431E0B" w:rsidP="00965AF2">
      <w:pPr>
        <w:rPr>
          <w:szCs w:val="19"/>
        </w:rPr>
      </w:pPr>
      <w:r w:rsidRPr="00E93C5F">
        <w:rPr>
          <w:szCs w:val="19"/>
        </w:rPr>
        <w:t xml:space="preserve">ACOR (Australian </w:t>
      </w:r>
      <w:r w:rsidR="00537859" w:rsidRPr="00E93C5F">
        <w:rPr>
          <w:szCs w:val="19"/>
        </w:rPr>
        <w:t xml:space="preserve">Council of Recyclers Inc 2008), </w:t>
      </w:r>
      <w:r w:rsidRPr="00E93C5F">
        <w:rPr>
          <w:rStyle w:val="BookTitle"/>
          <w:szCs w:val="19"/>
        </w:rPr>
        <w:t>Australian Recycling Values – A net benefits assessment</w:t>
      </w:r>
      <w:r w:rsidRPr="00E93C5F">
        <w:rPr>
          <w:szCs w:val="19"/>
        </w:rPr>
        <w:t>, 22 February</w:t>
      </w:r>
    </w:p>
    <w:p w14:paraId="1C48FAB4" w14:textId="07AEE66E" w:rsidR="00431E0B" w:rsidRPr="00E93C5F" w:rsidRDefault="00431E0B" w:rsidP="00965AF2">
      <w:pPr>
        <w:rPr>
          <w:szCs w:val="19"/>
        </w:rPr>
      </w:pPr>
      <w:r w:rsidRPr="00E93C5F">
        <w:rPr>
          <w:szCs w:val="19"/>
        </w:rPr>
        <w:t xml:space="preserve">ADAS (2008) </w:t>
      </w:r>
      <w:r w:rsidRPr="00E93C5F">
        <w:rPr>
          <w:rStyle w:val="BookTitle"/>
          <w:szCs w:val="19"/>
        </w:rPr>
        <w:t>Energy Audit of the Kerbside Recycling Services</w:t>
      </w:r>
      <w:r w:rsidRPr="00E93C5F">
        <w:rPr>
          <w:szCs w:val="19"/>
        </w:rPr>
        <w:t xml:space="preserve"> –  The London Borough of Camden</w:t>
      </w:r>
    </w:p>
    <w:p w14:paraId="7CDA8452" w14:textId="12D5BDA5" w:rsidR="00431E0B" w:rsidRPr="00E93C5F" w:rsidRDefault="00431E0B" w:rsidP="00965AF2">
      <w:pPr>
        <w:rPr>
          <w:szCs w:val="19"/>
        </w:rPr>
      </w:pPr>
      <w:r w:rsidRPr="00E93C5F">
        <w:rPr>
          <w:szCs w:val="19"/>
        </w:rPr>
        <w:t>Altern</w:t>
      </w:r>
      <w:r w:rsidR="009E39BB" w:rsidRPr="00E93C5F">
        <w:rPr>
          <w:szCs w:val="19"/>
        </w:rPr>
        <w:t xml:space="preserve">ative Fuels Data Center (2014) </w:t>
      </w:r>
      <w:r w:rsidRPr="00E93C5F">
        <w:rPr>
          <w:szCs w:val="19"/>
        </w:rPr>
        <w:t xml:space="preserve">Alternative Fuels Data Center </w:t>
      </w:r>
      <w:r w:rsidRPr="00E93C5F">
        <w:rPr>
          <w:rStyle w:val="BookTitle"/>
          <w:szCs w:val="19"/>
        </w:rPr>
        <w:t>– Fuel Properties Compariso</w:t>
      </w:r>
      <w:r w:rsidR="00330511" w:rsidRPr="00E93C5F">
        <w:rPr>
          <w:rStyle w:val="BookTitle"/>
          <w:szCs w:val="19"/>
        </w:rPr>
        <w:t>n</w:t>
      </w:r>
      <w:r w:rsidR="0000307E" w:rsidRPr="00E93C5F">
        <w:rPr>
          <w:szCs w:val="19"/>
        </w:rPr>
        <w:t>, available at</w:t>
      </w:r>
      <w:r w:rsidRPr="00E93C5F">
        <w:rPr>
          <w:szCs w:val="19"/>
        </w:rPr>
        <w:t xml:space="preserve"> </w:t>
      </w:r>
      <w:hyperlink r:id="rId53" w:history="1">
        <w:r w:rsidR="00E3650D" w:rsidRPr="00D7715F" w:rsidDel="00E3650D">
          <w:rPr>
            <w:rStyle w:val="Hyperlink"/>
            <w:szCs w:val="19"/>
          </w:rPr>
          <w:t>http://www.afdc.energy.gov/fuels/fuel_comparison_chart.pdf</w:t>
        </w:r>
        <w:r w:rsidR="00E3650D" w:rsidRPr="00D7715F">
          <w:rPr>
            <w:rStyle w:val="Hyperlink"/>
            <w:szCs w:val="19"/>
          </w:rPr>
          <w:t xml:space="preserve">http://www.afdc.energy.gov/fuels/fuel_comparison_chart.pdf </w:t>
        </w:r>
      </w:hyperlink>
    </w:p>
    <w:p w14:paraId="0EDAB549" w14:textId="77777777" w:rsidR="00431E0B" w:rsidRPr="00E93C5F" w:rsidRDefault="00431E0B" w:rsidP="00965AF2">
      <w:pPr>
        <w:rPr>
          <w:szCs w:val="19"/>
        </w:rPr>
      </w:pPr>
      <w:r w:rsidRPr="00E93C5F">
        <w:rPr>
          <w:szCs w:val="19"/>
        </w:rPr>
        <w:t xml:space="preserve">Astrup T, Fruergaard T and Christensen TH (2009b) Recycling of plastic: accounting of greenhouse gases and global warming contributions, </w:t>
      </w:r>
      <w:r w:rsidRPr="00E93C5F">
        <w:rPr>
          <w:rStyle w:val="BookTitle"/>
          <w:szCs w:val="19"/>
        </w:rPr>
        <w:t>Waste Management and Research</w:t>
      </w:r>
      <w:r w:rsidRPr="00E93C5F">
        <w:rPr>
          <w:szCs w:val="19"/>
        </w:rPr>
        <w:t>, vol 28 issue 8, November</w:t>
      </w:r>
    </w:p>
    <w:p w14:paraId="77695AA7" w14:textId="77777777" w:rsidR="00431E0B" w:rsidRPr="00E93C5F" w:rsidRDefault="00431E0B" w:rsidP="00965AF2">
      <w:pPr>
        <w:rPr>
          <w:szCs w:val="19"/>
        </w:rPr>
      </w:pPr>
      <w:r w:rsidRPr="00E93C5F">
        <w:rPr>
          <w:szCs w:val="19"/>
        </w:rPr>
        <w:t xml:space="preserve">Astrup T, Moller J and Fruergaard T (2009b) Incineration and co-combustion of waste: accounting of greenhouse gases and global warming contributions, </w:t>
      </w:r>
      <w:r w:rsidRPr="00E93C5F">
        <w:rPr>
          <w:rStyle w:val="BookTitle"/>
          <w:szCs w:val="19"/>
        </w:rPr>
        <w:t>Waste Management and Research</w:t>
      </w:r>
      <w:r w:rsidRPr="00E93C5F">
        <w:rPr>
          <w:szCs w:val="19"/>
        </w:rPr>
        <w:t>, vol 28 issue 8, November</w:t>
      </w:r>
    </w:p>
    <w:p w14:paraId="1FC7AE28" w14:textId="5A554FCC" w:rsidR="00431E0B" w:rsidRPr="00E93C5F" w:rsidRDefault="00431E0B" w:rsidP="00431E0B">
      <w:pPr>
        <w:ind w:left="9" w:right="14"/>
        <w:rPr>
          <w:szCs w:val="19"/>
        </w:rPr>
      </w:pPr>
      <w:r w:rsidRPr="00E93C5F">
        <w:rPr>
          <w:szCs w:val="19"/>
        </w:rPr>
        <w:t xml:space="preserve">Australian Transport Council </w:t>
      </w:r>
      <w:r w:rsidR="00A357DA" w:rsidRPr="00E93C5F">
        <w:rPr>
          <w:szCs w:val="19"/>
        </w:rPr>
        <w:t>(</w:t>
      </w:r>
      <w:r w:rsidRPr="00E93C5F">
        <w:rPr>
          <w:szCs w:val="19"/>
        </w:rPr>
        <w:t xml:space="preserve">2006) </w:t>
      </w:r>
      <w:r w:rsidRPr="00E93C5F">
        <w:rPr>
          <w:rStyle w:val="BookTitle"/>
          <w:szCs w:val="19"/>
        </w:rPr>
        <w:t>National guidelines for transport system management</w:t>
      </w:r>
      <w:r w:rsidR="000F5020" w:rsidRPr="00E93C5F">
        <w:rPr>
          <w:rStyle w:val="BookTitle"/>
          <w:szCs w:val="19"/>
        </w:rPr>
        <w:t xml:space="preserve"> in Australia</w:t>
      </w:r>
      <w:r w:rsidR="000F5020" w:rsidRPr="00E93C5F">
        <w:rPr>
          <w:szCs w:val="19"/>
        </w:rPr>
        <w:t xml:space="preserve">, </w:t>
      </w:r>
      <w:r w:rsidR="0000307E" w:rsidRPr="00E93C5F">
        <w:rPr>
          <w:szCs w:val="19"/>
        </w:rPr>
        <w:t>available at</w:t>
      </w:r>
      <w:r w:rsidR="000F5020" w:rsidRPr="00E93C5F">
        <w:rPr>
          <w:szCs w:val="19"/>
        </w:rPr>
        <w:t xml:space="preserve">: </w:t>
      </w:r>
      <w:hyperlink r:id="rId54" w:history="1">
        <w:r w:rsidR="000F5020" w:rsidRPr="00E93C5F">
          <w:rPr>
            <w:rStyle w:val="Hyperlink"/>
            <w:szCs w:val="19"/>
          </w:rPr>
          <w:t>http://transportinfrastructurecouncil.gov.au/publications/files/national_guidelines_volume_3.pdf</w:t>
        </w:r>
      </w:hyperlink>
      <w:r w:rsidR="00537859" w:rsidRPr="00E93C5F">
        <w:rPr>
          <w:szCs w:val="19"/>
        </w:rPr>
        <w:t xml:space="preserve"> </w:t>
      </w:r>
    </w:p>
    <w:p w14:paraId="6D2D3099" w14:textId="22879BB6" w:rsidR="00431E0B" w:rsidRPr="00E93C5F" w:rsidRDefault="00431E0B" w:rsidP="00537859">
      <w:pPr>
        <w:ind w:left="9" w:right="14"/>
        <w:rPr>
          <w:szCs w:val="19"/>
        </w:rPr>
      </w:pPr>
      <w:r w:rsidRPr="00E93C5F">
        <w:rPr>
          <w:szCs w:val="19"/>
        </w:rPr>
        <w:t>Australian Trade (2016) Con</w:t>
      </w:r>
      <w:r w:rsidR="00537859" w:rsidRPr="00E93C5F">
        <w:rPr>
          <w:szCs w:val="19"/>
        </w:rPr>
        <w:t>ta</w:t>
      </w:r>
      <w:r w:rsidR="0000307E" w:rsidRPr="00E93C5F">
        <w:rPr>
          <w:szCs w:val="19"/>
        </w:rPr>
        <w:t>iner sizes, available at</w:t>
      </w:r>
      <w:r w:rsidR="00537859" w:rsidRPr="00E93C5F">
        <w:rPr>
          <w:szCs w:val="19"/>
        </w:rPr>
        <w:t xml:space="preserve"> </w:t>
      </w:r>
      <w:hyperlink r:id="rId55" w:history="1">
        <w:r w:rsidR="00537859" w:rsidRPr="00E93C5F">
          <w:rPr>
            <w:rStyle w:val="Hyperlink"/>
            <w:szCs w:val="19"/>
          </w:rPr>
          <w:t>www.australiatrade.com.au/Shipping/ContainerSizeSales/</w:t>
        </w:r>
      </w:hyperlink>
      <w:r w:rsidR="00537859" w:rsidRPr="00E93C5F">
        <w:rPr>
          <w:szCs w:val="19"/>
        </w:rPr>
        <w:t xml:space="preserve"> </w:t>
      </w:r>
    </w:p>
    <w:p w14:paraId="79AE42F5" w14:textId="1CAF2A9C" w:rsidR="00431E0B" w:rsidRPr="00E93C5F" w:rsidRDefault="00431E0B" w:rsidP="00431E0B">
      <w:pPr>
        <w:ind w:left="9" w:right="14"/>
        <w:rPr>
          <w:szCs w:val="19"/>
        </w:rPr>
      </w:pPr>
      <w:r w:rsidRPr="00E93C5F">
        <w:rPr>
          <w:szCs w:val="19"/>
        </w:rPr>
        <w:t xml:space="preserve">Australian Government (2015) </w:t>
      </w:r>
      <w:r w:rsidRPr="00E93C5F">
        <w:rPr>
          <w:rStyle w:val="BookTitle"/>
          <w:szCs w:val="19"/>
        </w:rPr>
        <w:t>National Greenhouse and Energy Reporting (Measurement) Determination</w:t>
      </w:r>
      <w:r w:rsidRPr="00E93C5F">
        <w:rPr>
          <w:szCs w:val="19"/>
        </w:rPr>
        <w:t xml:space="preserve"> 2008,</w:t>
      </w:r>
      <w:r w:rsidR="0000307E" w:rsidRPr="00E93C5F">
        <w:rPr>
          <w:szCs w:val="19"/>
        </w:rPr>
        <w:t xml:space="preserve"> July 1 available at</w:t>
      </w:r>
      <w:r w:rsidR="00537859" w:rsidRPr="00E93C5F">
        <w:rPr>
          <w:szCs w:val="19"/>
        </w:rPr>
        <w:t xml:space="preserve"> </w:t>
      </w:r>
      <w:hyperlink r:id="rId56" w:history="1">
        <w:r w:rsidR="00537859" w:rsidRPr="00E3650D">
          <w:rPr>
            <w:rStyle w:val="Hyperlink"/>
            <w:szCs w:val="19"/>
          </w:rPr>
          <w:t>https://</w:t>
        </w:r>
        <w:r w:rsidRPr="00E3650D">
          <w:rPr>
            <w:rStyle w:val="Hyperlink"/>
            <w:szCs w:val="19"/>
          </w:rPr>
          <w:t>gov.au/Details/F2015C00525/Html/Text#_ Toc423517144</w:t>
        </w:r>
      </w:hyperlink>
      <w:r w:rsidR="000F5020" w:rsidRPr="00E93C5F">
        <w:rPr>
          <w:szCs w:val="19"/>
        </w:rPr>
        <w:t xml:space="preserve"> </w:t>
      </w:r>
      <w:r w:rsidR="00537859" w:rsidRPr="00E93C5F">
        <w:rPr>
          <w:szCs w:val="19"/>
        </w:rPr>
        <w:t xml:space="preserve"> </w:t>
      </w:r>
    </w:p>
    <w:p w14:paraId="2D4BA811" w14:textId="1782300B" w:rsidR="00431E0B" w:rsidRPr="00E93C5F" w:rsidRDefault="00431E0B" w:rsidP="00431E0B">
      <w:pPr>
        <w:ind w:left="9" w:right="14"/>
        <w:rPr>
          <w:szCs w:val="19"/>
        </w:rPr>
      </w:pPr>
      <w:r w:rsidRPr="00E93C5F">
        <w:rPr>
          <w:szCs w:val="19"/>
        </w:rPr>
        <w:t xml:space="preserve">Australian Government (2016a) </w:t>
      </w:r>
      <w:r w:rsidRPr="00E93C5F">
        <w:rPr>
          <w:rStyle w:val="BookTitle"/>
          <w:szCs w:val="19"/>
        </w:rPr>
        <w:t>National Greenhouse Gas Inventory – Kyoto Protocol c</w:t>
      </w:r>
      <w:r w:rsidR="00537859" w:rsidRPr="00E93C5F">
        <w:rPr>
          <w:rStyle w:val="BookTitle"/>
          <w:szCs w:val="19"/>
        </w:rPr>
        <w:t>lassifications</w:t>
      </w:r>
      <w:r w:rsidR="0000307E" w:rsidRPr="00E93C5F">
        <w:rPr>
          <w:szCs w:val="19"/>
        </w:rPr>
        <w:t>, available at</w:t>
      </w:r>
      <w:r w:rsidRPr="00E93C5F">
        <w:rPr>
          <w:szCs w:val="19"/>
        </w:rPr>
        <w:t xml:space="preserve"> </w:t>
      </w:r>
      <w:hyperlink r:id="rId57" w:history="1">
        <w:r w:rsidR="00537859" w:rsidRPr="00E93C5F">
          <w:rPr>
            <w:rStyle w:val="Hyperlink"/>
            <w:szCs w:val="19"/>
          </w:rPr>
          <w:t>http://ageis.climatechange.gov.au/</w:t>
        </w:r>
      </w:hyperlink>
      <w:r w:rsidR="00537859" w:rsidRPr="00E93C5F">
        <w:rPr>
          <w:szCs w:val="19"/>
        </w:rPr>
        <w:t xml:space="preserve"> </w:t>
      </w:r>
    </w:p>
    <w:p w14:paraId="4A7B5FC7" w14:textId="54F1DDF3" w:rsidR="00431E0B" w:rsidRPr="00E93C5F" w:rsidRDefault="00431E0B" w:rsidP="00431E0B">
      <w:pPr>
        <w:ind w:left="9" w:right="14"/>
        <w:rPr>
          <w:szCs w:val="19"/>
        </w:rPr>
      </w:pPr>
      <w:r w:rsidRPr="00E93C5F">
        <w:rPr>
          <w:szCs w:val="19"/>
        </w:rPr>
        <w:t>Australian Gov</w:t>
      </w:r>
      <w:r w:rsidR="00537859" w:rsidRPr="00E93C5F">
        <w:rPr>
          <w:szCs w:val="19"/>
        </w:rPr>
        <w:t xml:space="preserve">ernment (2016b) </w:t>
      </w:r>
      <w:r w:rsidR="00537859" w:rsidRPr="00E93C5F">
        <w:rPr>
          <w:rStyle w:val="BookTitle"/>
          <w:szCs w:val="19"/>
        </w:rPr>
        <w:t xml:space="preserve">Carbon Credits </w:t>
      </w:r>
      <w:r w:rsidRPr="00E93C5F">
        <w:rPr>
          <w:rStyle w:val="BookTitle"/>
          <w:szCs w:val="19"/>
        </w:rPr>
        <w:t xml:space="preserve">(Carbon Farming </w:t>
      </w:r>
      <w:r w:rsidR="00537859" w:rsidRPr="00E93C5F">
        <w:rPr>
          <w:rStyle w:val="BookTitle"/>
          <w:szCs w:val="19"/>
        </w:rPr>
        <w:t>Initiative</w:t>
      </w:r>
      <w:r w:rsidRPr="00E93C5F">
        <w:rPr>
          <w:rStyle w:val="BookTitle"/>
          <w:szCs w:val="19"/>
        </w:rPr>
        <w:t>-Source Separated Organic Waste) Methodology Determination</w:t>
      </w:r>
      <w:r w:rsidRPr="00E93C5F">
        <w:rPr>
          <w:szCs w:val="19"/>
        </w:rPr>
        <w:t xml:space="preserve"> 2016, February 4, available </w:t>
      </w:r>
      <w:r w:rsidR="0000307E" w:rsidRPr="00E93C5F">
        <w:rPr>
          <w:szCs w:val="19"/>
        </w:rPr>
        <w:t>at</w:t>
      </w:r>
      <w:r w:rsidRPr="00E93C5F">
        <w:rPr>
          <w:szCs w:val="19"/>
        </w:rPr>
        <w:t xml:space="preserve">  </w:t>
      </w:r>
      <w:hyperlink r:id="rId58" w:history="1">
        <w:r w:rsidR="00537859" w:rsidRPr="00E93C5F">
          <w:rPr>
            <w:rStyle w:val="Hyperlink"/>
            <w:szCs w:val="19"/>
          </w:rPr>
          <w:t>https://www.legislation.gov.au/Details/F2016L00098</w:t>
        </w:r>
      </w:hyperlink>
      <w:r w:rsidR="00537859" w:rsidRPr="00E93C5F">
        <w:rPr>
          <w:szCs w:val="19"/>
        </w:rPr>
        <w:t xml:space="preserve"> </w:t>
      </w:r>
    </w:p>
    <w:p w14:paraId="7A1639B2" w14:textId="1B4DE4AF" w:rsidR="00431E0B" w:rsidRPr="00E93C5F" w:rsidRDefault="00431E0B" w:rsidP="00431E0B">
      <w:pPr>
        <w:ind w:left="9" w:right="14"/>
        <w:rPr>
          <w:szCs w:val="19"/>
        </w:rPr>
      </w:pPr>
      <w:r w:rsidRPr="00E93C5F">
        <w:rPr>
          <w:szCs w:val="19"/>
        </w:rPr>
        <w:t xml:space="preserve">Australian Institute of Energy (2016) </w:t>
      </w:r>
      <w:r w:rsidRPr="00E93C5F">
        <w:rPr>
          <w:rStyle w:val="BookTitle"/>
          <w:szCs w:val="19"/>
        </w:rPr>
        <w:t>Energy Value and Greenhouse Emission Factor of Selected Fuels</w:t>
      </w:r>
      <w:r w:rsidRPr="00E93C5F">
        <w:rPr>
          <w:szCs w:val="19"/>
        </w:rPr>
        <w:t>, available</w:t>
      </w:r>
      <w:r w:rsidR="0000307E" w:rsidRPr="00E93C5F">
        <w:rPr>
          <w:szCs w:val="19"/>
        </w:rPr>
        <w:t xml:space="preserve"> at</w:t>
      </w:r>
      <w:r w:rsidRPr="00E93C5F">
        <w:rPr>
          <w:szCs w:val="19"/>
        </w:rPr>
        <w:t xml:space="preserve">  </w:t>
      </w:r>
      <w:hyperlink r:id="rId59" w:history="1">
        <w:r w:rsidR="00C057C0" w:rsidRPr="00E93C5F">
          <w:rPr>
            <w:rStyle w:val="Hyperlink"/>
            <w:szCs w:val="19"/>
          </w:rPr>
          <w:t>http://www.aie.org.au/AIE/Energy_Info/Energy_Value.aspx</w:t>
        </w:r>
      </w:hyperlink>
      <w:r w:rsidR="00C057C0" w:rsidRPr="00E93C5F">
        <w:rPr>
          <w:szCs w:val="19"/>
        </w:rPr>
        <w:t xml:space="preserve"> </w:t>
      </w:r>
    </w:p>
    <w:p w14:paraId="41B04ACA" w14:textId="77777777" w:rsidR="00431E0B" w:rsidRPr="00E93C5F" w:rsidRDefault="00431E0B" w:rsidP="00431E0B">
      <w:pPr>
        <w:ind w:left="9" w:right="14"/>
        <w:rPr>
          <w:szCs w:val="19"/>
        </w:rPr>
      </w:pPr>
      <w:r w:rsidRPr="00E93C5F">
        <w:rPr>
          <w:szCs w:val="19"/>
        </w:rPr>
        <w:t xml:space="preserve">Blue Environment (2011) </w:t>
      </w:r>
      <w:r w:rsidRPr="00E93C5F">
        <w:rPr>
          <w:rStyle w:val="BookTitle"/>
          <w:szCs w:val="19"/>
        </w:rPr>
        <w:t>Landfill prescribed distance rule analysis</w:t>
      </w:r>
      <w:r w:rsidRPr="00E93C5F">
        <w:rPr>
          <w:szCs w:val="19"/>
        </w:rPr>
        <w:t>, prepared for the Department of the Environment, 19 September</w:t>
      </w:r>
    </w:p>
    <w:p w14:paraId="2331FB3B" w14:textId="77777777" w:rsidR="00431E0B" w:rsidRPr="00E93C5F" w:rsidRDefault="00431E0B" w:rsidP="00431E0B">
      <w:pPr>
        <w:ind w:left="9" w:right="14"/>
        <w:rPr>
          <w:szCs w:val="19"/>
        </w:rPr>
      </w:pPr>
      <w:r w:rsidRPr="00E93C5F">
        <w:rPr>
          <w:szCs w:val="19"/>
        </w:rPr>
        <w:t xml:space="preserve">Boldrin A, Andersen JK, Moller J, Favoino, E and Christensen TH (2009) Composting and compost utilization: accounting of greenhouse gases and global warming contributions, </w:t>
      </w:r>
      <w:r w:rsidRPr="00E93C5F">
        <w:rPr>
          <w:rStyle w:val="BookTitle"/>
          <w:szCs w:val="19"/>
        </w:rPr>
        <w:t>Waste Management and Research</w:t>
      </w:r>
      <w:r w:rsidRPr="00E93C5F">
        <w:rPr>
          <w:szCs w:val="19"/>
        </w:rPr>
        <w:t>, vol 28 issue 8, November</w:t>
      </w:r>
    </w:p>
    <w:p w14:paraId="4F7FC3B9" w14:textId="77777777" w:rsidR="00431E0B" w:rsidRPr="00E93C5F" w:rsidRDefault="00431E0B" w:rsidP="00431E0B">
      <w:pPr>
        <w:ind w:left="9" w:right="14"/>
        <w:rPr>
          <w:szCs w:val="19"/>
        </w:rPr>
      </w:pPr>
      <w:r w:rsidRPr="00E93C5F">
        <w:rPr>
          <w:szCs w:val="19"/>
        </w:rPr>
        <w:t xml:space="preserve">Dadd MF (2007) </w:t>
      </w:r>
      <w:r w:rsidRPr="00E93C5F">
        <w:rPr>
          <w:rStyle w:val="BookTitle"/>
          <w:szCs w:val="19"/>
        </w:rPr>
        <w:t>Carbon footprint assessment using Life Cycle thinking of a Material Recycling Facility</w:t>
      </w:r>
      <w:r w:rsidRPr="00E93C5F">
        <w:rPr>
          <w:szCs w:val="19"/>
        </w:rPr>
        <w:t xml:space="preserve"> (MRF): NEWS’ MRF as a case study, University of East Anglia, August</w:t>
      </w:r>
    </w:p>
    <w:p w14:paraId="7384805F" w14:textId="77777777" w:rsidR="00431E0B" w:rsidRPr="00E93C5F" w:rsidRDefault="00431E0B" w:rsidP="00431E0B">
      <w:pPr>
        <w:ind w:left="9" w:right="14"/>
        <w:rPr>
          <w:szCs w:val="19"/>
        </w:rPr>
      </w:pPr>
      <w:r w:rsidRPr="00E93C5F">
        <w:rPr>
          <w:szCs w:val="19"/>
        </w:rPr>
        <w:t xml:space="preserve">Damgaard A, Larsen AW and Christensen TH (2009) Recycling of metals: accounting of greenhouse gases and global warming contributions, </w:t>
      </w:r>
      <w:r w:rsidRPr="00E93C5F">
        <w:rPr>
          <w:rStyle w:val="BookTitle"/>
          <w:szCs w:val="19"/>
        </w:rPr>
        <w:t>Waste Management and Research</w:t>
      </w:r>
      <w:r w:rsidRPr="00E93C5F">
        <w:rPr>
          <w:szCs w:val="19"/>
        </w:rPr>
        <w:t>, vol 28 issue 8, November</w:t>
      </w:r>
    </w:p>
    <w:p w14:paraId="0401EFB8" w14:textId="48C3DACD" w:rsidR="00431E0B" w:rsidRPr="00E93C5F" w:rsidRDefault="00431E0B" w:rsidP="00C057C0">
      <w:pPr>
        <w:ind w:left="9" w:right="14"/>
        <w:rPr>
          <w:szCs w:val="19"/>
        </w:rPr>
      </w:pPr>
      <w:r w:rsidRPr="00E93C5F">
        <w:rPr>
          <w:szCs w:val="19"/>
        </w:rPr>
        <w:t>Daugaard DE and Brown RC (2003) Enth</w:t>
      </w:r>
      <w:r w:rsidR="00C057C0" w:rsidRPr="00E93C5F">
        <w:rPr>
          <w:szCs w:val="19"/>
        </w:rPr>
        <w:t xml:space="preserve">alpy for Pyrolysis for Several </w:t>
      </w:r>
      <w:r w:rsidRPr="00E93C5F">
        <w:rPr>
          <w:szCs w:val="19"/>
        </w:rPr>
        <w:t xml:space="preserve">Types of Biomass, </w:t>
      </w:r>
      <w:r w:rsidRPr="00E93C5F">
        <w:rPr>
          <w:rStyle w:val="BookTitle"/>
          <w:szCs w:val="19"/>
        </w:rPr>
        <w:t>Energy Fuels</w:t>
      </w:r>
      <w:r w:rsidRPr="00E93C5F">
        <w:rPr>
          <w:szCs w:val="19"/>
        </w:rPr>
        <w:t>, vol 17 (4), pp 934-939</w:t>
      </w:r>
    </w:p>
    <w:p w14:paraId="54D46A74" w14:textId="49E5ABE9" w:rsidR="00431E0B" w:rsidRPr="00E93C5F" w:rsidRDefault="00431E0B" w:rsidP="00431E0B">
      <w:pPr>
        <w:ind w:left="9" w:right="14"/>
        <w:rPr>
          <w:szCs w:val="19"/>
        </w:rPr>
      </w:pPr>
      <w:r w:rsidRPr="00E93C5F">
        <w:rPr>
          <w:szCs w:val="19"/>
        </w:rPr>
        <w:t xml:space="preserve">Department of the Environment </w:t>
      </w:r>
      <w:r w:rsidR="00A357DA" w:rsidRPr="00E93C5F">
        <w:rPr>
          <w:szCs w:val="19"/>
        </w:rPr>
        <w:t>(</w:t>
      </w:r>
      <w:r w:rsidRPr="00E93C5F">
        <w:rPr>
          <w:szCs w:val="19"/>
        </w:rPr>
        <w:t xml:space="preserve">2014) </w:t>
      </w:r>
      <w:r w:rsidRPr="00E93C5F">
        <w:rPr>
          <w:rStyle w:val="BookTitle"/>
          <w:szCs w:val="19"/>
        </w:rPr>
        <w:t>Technical guideline for the estimation of greenhouse gas emissions by facilities in Australia: National Greenhouse and Energy Reporting (Measurement) Determination</w:t>
      </w:r>
      <w:r w:rsidR="0000307E" w:rsidRPr="00E93C5F">
        <w:rPr>
          <w:szCs w:val="19"/>
        </w:rPr>
        <w:t xml:space="preserve"> 2008, available a</w:t>
      </w:r>
      <w:r w:rsidR="008B27DF" w:rsidRPr="00E93C5F">
        <w:rPr>
          <w:szCs w:val="19"/>
        </w:rPr>
        <w:t xml:space="preserve">t </w:t>
      </w:r>
      <w:hyperlink r:id="rId60" w:history="1">
        <w:r w:rsidRPr="00E3650D">
          <w:rPr>
            <w:rStyle w:val="Hyperlink"/>
            <w:szCs w:val="19"/>
          </w:rPr>
          <w:t xml:space="preserve">http://www.environment.gov.au/ system/files/resources/da7bde5c-1be2-43f7-97d7-d7d85bb9ad6c/ </w:t>
        </w:r>
        <w:r w:rsidR="0000307E" w:rsidRPr="00E3650D">
          <w:rPr>
            <w:rStyle w:val="Hyperlink"/>
            <w:szCs w:val="19"/>
          </w:rPr>
          <w:t>files/nger-technical-guidelines</w:t>
        </w:r>
        <w:r w:rsidRPr="00E3650D">
          <w:rPr>
            <w:rStyle w:val="Hyperlink"/>
            <w:szCs w:val="19"/>
          </w:rPr>
          <w:t>2014.pdf1ad53e55dc39/files/nationalgreenhouse-accounts-factors-august-2015.pdf</w:t>
        </w:r>
      </w:hyperlink>
      <w:r w:rsidR="008B27DF" w:rsidRPr="00E93C5F">
        <w:rPr>
          <w:szCs w:val="19"/>
        </w:rPr>
        <w:t xml:space="preserve"> </w:t>
      </w:r>
    </w:p>
    <w:p w14:paraId="7C2744B0" w14:textId="77777777" w:rsidR="00187FE8" w:rsidRPr="00E93C5F" w:rsidRDefault="00187FE8" w:rsidP="00187FE8">
      <w:pPr>
        <w:ind w:left="9" w:right="14"/>
        <w:rPr>
          <w:szCs w:val="19"/>
        </w:rPr>
      </w:pPr>
      <w:r w:rsidRPr="00E93C5F">
        <w:rPr>
          <w:szCs w:val="19"/>
        </w:rPr>
        <w:t>Department of the Environment</w:t>
      </w:r>
      <w:r>
        <w:rPr>
          <w:szCs w:val="19"/>
        </w:rPr>
        <w:t xml:space="preserve"> (</w:t>
      </w:r>
      <w:r w:rsidRPr="00E93C5F">
        <w:rPr>
          <w:szCs w:val="19"/>
        </w:rPr>
        <w:t xml:space="preserve">2015) </w:t>
      </w:r>
      <w:r w:rsidRPr="00E93C5F">
        <w:rPr>
          <w:rStyle w:val="BookTitle"/>
          <w:szCs w:val="19"/>
        </w:rPr>
        <w:t>National Greenhouse Accounts Factors Australian National Greenhouse Accounts</w:t>
      </w:r>
      <w:r w:rsidRPr="00E93C5F">
        <w:rPr>
          <w:szCs w:val="19"/>
        </w:rPr>
        <w:t xml:space="preserve">, available at </w:t>
      </w:r>
      <w:hyperlink r:id="rId61" w:history="1">
        <w:r w:rsidRPr="00E3650D">
          <w:rPr>
            <w:rStyle w:val="Hyperlink"/>
            <w:szCs w:val="19"/>
          </w:rPr>
          <w:t>http://www.environment.gov.au/system/files/ resources/3ef30d52-d447-4911-b85c-1ad53e55dc39/files/nationalgreenhouse-accounts-factors-august-2015.pdf</w:t>
        </w:r>
      </w:hyperlink>
      <w:r w:rsidRPr="00E93C5F">
        <w:rPr>
          <w:szCs w:val="19"/>
        </w:rPr>
        <w:t xml:space="preserve"> </w:t>
      </w:r>
    </w:p>
    <w:p w14:paraId="7404D43B" w14:textId="03C5E3FF" w:rsidR="00431E0B" w:rsidRPr="00E93C5F" w:rsidRDefault="00431E0B" w:rsidP="00187FE8">
      <w:pPr>
        <w:ind w:left="9" w:right="14"/>
        <w:rPr>
          <w:szCs w:val="19"/>
        </w:rPr>
      </w:pPr>
      <w:r w:rsidRPr="00E93C5F">
        <w:rPr>
          <w:szCs w:val="19"/>
        </w:rPr>
        <w:t xml:space="preserve">Department of Water, Environment, Land and Planning </w:t>
      </w:r>
      <w:r w:rsidR="00A357DA" w:rsidRPr="00E93C5F">
        <w:rPr>
          <w:szCs w:val="19"/>
        </w:rPr>
        <w:t>(</w:t>
      </w:r>
      <w:r w:rsidRPr="00E93C5F">
        <w:rPr>
          <w:szCs w:val="19"/>
        </w:rPr>
        <w:t xml:space="preserve">2015), </w:t>
      </w:r>
      <w:r w:rsidRPr="00E93C5F">
        <w:rPr>
          <w:rStyle w:val="BookTitle"/>
          <w:szCs w:val="19"/>
        </w:rPr>
        <w:t>Victoria in Future 2015</w:t>
      </w:r>
      <w:r w:rsidR="0000307E" w:rsidRPr="00E93C5F">
        <w:rPr>
          <w:szCs w:val="19"/>
        </w:rPr>
        <w:t>, available at</w:t>
      </w:r>
      <w:r w:rsidRPr="00E93C5F">
        <w:rPr>
          <w:szCs w:val="19"/>
        </w:rPr>
        <w:t xml:space="preserve"> </w:t>
      </w:r>
      <w:hyperlink r:id="rId62" w:history="1">
        <w:r w:rsidRPr="00E3650D">
          <w:rPr>
            <w:rStyle w:val="Hyperlink"/>
            <w:szCs w:val="19"/>
          </w:rPr>
          <w:t>http://www.dtpli.vic.gov.au/ data-and-research/population/census-2011/victoria-in-future-2015</w:t>
        </w:r>
      </w:hyperlink>
      <w:r w:rsidR="00C057C0" w:rsidRPr="00E93C5F">
        <w:rPr>
          <w:szCs w:val="19"/>
        </w:rPr>
        <w:t xml:space="preserve"> </w:t>
      </w:r>
    </w:p>
    <w:p w14:paraId="02C5DF8E" w14:textId="597D6709" w:rsidR="00431E0B" w:rsidRPr="00E93C5F" w:rsidRDefault="00431E0B" w:rsidP="00A6321D">
      <w:pPr>
        <w:ind w:left="9" w:right="14"/>
        <w:rPr>
          <w:szCs w:val="19"/>
        </w:rPr>
      </w:pPr>
      <w:r w:rsidRPr="00E93C5F">
        <w:rPr>
          <w:szCs w:val="19"/>
        </w:rPr>
        <w:t xml:space="preserve">EAA (2008) </w:t>
      </w:r>
      <w:r w:rsidR="00C057C0" w:rsidRPr="00E93C5F">
        <w:rPr>
          <w:rStyle w:val="BookTitle"/>
          <w:szCs w:val="19"/>
        </w:rPr>
        <w:t>Environmental Profile Report for</w:t>
      </w:r>
      <w:r w:rsidRPr="00E93C5F">
        <w:rPr>
          <w:rStyle w:val="BookTitle"/>
          <w:szCs w:val="19"/>
        </w:rPr>
        <w:t xml:space="preserve"> the European Aluminium Industry: Life Cycle Inventory data for aluminium production and transformation</w:t>
      </w:r>
      <w:r w:rsidR="000F5020" w:rsidRPr="00E93C5F">
        <w:rPr>
          <w:rStyle w:val="BookTitle"/>
          <w:szCs w:val="19"/>
        </w:rPr>
        <w:t xml:space="preserve"> processes in Europe</w:t>
      </w:r>
      <w:r w:rsidR="000F5020" w:rsidRPr="00E93C5F">
        <w:rPr>
          <w:szCs w:val="19"/>
        </w:rPr>
        <w:t xml:space="preserve">, </w:t>
      </w:r>
      <w:r w:rsidRPr="00E93C5F">
        <w:rPr>
          <w:szCs w:val="19"/>
        </w:rPr>
        <w:t>ECBC (European Cetacean Bycatch Campaign 2001) Standard conversion factors, availabl</w:t>
      </w:r>
      <w:r w:rsidR="0000307E" w:rsidRPr="00E93C5F">
        <w:rPr>
          <w:szCs w:val="19"/>
        </w:rPr>
        <w:t>e at</w:t>
      </w:r>
      <w:r w:rsidR="00C057C0" w:rsidRPr="00E93C5F">
        <w:rPr>
          <w:szCs w:val="19"/>
        </w:rPr>
        <w:t xml:space="preserve"> </w:t>
      </w:r>
      <w:hyperlink r:id="rId63" w:history="1">
        <w:r w:rsidR="0000307E" w:rsidRPr="00E93C5F">
          <w:rPr>
            <w:rStyle w:val="Hyperlink"/>
            <w:szCs w:val="19"/>
          </w:rPr>
          <w:t>http://www.eurocbc.org/Standard%20Conversion%20Factors%20dti_converfactors.pdf</w:t>
        </w:r>
      </w:hyperlink>
      <w:r w:rsidR="0000307E" w:rsidRPr="00E93C5F">
        <w:rPr>
          <w:szCs w:val="19"/>
        </w:rPr>
        <w:t xml:space="preserve"> </w:t>
      </w:r>
      <w:r w:rsidR="00A357DA" w:rsidRPr="00E93C5F">
        <w:rPr>
          <w:szCs w:val="19"/>
        </w:rPr>
        <w:t xml:space="preserve"> </w:t>
      </w:r>
    </w:p>
    <w:p w14:paraId="7C1DF5AB" w14:textId="77777777" w:rsidR="00431E0B" w:rsidRPr="00E93C5F" w:rsidRDefault="00431E0B" w:rsidP="00431E0B">
      <w:pPr>
        <w:ind w:left="9" w:right="14"/>
        <w:rPr>
          <w:szCs w:val="19"/>
        </w:rPr>
      </w:pPr>
      <w:r w:rsidRPr="00E93C5F">
        <w:rPr>
          <w:szCs w:val="19"/>
        </w:rPr>
        <w:t xml:space="preserve">Eisted R, Larsen AW and Christensen TH (2009) Collection, transfer and transport of waste: accounting of greenhouse gases and global warming contribution, </w:t>
      </w:r>
      <w:r w:rsidRPr="00E93C5F">
        <w:rPr>
          <w:rStyle w:val="BookTitle"/>
          <w:szCs w:val="19"/>
        </w:rPr>
        <w:t>Waste Management and Research</w:t>
      </w:r>
      <w:r w:rsidRPr="00E93C5F">
        <w:rPr>
          <w:szCs w:val="19"/>
        </w:rPr>
        <w:t>, vol 28 issue 8, November</w:t>
      </w:r>
    </w:p>
    <w:p w14:paraId="0D149AC3" w14:textId="6DE9E0A8" w:rsidR="00431E0B" w:rsidRPr="00E93C5F" w:rsidRDefault="00431E0B" w:rsidP="00C057C0">
      <w:pPr>
        <w:ind w:left="9" w:right="14"/>
        <w:rPr>
          <w:szCs w:val="19"/>
        </w:rPr>
      </w:pPr>
      <w:r w:rsidRPr="00E93C5F">
        <w:rPr>
          <w:szCs w:val="19"/>
        </w:rPr>
        <w:t>Elgas (2016) LPG Conversions: Gas kg, L</w:t>
      </w:r>
      <w:r w:rsidR="00C057C0" w:rsidRPr="00E93C5F">
        <w:rPr>
          <w:szCs w:val="19"/>
        </w:rPr>
        <w:t xml:space="preserve">itres, MJ, kWh &amp; m³, available </w:t>
      </w:r>
      <w:r w:rsidRPr="00E93C5F">
        <w:rPr>
          <w:szCs w:val="19"/>
        </w:rPr>
        <w:t xml:space="preserve">from: </w:t>
      </w:r>
      <w:hyperlink r:id="rId64" w:history="1">
        <w:r w:rsidR="00C057C0" w:rsidRPr="00E93C5F">
          <w:rPr>
            <w:rStyle w:val="Hyperlink"/>
            <w:szCs w:val="19"/>
          </w:rPr>
          <w:t>http://www.elgas.com.au/blog/389-lpg-conversions-kg-litresmj-kwh-and-m3</w:t>
        </w:r>
      </w:hyperlink>
      <w:r w:rsidR="00C057C0" w:rsidRPr="00E93C5F">
        <w:rPr>
          <w:szCs w:val="19"/>
        </w:rPr>
        <w:t xml:space="preserve"> </w:t>
      </w:r>
    </w:p>
    <w:p w14:paraId="6A81F35E" w14:textId="36578280" w:rsidR="00431E0B" w:rsidRPr="00E93C5F" w:rsidRDefault="00431E0B" w:rsidP="00431E0B">
      <w:pPr>
        <w:ind w:left="9" w:right="14"/>
        <w:rPr>
          <w:szCs w:val="19"/>
        </w:rPr>
      </w:pPr>
      <w:r w:rsidRPr="00E93C5F">
        <w:rPr>
          <w:szCs w:val="19"/>
        </w:rPr>
        <w:t xml:space="preserve">Energetics (2012) </w:t>
      </w:r>
      <w:r w:rsidRPr="00E93C5F">
        <w:rPr>
          <w:rStyle w:val="BookTitle"/>
          <w:szCs w:val="19"/>
        </w:rPr>
        <w:t>Australian Steel Chain Footprint Project</w:t>
      </w:r>
      <w:r w:rsidRPr="00E93C5F">
        <w:rPr>
          <w:szCs w:val="19"/>
        </w:rPr>
        <w:t>, prepared for Steel Stewardship Forum, May</w:t>
      </w:r>
    </w:p>
    <w:p w14:paraId="56362C89" w14:textId="6BF5D283" w:rsidR="000E3CFF" w:rsidRPr="00E93C5F" w:rsidRDefault="00A6321D" w:rsidP="00431E0B">
      <w:pPr>
        <w:ind w:left="9" w:right="14"/>
        <w:rPr>
          <w:szCs w:val="19"/>
        </w:rPr>
      </w:pPr>
      <w:r w:rsidRPr="00E93C5F">
        <w:rPr>
          <w:szCs w:val="19"/>
        </w:rPr>
        <w:t>Environmen</w:t>
      </w:r>
      <w:r w:rsidR="004648CA" w:rsidRPr="00E93C5F">
        <w:rPr>
          <w:szCs w:val="19"/>
        </w:rPr>
        <w:t>t Protection Authority Victoria (2015),</w:t>
      </w:r>
      <w:r w:rsidRPr="00E93C5F">
        <w:rPr>
          <w:szCs w:val="19"/>
        </w:rPr>
        <w:t xml:space="preserve"> </w:t>
      </w:r>
      <w:r w:rsidR="004648CA" w:rsidRPr="00E93C5F">
        <w:rPr>
          <w:rStyle w:val="BookTitle"/>
          <w:szCs w:val="19"/>
        </w:rPr>
        <w:t>Best Practice Environmental Management Guideline – Siting, design, operation and rehabilitation of landfills</w:t>
      </w:r>
      <w:r w:rsidR="004648CA" w:rsidRPr="00E93C5F">
        <w:rPr>
          <w:szCs w:val="19"/>
        </w:rPr>
        <w:t xml:space="preserve"> </w:t>
      </w:r>
    </w:p>
    <w:p w14:paraId="166256C3" w14:textId="5A8609EE" w:rsidR="00431E0B" w:rsidRPr="00E93C5F" w:rsidRDefault="00431E0B" w:rsidP="00431E0B">
      <w:pPr>
        <w:ind w:left="9" w:right="14"/>
        <w:rPr>
          <w:szCs w:val="19"/>
        </w:rPr>
      </w:pPr>
      <w:r w:rsidRPr="00E93C5F">
        <w:rPr>
          <w:szCs w:val="19"/>
        </w:rPr>
        <w:t xml:space="preserve">Franklin Associates (2011) </w:t>
      </w:r>
      <w:r w:rsidRPr="00E93C5F">
        <w:rPr>
          <w:rStyle w:val="BookTitle"/>
          <w:szCs w:val="19"/>
        </w:rPr>
        <w:t>Life Cycle Inventory of 100% postconsumer HDPE and PET recycled resin from postconsumer containers and packaging</w:t>
      </w:r>
      <w:r w:rsidR="008B27DF" w:rsidRPr="00E93C5F">
        <w:rPr>
          <w:szCs w:val="19"/>
        </w:rPr>
        <w:t>, January</w:t>
      </w:r>
    </w:p>
    <w:p w14:paraId="07ECE42A" w14:textId="2F710A7B" w:rsidR="00431E0B" w:rsidRPr="00E93C5F" w:rsidRDefault="00431E0B" w:rsidP="00C057C0">
      <w:pPr>
        <w:ind w:left="9" w:right="14"/>
        <w:rPr>
          <w:szCs w:val="19"/>
        </w:rPr>
      </w:pPr>
      <w:r w:rsidRPr="00E93C5F">
        <w:rPr>
          <w:szCs w:val="19"/>
        </w:rPr>
        <w:t xml:space="preserve">Grant T (2007) </w:t>
      </w:r>
      <w:r w:rsidRPr="00E93C5F">
        <w:rPr>
          <w:rStyle w:val="BookTitle"/>
          <w:szCs w:val="19"/>
        </w:rPr>
        <w:t>Life Cycle Assessm</w:t>
      </w:r>
      <w:r w:rsidR="00C057C0" w:rsidRPr="00E93C5F">
        <w:rPr>
          <w:rStyle w:val="BookTitle"/>
          <w:szCs w:val="19"/>
        </w:rPr>
        <w:t>ent of Waste Strategy Options</w:t>
      </w:r>
      <w:r w:rsidR="00C057C0" w:rsidRPr="00E93C5F">
        <w:rPr>
          <w:szCs w:val="19"/>
        </w:rPr>
        <w:t xml:space="preserve">, </w:t>
      </w:r>
      <w:r w:rsidRPr="00E93C5F">
        <w:rPr>
          <w:szCs w:val="19"/>
        </w:rPr>
        <w:t xml:space="preserve">prepared for </w:t>
      </w:r>
      <w:r w:rsidR="000F5020" w:rsidRPr="00E93C5F">
        <w:rPr>
          <w:szCs w:val="19"/>
        </w:rPr>
        <w:t>SV</w:t>
      </w:r>
      <w:r w:rsidRPr="00E93C5F">
        <w:rPr>
          <w:szCs w:val="19"/>
        </w:rPr>
        <w:t xml:space="preserve"> by the Cent</w:t>
      </w:r>
      <w:r w:rsidR="008B27DF" w:rsidRPr="00E93C5F">
        <w:rPr>
          <w:szCs w:val="19"/>
        </w:rPr>
        <w:t>re for Design at RMIT, December</w:t>
      </w:r>
    </w:p>
    <w:p w14:paraId="25F9CC84" w14:textId="77777777" w:rsidR="00431E0B" w:rsidRPr="00E93C5F" w:rsidRDefault="00431E0B" w:rsidP="00431E0B">
      <w:pPr>
        <w:ind w:left="9" w:right="14"/>
        <w:rPr>
          <w:szCs w:val="19"/>
        </w:rPr>
      </w:pPr>
      <w:r w:rsidRPr="00E93C5F">
        <w:rPr>
          <w:szCs w:val="19"/>
        </w:rPr>
        <w:t xml:space="preserve">ICF Consulting (2006) </w:t>
      </w:r>
      <w:r w:rsidRPr="00E93C5F">
        <w:rPr>
          <w:rStyle w:val="BookTitle"/>
          <w:szCs w:val="19"/>
        </w:rPr>
        <w:t>Life-Cycle Greenhouse Gas Emission Factors for Scrap Tires</w:t>
      </w:r>
      <w:r w:rsidRPr="00E93C5F">
        <w:rPr>
          <w:szCs w:val="19"/>
        </w:rPr>
        <w:t>, May</w:t>
      </w:r>
    </w:p>
    <w:p w14:paraId="7B27B2B3" w14:textId="2B973C3F" w:rsidR="00431E0B" w:rsidRPr="00E93C5F" w:rsidRDefault="00431E0B" w:rsidP="00431E0B">
      <w:pPr>
        <w:ind w:left="9" w:right="14"/>
        <w:rPr>
          <w:szCs w:val="19"/>
        </w:rPr>
      </w:pPr>
      <w:r w:rsidRPr="00E93C5F">
        <w:rPr>
          <w:szCs w:val="19"/>
        </w:rPr>
        <w:t xml:space="preserve">Iowa State University (2008) </w:t>
      </w:r>
      <w:r w:rsidRPr="00E93C5F">
        <w:rPr>
          <w:rStyle w:val="BookTitle"/>
          <w:szCs w:val="19"/>
        </w:rPr>
        <w:t>Liquid Fuel Measurements and Conversions</w:t>
      </w:r>
      <w:r w:rsidRPr="00E93C5F">
        <w:rPr>
          <w:szCs w:val="19"/>
        </w:rPr>
        <w:t xml:space="preserve">, available from: </w:t>
      </w:r>
      <w:hyperlink r:id="rId65" w:history="1">
        <w:r w:rsidRPr="00E3650D">
          <w:rPr>
            <w:rStyle w:val="Hyperlink"/>
            <w:szCs w:val="19"/>
          </w:rPr>
          <w:t>https://www.extension.iastate.edu/ agdm/wholefarm/pdf/c6-87.pdf</w:t>
        </w:r>
      </w:hyperlink>
      <w:r w:rsidR="000F5020" w:rsidRPr="00E93C5F">
        <w:rPr>
          <w:szCs w:val="19"/>
        </w:rPr>
        <w:t xml:space="preserve"> </w:t>
      </w:r>
    </w:p>
    <w:p w14:paraId="3CFF798F" w14:textId="77777777" w:rsidR="00431E0B" w:rsidRPr="00E93C5F" w:rsidRDefault="00431E0B" w:rsidP="00431E0B">
      <w:pPr>
        <w:ind w:left="9" w:right="14"/>
        <w:rPr>
          <w:szCs w:val="19"/>
        </w:rPr>
      </w:pPr>
      <w:r w:rsidRPr="00E93C5F">
        <w:rPr>
          <w:szCs w:val="19"/>
        </w:rPr>
        <w:t xml:space="preserve">Larsen AW, Merrild H and Christensen TH (2009) Recycling of glass: accounting of greenhouse gases and global warming contributions, </w:t>
      </w:r>
      <w:r w:rsidRPr="00E93C5F">
        <w:rPr>
          <w:rStyle w:val="BookTitle"/>
          <w:szCs w:val="19"/>
        </w:rPr>
        <w:t>Waste Management and Research</w:t>
      </w:r>
      <w:r w:rsidRPr="00E93C5F">
        <w:rPr>
          <w:szCs w:val="19"/>
        </w:rPr>
        <w:t>, vol 28 issue 8, November</w:t>
      </w:r>
    </w:p>
    <w:p w14:paraId="2FE73898" w14:textId="77777777" w:rsidR="00431E0B" w:rsidRPr="00E93C5F" w:rsidRDefault="00431E0B" w:rsidP="00431E0B">
      <w:pPr>
        <w:ind w:left="9" w:right="14"/>
        <w:rPr>
          <w:szCs w:val="19"/>
        </w:rPr>
      </w:pPr>
      <w:r w:rsidRPr="00E93C5F">
        <w:rPr>
          <w:szCs w:val="19"/>
        </w:rPr>
        <w:t xml:space="preserve">Manzone M (2015) Energy consumption and CO2 analysis of different types of chippers used in wood biomass plantations, </w:t>
      </w:r>
      <w:r w:rsidRPr="00E93C5F">
        <w:rPr>
          <w:rStyle w:val="BookTitle"/>
          <w:szCs w:val="19"/>
        </w:rPr>
        <w:t>Applied Energy</w:t>
      </w:r>
      <w:r w:rsidRPr="00E93C5F">
        <w:rPr>
          <w:szCs w:val="19"/>
        </w:rPr>
        <w:t>, vol 156, pp 686-692</w:t>
      </w:r>
    </w:p>
    <w:p w14:paraId="57933F99" w14:textId="6AA3ABA2" w:rsidR="00431E0B" w:rsidRPr="00E93C5F" w:rsidRDefault="00431E0B" w:rsidP="000929D8">
      <w:pPr>
        <w:ind w:left="9" w:right="14"/>
        <w:rPr>
          <w:szCs w:val="19"/>
        </w:rPr>
      </w:pPr>
      <w:r w:rsidRPr="00E93C5F">
        <w:rPr>
          <w:szCs w:val="19"/>
        </w:rPr>
        <w:t xml:space="preserve">McDougall F, White P, Franke M </w:t>
      </w:r>
      <w:r w:rsidR="000929D8" w:rsidRPr="00E93C5F">
        <w:rPr>
          <w:szCs w:val="19"/>
        </w:rPr>
        <w:t xml:space="preserve">and Hindle P (2001) </w:t>
      </w:r>
      <w:r w:rsidR="000929D8" w:rsidRPr="00E93C5F">
        <w:rPr>
          <w:rStyle w:val="BookTitle"/>
          <w:szCs w:val="19"/>
        </w:rPr>
        <w:t xml:space="preserve">Integrated </w:t>
      </w:r>
      <w:r w:rsidR="000F5020" w:rsidRPr="00E93C5F">
        <w:rPr>
          <w:rStyle w:val="BookTitle"/>
          <w:szCs w:val="19"/>
        </w:rPr>
        <w:t>Solid Waste Management: a Lif</w:t>
      </w:r>
      <w:r w:rsidRPr="00E93C5F">
        <w:rPr>
          <w:rStyle w:val="BookTitle"/>
          <w:szCs w:val="19"/>
        </w:rPr>
        <w:t>e Cycle Inventory</w:t>
      </w:r>
      <w:r w:rsidRPr="00E93C5F">
        <w:rPr>
          <w:szCs w:val="19"/>
        </w:rPr>
        <w:t xml:space="preserve"> (second edition), Blackwell Science</w:t>
      </w:r>
    </w:p>
    <w:p w14:paraId="4C00F140" w14:textId="5C4632B9" w:rsidR="00431E0B" w:rsidRPr="00E93C5F" w:rsidRDefault="00431E0B" w:rsidP="00DE3B10">
      <w:pPr>
        <w:ind w:left="9" w:right="14"/>
        <w:rPr>
          <w:szCs w:val="19"/>
        </w:rPr>
      </w:pPr>
      <w:r w:rsidRPr="00E93C5F">
        <w:rPr>
          <w:szCs w:val="19"/>
        </w:rPr>
        <w:t xml:space="preserve">Merrild H and Christensen TH (2009) Recycling of wood for particle board: accounting of greenhouse gases and global warming contributions, </w:t>
      </w:r>
      <w:r w:rsidRPr="00E93C5F">
        <w:rPr>
          <w:rStyle w:val="BookTitle"/>
          <w:szCs w:val="19"/>
        </w:rPr>
        <w:t>Waste Management and Research,</w:t>
      </w:r>
      <w:r w:rsidRPr="00E93C5F">
        <w:rPr>
          <w:szCs w:val="19"/>
        </w:rPr>
        <w:t xml:space="preserve"> vol 28 issue 8, November</w:t>
      </w:r>
    </w:p>
    <w:p w14:paraId="5B340F52" w14:textId="77777777" w:rsidR="00431E0B" w:rsidRPr="00E93C5F" w:rsidRDefault="00431E0B" w:rsidP="00431E0B">
      <w:pPr>
        <w:ind w:left="9" w:right="14"/>
        <w:rPr>
          <w:szCs w:val="19"/>
        </w:rPr>
      </w:pPr>
      <w:r w:rsidRPr="00E93C5F">
        <w:rPr>
          <w:szCs w:val="19"/>
        </w:rPr>
        <w:t xml:space="preserve">Merrild H, Damgaard A and Christensen TH (2009) Recycling of paper: accounting of greenhouse gases and global warming contributions, </w:t>
      </w:r>
      <w:r w:rsidRPr="00E93C5F">
        <w:rPr>
          <w:rStyle w:val="BookTitle"/>
          <w:szCs w:val="19"/>
        </w:rPr>
        <w:t>Waste Management and Research</w:t>
      </w:r>
      <w:r w:rsidRPr="00E93C5F">
        <w:rPr>
          <w:szCs w:val="19"/>
        </w:rPr>
        <w:t>, vol 28 issue 8, November</w:t>
      </w:r>
    </w:p>
    <w:p w14:paraId="6DAA2AC8" w14:textId="6B58AD1C" w:rsidR="00431E0B" w:rsidRPr="00E93C5F" w:rsidRDefault="00431E0B" w:rsidP="00DE3B10">
      <w:pPr>
        <w:ind w:left="9" w:right="14"/>
        <w:rPr>
          <w:szCs w:val="19"/>
        </w:rPr>
      </w:pPr>
      <w:r w:rsidRPr="00E93C5F">
        <w:rPr>
          <w:szCs w:val="19"/>
        </w:rPr>
        <w:t>Moller J, Boldrin A and Christensen TH (2009) Anaerobic digestion and digestate use: accounting of green</w:t>
      </w:r>
      <w:r w:rsidR="00DE3B10" w:rsidRPr="00E93C5F">
        <w:rPr>
          <w:szCs w:val="19"/>
        </w:rPr>
        <w:t xml:space="preserve">house gases and global warming </w:t>
      </w:r>
      <w:r w:rsidRPr="00E93C5F">
        <w:rPr>
          <w:szCs w:val="19"/>
        </w:rPr>
        <w:t xml:space="preserve">contributions, </w:t>
      </w:r>
      <w:r w:rsidRPr="00E93C5F">
        <w:rPr>
          <w:rStyle w:val="BookTitle"/>
          <w:szCs w:val="19"/>
        </w:rPr>
        <w:t>Waste Management and Research</w:t>
      </w:r>
      <w:r w:rsidRPr="00E93C5F">
        <w:rPr>
          <w:szCs w:val="19"/>
        </w:rPr>
        <w:t>, vol 28 issue 8, November</w:t>
      </w:r>
    </w:p>
    <w:p w14:paraId="5757E564" w14:textId="1C25D0EB" w:rsidR="00431E0B" w:rsidRPr="00E93C5F" w:rsidRDefault="00431E0B" w:rsidP="00431E0B">
      <w:pPr>
        <w:rPr>
          <w:szCs w:val="19"/>
        </w:rPr>
      </w:pPr>
      <w:r w:rsidRPr="00E93C5F">
        <w:rPr>
          <w:szCs w:val="19"/>
        </w:rPr>
        <w:t>Natural Gas (2016) About Natural Gas – R</w:t>
      </w:r>
      <w:r w:rsidR="0000307E" w:rsidRPr="00E93C5F">
        <w:rPr>
          <w:szCs w:val="19"/>
        </w:rPr>
        <w:t>eference Guides, available at</w:t>
      </w:r>
      <w:r w:rsidRPr="00E93C5F">
        <w:rPr>
          <w:szCs w:val="19"/>
        </w:rPr>
        <w:t xml:space="preserve"> </w:t>
      </w:r>
      <w:hyperlink r:id="rId66" w:history="1">
        <w:r w:rsidRPr="00E93C5F">
          <w:rPr>
            <w:rStyle w:val="Hyperlink"/>
            <w:szCs w:val="19"/>
          </w:rPr>
          <w:t>http://www.natural-gas.com.au/about/references.html</w:t>
        </w:r>
      </w:hyperlink>
    </w:p>
    <w:p w14:paraId="6F16C867" w14:textId="0548BDC8" w:rsidR="00431E0B" w:rsidRPr="00E93C5F" w:rsidRDefault="00431E0B" w:rsidP="00431E0B">
      <w:pPr>
        <w:rPr>
          <w:szCs w:val="19"/>
        </w:rPr>
      </w:pPr>
      <w:r w:rsidRPr="00E93C5F">
        <w:rPr>
          <w:szCs w:val="19"/>
        </w:rPr>
        <w:t xml:space="preserve">Net Balance (2012) </w:t>
      </w:r>
      <w:r w:rsidRPr="00E93C5F">
        <w:rPr>
          <w:rStyle w:val="BookTitle"/>
          <w:szCs w:val="19"/>
        </w:rPr>
        <w:t xml:space="preserve">The Australian </w:t>
      </w:r>
      <w:r w:rsidR="00DE3B10" w:rsidRPr="00E93C5F">
        <w:rPr>
          <w:rStyle w:val="BookTitle"/>
          <w:szCs w:val="19"/>
        </w:rPr>
        <w:t>recycling sector</w:t>
      </w:r>
      <w:r w:rsidR="00DE3B10" w:rsidRPr="00E93C5F">
        <w:rPr>
          <w:szCs w:val="19"/>
        </w:rPr>
        <w:t xml:space="preserve">, prepared for </w:t>
      </w:r>
      <w:r w:rsidRPr="00E93C5F">
        <w:rPr>
          <w:szCs w:val="19"/>
        </w:rPr>
        <w:t>Department of Sustainability, Environment, Water, Population and Communities, January</w:t>
      </w:r>
    </w:p>
    <w:p w14:paraId="58131825" w14:textId="77777777" w:rsidR="00431E0B" w:rsidRPr="00E93C5F" w:rsidRDefault="00431E0B" w:rsidP="00431E0B">
      <w:pPr>
        <w:rPr>
          <w:szCs w:val="19"/>
        </w:rPr>
      </w:pPr>
      <w:r w:rsidRPr="00E93C5F">
        <w:rPr>
          <w:szCs w:val="19"/>
        </w:rPr>
        <w:t xml:space="preserve">PE Americas (2010) </w:t>
      </w:r>
      <w:r w:rsidRPr="00E93C5F">
        <w:rPr>
          <w:rStyle w:val="BookTitle"/>
          <w:szCs w:val="19"/>
        </w:rPr>
        <w:t>Life Cycle Impact Assessment of Aluminium Beverage Cans</w:t>
      </w:r>
      <w:r w:rsidRPr="00E93C5F">
        <w:rPr>
          <w:szCs w:val="19"/>
        </w:rPr>
        <w:t>, prepared for Aluminium Association Inc, May 21</w:t>
      </w:r>
    </w:p>
    <w:p w14:paraId="6F921FAD" w14:textId="77777777" w:rsidR="00431E0B" w:rsidRPr="00E93C5F" w:rsidRDefault="00431E0B" w:rsidP="00431E0B">
      <w:pPr>
        <w:rPr>
          <w:szCs w:val="19"/>
        </w:rPr>
      </w:pPr>
      <w:r w:rsidRPr="00E93C5F">
        <w:rPr>
          <w:szCs w:val="19"/>
        </w:rPr>
        <w:t xml:space="preserve">Pickin J (1996) </w:t>
      </w:r>
      <w:r w:rsidRPr="00E93C5F">
        <w:rPr>
          <w:rStyle w:val="BookTitle"/>
          <w:szCs w:val="19"/>
        </w:rPr>
        <w:t>Paper and the Greenhouse Effect: A Life Cycle Study</w:t>
      </w:r>
      <w:r w:rsidRPr="00E93C5F">
        <w:rPr>
          <w:szCs w:val="19"/>
        </w:rPr>
        <w:t>, honours thesis for the University of Melbourne</w:t>
      </w:r>
    </w:p>
    <w:p w14:paraId="53D620B0" w14:textId="3DE1341F" w:rsidR="00431E0B" w:rsidRPr="00E93C5F" w:rsidRDefault="00431E0B" w:rsidP="00431E0B">
      <w:pPr>
        <w:rPr>
          <w:szCs w:val="19"/>
        </w:rPr>
      </w:pPr>
      <w:r w:rsidRPr="00E93C5F">
        <w:rPr>
          <w:szCs w:val="19"/>
        </w:rPr>
        <w:t xml:space="preserve">Rafique RHU (2012) </w:t>
      </w:r>
      <w:r w:rsidRPr="00E93C5F">
        <w:rPr>
          <w:rStyle w:val="BookTitle"/>
          <w:szCs w:val="19"/>
        </w:rPr>
        <w:t>Life Cycle Assessment of Waste Car Tyres at Scandinavian Enviro Systems</w:t>
      </w:r>
      <w:r w:rsidR="00F36804" w:rsidRPr="00E93C5F">
        <w:rPr>
          <w:szCs w:val="19"/>
        </w:rPr>
        <w:t>, M</w:t>
      </w:r>
      <w:r w:rsidRPr="00E93C5F">
        <w:rPr>
          <w:szCs w:val="19"/>
        </w:rPr>
        <w:t>asters thesis for Chalmers University of Technology, December</w:t>
      </w:r>
    </w:p>
    <w:p w14:paraId="58B0EF0E" w14:textId="77777777" w:rsidR="00431E0B" w:rsidRPr="00E93C5F" w:rsidRDefault="00431E0B" w:rsidP="00431E0B">
      <w:pPr>
        <w:rPr>
          <w:szCs w:val="19"/>
        </w:rPr>
      </w:pPr>
      <w:r w:rsidRPr="00E93C5F">
        <w:rPr>
          <w:szCs w:val="19"/>
        </w:rPr>
        <w:t xml:space="preserve">RMIT University (2008) </w:t>
      </w:r>
      <w:r w:rsidRPr="00E93C5F">
        <w:rPr>
          <w:rStyle w:val="BookTitle"/>
          <w:szCs w:val="19"/>
        </w:rPr>
        <w:t>Life cycle comparison of crushed concrete aggregate with traditionally quarried stone aggregate</w:t>
      </w:r>
      <w:r w:rsidRPr="00E93C5F">
        <w:rPr>
          <w:szCs w:val="19"/>
        </w:rPr>
        <w:t>, prepared by Carre A and Rouwette R at the Centre for Design for Alex Fraser Group, 30 May</w:t>
      </w:r>
    </w:p>
    <w:p w14:paraId="16CFD43D" w14:textId="48991B7F" w:rsidR="00431E0B" w:rsidRPr="00E93C5F" w:rsidRDefault="00431E0B" w:rsidP="00431E0B">
      <w:pPr>
        <w:rPr>
          <w:szCs w:val="19"/>
        </w:rPr>
      </w:pPr>
      <w:r w:rsidRPr="00E93C5F">
        <w:rPr>
          <w:szCs w:val="19"/>
        </w:rPr>
        <w:t xml:space="preserve">RMIT University (2013) </w:t>
      </w:r>
      <w:r w:rsidRPr="00E93C5F">
        <w:rPr>
          <w:rStyle w:val="BookTitle"/>
          <w:szCs w:val="19"/>
        </w:rPr>
        <w:t>LCA of Kerbside Recycling in Victoria</w:t>
      </w:r>
      <w:r w:rsidRPr="00E93C5F">
        <w:rPr>
          <w:szCs w:val="19"/>
        </w:rPr>
        <w:t>: Appendix B – Inventory Report, prepared by Carre A</w:t>
      </w:r>
      <w:r w:rsidR="0000307E" w:rsidRPr="00E93C5F">
        <w:rPr>
          <w:szCs w:val="19"/>
        </w:rPr>
        <w:t>.</w:t>
      </w:r>
      <w:r w:rsidRPr="00E93C5F">
        <w:rPr>
          <w:szCs w:val="19"/>
        </w:rPr>
        <w:t xml:space="preserve"> at the Centre for Design </w:t>
      </w:r>
      <w:r w:rsidR="0000307E" w:rsidRPr="00E93C5F">
        <w:rPr>
          <w:szCs w:val="19"/>
        </w:rPr>
        <w:t xml:space="preserve">for Sustainability Victoria, </w:t>
      </w:r>
      <w:r w:rsidRPr="00E93C5F">
        <w:rPr>
          <w:szCs w:val="19"/>
        </w:rPr>
        <w:t>September</w:t>
      </w:r>
    </w:p>
    <w:p w14:paraId="3E0DEE12" w14:textId="452D10AF" w:rsidR="00431E0B" w:rsidRPr="00E93C5F" w:rsidRDefault="00431E0B" w:rsidP="00431E0B">
      <w:pPr>
        <w:rPr>
          <w:szCs w:val="19"/>
        </w:rPr>
      </w:pPr>
      <w:r w:rsidRPr="00E93C5F">
        <w:rPr>
          <w:szCs w:val="19"/>
        </w:rPr>
        <w:t xml:space="preserve">RMIT University (2015) </w:t>
      </w:r>
      <w:r w:rsidRPr="00E93C5F">
        <w:rPr>
          <w:rStyle w:val="BookTitle"/>
          <w:szCs w:val="19"/>
        </w:rPr>
        <w:t>LCA of Kerbside Recycling in Victoria</w:t>
      </w:r>
      <w:r w:rsidRPr="00E93C5F">
        <w:rPr>
          <w:szCs w:val="19"/>
        </w:rPr>
        <w:t xml:space="preserve">: Final Issue, prepared by Carre A, Crossin E and Clune S at the Centre for Design </w:t>
      </w:r>
      <w:r w:rsidR="00DE3B10" w:rsidRPr="00E93C5F">
        <w:rPr>
          <w:szCs w:val="19"/>
        </w:rPr>
        <w:t xml:space="preserve">for </w:t>
      </w:r>
      <w:r w:rsidR="00F36804" w:rsidRPr="00E93C5F">
        <w:rPr>
          <w:szCs w:val="19"/>
        </w:rPr>
        <w:t>SV</w:t>
      </w:r>
      <w:r w:rsidR="00DE3B10" w:rsidRPr="00E93C5F">
        <w:rPr>
          <w:szCs w:val="19"/>
        </w:rPr>
        <w:t xml:space="preserve">, </w:t>
      </w:r>
      <w:r w:rsidRPr="00E93C5F">
        <w:rPr>
          <w:szCs w:val="19"/>
        </w:rPr>
        <w:t>October</w:t>
      </w:r>
    </w:p>
    <w:p w14:paraId="3772EE13" w14:textId="77B46C96" w:rsidR="00431E0B" w:rsidRPr="00E93C5F" w:rsidRDefault="00431E0B" w:rsidP="00431E0B">
      <w:pPr>
        <w:rPr>
          <w:szCs w:val="19"/>
        </w:rPr>
      </w:pPr>
      <w:r w:rsidRPr="00E93C5F">
        <w:rPr>
          <w:szCs w:val="19"/>
        </w:rPr>
        <w:t xml:space="preserve">Rodrigue JP, Comtois C and Slack B (2013) </w:t>
      </w:r>
      <w:r w:rsidRPr="00E93C5F">
        <w:rPr>
          <w:rStyle w:val="BookTitle"/>
          <w:szCs w:val="19"/>
        </w:rPr>
        <w:t>The geography of tra</w:t>
      </w:r>
      <w:r w:rsidR="009E39BB" w:rsidRPr="00E93C5F">
        <w:rPr>
          <w:rStyle w:val="BookTitle"/>
          <w:szCs w:val="19"/>
        </w:rPr>
        <w:t>nsport systems</w:t>
      </w:r>
      <w:r w:rsidR="0000307E" w:rsidRPr="00E93C5F">
        <w:rPr>
          <w:szCs w:val="19"/>
        </w:rPr>
        <w:t xml:space="preserve">, available at </w:t>
      </w:r>
      <w:hyperlink r:id="rId67" w:history="1">
        <w:r w:rsidR="0000307E" w:rsidRPr="00E93C5F">
          <w:rPr>
            <w:rStyle w:val="Hyperlink"/>
            <w:szCs w:val="19"/>
          </w:rPr>
          <w:t>https://people.hofstra.edu/geotrans/eng/ch8en/conc8en/fuel_consumption_containerships.html</w:t>
        </w:r>
      </w:hyperlink>
      <w:r w:rsidR="0000307E" w:rsidRPr="00E93C5F">
        <w:rPr>
          <w:szCs w:val="19"/>
        </w:rPr>
        <w:t xml:space="preserve"> </w:t>
      </w:r>
    </w:p>
    <w:p w14:paraId="4F2417F5" w14:textId="4524B46B" w:rsidR="00431E0B" w:rsidRPr="00E93C5F" w:rsidRDefault="009E39BB" w:rsidP="00431E0B">
      <w:pPr>
        <w:rPr>
          <w:szCs w:val="19"/>
        </w:rPr>
      </w:pPr>
      <w:r w:rsidRPr="00E93C5F">
        <w:rPr>
          <w:szCs w:val="19"/>
        </w:rPr>
        <w:t>Recycled Organics Unit</w:t>
      </w:r>
      <w:r w:rsidR="00431E0B" w:rsidRPr="00E93C5F">
        <w:rPr>
          <w:szCs w:val="19"/>
        </w:rPr>
        <w:t xml:space="preserve"> of the University of NSW</w:t>
      </w:r>
      <w:r w:rsidR="00187FE8">
        <w:rPr>
          <w:szCs w:val="19"/>
        </w:rPr>
        <w:t xml:space="preserve"> (</w:t>
      </w:r>
      <w:r w:rsidR="00431E0B" w:rsidRPr="00E93C5F">
        <w:rPr>
          <w:szCs w:val="19"/>
        </w:rPr>
        <w:t xml:space="preserve">2001) </w:t>
      </w:r>
      <w:r w:rsidR="00431E0B" w:rsidRPr="00E93C5F">
        <w:rPr>
          <w:rStyle w:val="BookTitle"/>
          <w:szCs w:val="19"/>
        </w:rPr>
        <w:t>Greenhouse Gas Emissions from Composting Facilities</w:t>
      </w:r>
      <w:r w:rsidR="00431E0B" w:rsidRPr="00E93C5F">
        <w:rPr>
          <w:szCs w:val="19"/>
        </w:rPr>
        <w:t>, prepared for t</w:t>
      </w:r>
      <w:r w:rsidR="0000307E" w:rsidRPr="00E93C5F">
        <w:rPr>
          <w:szCs w:val="19"/>
        </w:rPr>
        <w:t xml:space="preserve">he Central Coast Waste Board, </w:t>
      </w:r>
      <w:r w:rsidR="00431E0B" w:rsidRPr="00E93C5F">
        <w:rPr>
          <w:szCs w:val="19"/>
        </w:rPr>
        <w:t>September</w:t>
      </w:r>
    </w:p>
    <w:p w14:paraId="3B8A49E4" w14:textId="46F8EBF4" w:rsidR="00431E0B" w:rsidRPr="00E93C5F" w:rsidRDefault="00DE3B10" w:rsidP="00431E0B">
      <w:pPr>
        <w:rPr>
          <w:szCs w:val="19"/>
        </w:rPr>
      </w:pPr>
      <w:r w:rsidRPr="00E93C5F">
        <w:rPr>
          <w:szCs w:val="19"/>
        </w:rPr>
        <w:t xml:space="preserve">Recycled Organics Unit </w:t>
      </w:r>
      <w:r w:rsidR="004648CA" w:rsidRPr="00E93C5F">
        <w:rPr>
          <w:szCs w:val="19"/>
        </w:rPr>
        <w:t>of the University of NSW (</w:t>
      </w:r>
      <w:r w:rsidR="00431E0B" w:rsidRPr="00E93C5F">
        <w:rPr>
          <w:szCs w:val="19"/>
        </w:rPr>
        <w:t xml:space="preserve">2003) </w:t>
      </w:r>
      <w:r w:rsidR="00431E0B" w:rsidRPr="00E93C5F">
        <w:rPr>
          <w:rStyle w:val="BookTitle"/>
          <w:szCs w:val="19"/>
        </w:rPr>
        <w:t>Life Cycle Inventory and Life Cycle Assessment for Windrow Composting Systems</w:t>
      </w:r>
      <w:r w:rsidR="00431E0B" w:rsidRPr="00E93C5F">
        <w:rPr>
          <w:szCs w:val="19"/>
        </w:rPr>
        <w:t>, prepared for the NSW Department of Environment and Conservation, October</w:t>
      </w:r>
    </w:p>
    <w:p w14:paraId="28034034" w14:textId="7BEB21CF" w:rsidR="00431E0B" w:rsidRPr="00E93C5F" w:rsidRDefault="00DE3B10" w:rsidP="00431E0B">
      <w:pPr>
        <w:rPr>
          <w:szCs w:val="19"/>
        </w:rPr>
      </w:pPr>
      <w:r w:rsidRPr="00E93C5F">
        <w:rPr>
          <w:szCs w:val="19"/>
        </w:rPr>
        <w:t>Recycled Organics Unit</w:t>
      </w:r>
      <w:r w:rsidR="00431E0B" w:rsidRPr="00E93C5F">
        <w:rPr>
          <w:szCs w:val="19"/>
        </w:rPr>
        <w:t xml:space="preserve"> </w:t>
      </w:r>
      <w:r w:rsidR="004648CA" w:rsidRPr="00E93C5F">
        <w:rPr>
          <w:szCs w:val="19"/>
        </w:rPr>
        <w:t>of the University of NSW (</w:t>
      </w:r>
      <w:r w:rsidR="009E39BB" w:rsidRPr="00E93C5F">
        <w:rPr>
          <w:szCs w:val="19"/>
        </w:rPr>
        <w:t>2006)</w:t>
      </w:r>
      <w:r w:rsidRPr="00E93C5F">
        <w:rPr>
          <w:szCs w:val="19"/>
        </w:rPr>
        <w:t xml:space="preserve"> </w:t>
      </w:r>
      <w:r w:rsidR="00431E0B" w:rsidRPr="00E93C5F">
        <w:rPr>
          <w:rStyle w:val="BookTitle"/>
          <w:szCs w:val="19"/>
        </w:rPr>
        <w:t>Life Cycle Inventory and Life Cycle Assessment for Windrow Composting Systems</w:t>
      </w:r>
      <w:r w:rsidR="00431E0B" w:rsidRPr="00E93C5F">
        <w:rPr>
          <w:szCs w:val="19"/>
        </w:rPr>
        <w:t>, prepared for the NSW Department of Environment and Conservation, September</w:t>
      </w:r>
    </w:p>
    <w:p w14:paraId="074E1EF6" w14:textId="12E7F962" w:rsidR="00431E0B" w:rsidRPr="00E93C5F" w:rsidRDefault="00431E0B" w:rsidP="00431E0B">
      <w:pPr>
        <w:rPr>
          <w:szCs w:val="19"/>
        </w:rPr>
      </w:pPr>
      <w:r w:rsidRPr="00E93C5F">
        <w:rPr>
          <w:szCs w:val="19"/>
        </w:rPr>
        <w:t>Smith A, Brown K, Ogilvie S</w:t>
      </w:r>
      <w:r w:rsidR="00DE3B10" w:rsidRPr="00E93C5F">
        <w:rPr>
          <w:szCs w:val="19"/>
        </w:rPr>
        <w:t xml:space="preserve">, Rushton K and Bates J (2001) </w:t>
      </w:r>
      <w:r w:rsidRPr="00E93C5F">
        <w:rPr>
          <w:rStyle w:val="BookTitle"/>
          <w:szCs w:val="19"/>
        </w:rPr>
        <w:t>Waste Management Options and Climate Change</w:t>
      </w:r>
      <w:r w:rsidRPr="00E93C5F">
        <w:rPr>
          <w:szCs w:val="19"/>
        </w:rPr>
        <w:t xml:space="preserve">. Prepared by AEA Technology for the European Commission, DG Environment, Luxembourg, </w:t>
      </w:r>
      <w:hyperlink r:id="rId68" w:history="1">
        <w:r w:rsidR="00DE3B10" w:rsidRPr="00E93C5F">
          <w:rPr>
            <w:rStyle w:val="Hyperlink"/>
            <w:szCs w:val="19"/>
          </w:rPr>
          <w:t>http://ec.europa.eu/environment/waste/studies/climate_change.htm</w:t>
        </w:r>
      </w:hyperlink>
      <w:r w:rsidR="00DE3B10" w:rsidRPr="00E93C5F">
        <w:rPr>
          <w:szCs w:val="19"/>
        </w:rPr>
        <w:t xml:space="preserve"> </w:t>
      </w:r>
      <w:r w:rsidRPr="00E93C5F">
        <w:rPr>
          <w:szCs w:val="19"/>
        </w:rPr>
        <w:t>.</w:t>
      </w:r>
    </w:p>
    <w:p w14:paraId="5B067964" w14:textId="36E9EDC7" w:rsidR="00431E0B" w:rsidRPr="00E93C5F" w:rsidRDefault="00431E0B" w:rsidP="00431E0B">
      <w:pPr>
        <w:rPr>
          <w:szCs w:val="19"/>
        </w:rPr>
      </w:pPr>
      <w:r w:rsidRPr="00E93C5F">
        <w:rPr>
          <w:szCs w:val="19"/>
        </w:rPr>
        <w:t>Song Q, Wang Z, Li J and Zeng X (2013) The life cycle assessment of an e-waste treatment enterprise</w:t>
      </w:r>
      <w:r w:rsidR="00DE3B10" w:rsidRPr="00E93C5F">
        <w:rPr>
          <w:szCs w:val="19"/>
        </w:rPr>
        <w:t xml:space="preserve"> </w:t>
      </w:r>
      <w:r w:rsidRPr="00E93C5F">
        <w:rPr>
          <w:szCs w:val="19"/>
        </w:rPr>
        <w:t>in China, The 7th International Conference on Waste Management</w:t>
      </w:r>
      <w:r w:rsidR="00DE3B10" w:rsidRPr="00E93C5F">
        <w:rPr>
          <w:szCs w:val="19"/>
        </w:rPr>
        <w:t xml:space="preserve"> </w:t>
      </w:r>
      <w:r w:rsidRPr="00E93C5F">
        <w:rPr>
          <w:szCs w:val="19"/>
        </w:rPr>
        <w:t xml:space="preserve">and Technology (ICWMT) 2012, published in </w:t>
      </w:r>
      <w:r w:rsidRPr="00E93C5F">
        <w:rPr>
          <w:rStyle w:val="BookTitle"/>
          <w:szCs w:val="19"/>
        </w:rPr>
        <w:t>Journal of Material Cycles and Waste Management</w:t>
      </w:r>
      <w:r w:rsidR="0000307E" w:rsidRPr="00E93C5F">
        <w:rPr>
          <w:szCs w:val="19"/>
        </w:rPr>
        <w:t>, May</w:t>
      </w:r>
      <w:r w:rsidRPr="00E93C5F">
        <w:rPr>
          <w:szCs w:val="19"/>
        </w:rPr>
        <w:t>.</w:t>
      </w:r>
    </w:p>
    <w:p w14:paraId="1C2764C1" w14:textId="38582A0B" w:rsidR="00431E0B" w:rsidRPr="00E93C5F" w:rsidRDefault="00431E0B" w:rsidP="00431E0B">
      <w:pPr>
        <w:rPr>
          <w:szCs w:val="19"/>
        </w:rPr>
      </w:pPr>
      <w:r w:rsidRPr="00E93C5F">
        <w:rPr>
          <w:szCs w:val="19"/>
        </w:rPr>
        <w:t>SRU (2013) A</w:t>
      </w:r>
      <w:r w:rsidRPr="00E93C5F">
        <w:rPr>
          <w:rStyle w:val="BookTitle"/>
          <w:szCs w:val="19"/>
        </w:rPr>
        <w:t>ssessment of recycling infrastructure: current status and future opportunities</w:t>
      </w:r>
      <w:r w:rsidRPr="00E93C5F">
        <w:rPr>
          <w:szCs w:val="19"/>
        </w:rPr>
        <w:t xml:space="preserve"> (final project report), prepared for Australi</w:t>
      </w:r>
      <w:r w:rsidR="00DE3B10" w:rsidRPr="00E93C5F">
        <w:rPr>
          <w:szCs w:val="19"/>
        </w:rPr>
        <w:t xml:space="preserve">an </w:t>
      </w:r>
      <w:r w:rsidRPr="00E93C5F">
        <w:rPr>
          <w:szCs w:val="19"/>
        </w:rPr>
        <w:t xml:space="preserve">Packaging Covenant, </w:t>
      </w:r>
      <w:r w:rsidR="0000307E" w:rsidRPr="00E93C5F">
        <w:rPr>
          <w:szCs w:val="19"/>
        </w:rPr>
        <w:t>April</w:t>
      </w:r>
    </w:p>
    <w:p w14:paraId="2E50F4B7" w14:textId="374DCEFB" w:rsidR="00431E0B" w:rsidRPr="00E93C5F" w:rsidRDefault="00431E0B" w:rsidP="00431E0B">
      <w:pPr>
        <w:rPr>
          <w:szCs w:val="19"/>
        </w:rPr>
      </w:pPr>
      <w:r w:rsidRPr="00E93C5F">
        <w:rPr>
          <w:szCs w:val="19"/>
        </w:rPr>
        <w:t xml:space="preserve">Sustainability Victoria </w:t>
      </w:r>
      <w:r w:rsidR="009A625F" w:rsidRPr="00E93C5F">
        <w:rPr>
          <w:szCs w:val="19"/>
        </w:rPr>
        <w:t>(</w:t>
      </w:r>
      <w:r w:rsidRPr="00E93C5F">
        <w:rPr>
          <w:szCs w:val="19"/>
        </w:rPr>
        <w:t xml:space="preserve">undated) </w:t>
      </w:r>
      <w:r w:rsidRPr="00E93C5F">
        <w:rPr>
          <w:rStyle w:val="BookTitle"/>
          <w:szCs w:val="19"/>
        </w:rPr>
        <w:t>Victorian municipal solid waste transport impact analysis</w:t>
      </w:r>
      <w:r w:rsidRPr="00E93C5F">
        <w:rPr>
          <w:szCs w:val="19"/>
        </w:rPr>
        <w:t xml:space="preserve"> – DRAFT</w:t>
      </w:r>
    </w:p>
    <w:p w14:paraId="72C8D796" w14:textId="048B65DE" w:rsidR="00431E0B" w:rsidRPr="00E93C5F" w:rsidRDefault="00431E0B" w:rsidP="00431E0B">
      <w:pPr>
        <w:rPr>
          <w:szCs w:val="19"/>
        </w:rPr>
      </w:pPr>
      <w:r w:rsidRPr="00E93C5F">
        <w:rPr>
          <w:szCs w:val="19"/>
        </w:rPr>
        <w:t xml:space="preserve">Sustainability Victoria </w:t>
      </w:r>
      <w:r w:rsidR="009A625F" w:rsidRPr="00E93C5F">
        <w:rPr>
          <w:szCs w:val="19"/>
        </w:rPr>
        <w:t>(</w:t>
      </w:r>
      <w:r w:rsidRPr="00E93C5F">
        <w:rPr>
          <w:szCs w:val="19"/>
        </w:rPr>
        <w:t xml:space="preserve">2014) Fact sheet: Market summary – </w:t>
      </w:r>
      <w:r w:rsidR="00E93C5F" w:rsidRPr="00E93C5F">
        <w:rPr>
          <w:szCs w:val="19"/>
        </w:rPr>
        <w:t xml:space="preserve">recycled glass, available at </w:t>
      </w:r>
      <w:hyperlink r:id="rId69" w:history="1">
        <w:r w:rsidR="00E93C5F" w:rsidRPr="00E93C5F">
          <w:rPr>
            <w:rStyle w:val="Hyperlink"/>
            <w:szCs w:val="19"/>
          </w:rPr>
          <w:t>www.sustainability.vic.gov.au</w:t>
        </w:r>
      </w:hyperlink>
    </w:p>
    <w:p w14:paraId="1E037DCB" w14:textId="2EC99AB8" w:rsidR="00431E0B" w:rsidRPr="00E93C5F" w:rsidRDefault="00431E0B" w:rsidP="00431E0B">
      <w:pPr>
        <w:rPr>
          <w:szCs w:val="19"/>
        </w:rPr>
      </w:pPr>
      <w:r w:rsidRPr="00E93C5F">
        <w:rPr>
          <w:szCs w:val="19"/>
        </w:rPr>
        <w:t xml:space="preserve">Sustainability Victoria </w:t>
      </w:r>
      <w:r w:rsidR="009A625F" w:rsidRPr="00E93C5F">
        <w:rPr>
          <w:szCs w:val="19"/>
        </w:rPr>
        <w:t>(</w:t>
      </w:r>
      <w:r w:rsidRPr="00E93C5F">
        <w:rPr>
          <w:szCs w:val="19"/>
        </w:rPr>
        <w:t xml:space="preserve">2015) </w:t>
      </w:r>
      <w:r w:rsidRPr="00E93C5F">
        <w:rPr>
          <w:rStyle w:val="BookTitle"/>
          <w:szCs w:val="19"/>
        </w:rPr>
        <w:t>Victorian local government annual survey 2012-13</w:t>
      </w:r>
      <w:r w:rsidR="00984E44" w:rsidRPr="00E93C5F">
        <w:rPr>
          <w:szCs w:val="19"/>
        </w:rPr>
        <w:t>, available at</w:t>
      </w:r>
      <w:r w:rsidRPr="00E93C5F">
        <w:rPr>
          <w:szCs w:val="19"/>
        </w:rPr>
        <w:t xml:space="preserve"> </w:t>
      </w:r>
      <w:hyperlink r:id="rId70" w:history="1">
        <w:r w:rsidR="00E93C5F" w:rsidRPr="00E93C5F">
          <w:rPr>
            <w:rStyle w:val="Hyperlink"/>
            <w:szCs w:val="19"/>
          </w:rPr>
          <w:t>www.sustainability.vic.gov.au</w:t>
        </w:r>
      </w:hyperlink>
    </w:p>
    <w:p w14:paraId="06FDA898" w14:textId="2C714484" w:rsidR="00431E0B" w:rsidRPr="00E93C5F" w:rsidRDefault="00431E0B" w:rsidP="00431E0B">
      <w:pPr>
        <w:rPr>
          <w:szCs w:val="19"/>
        </w:rPr>
      </w:pPr>
      <w:r w:rsidRPr="00E93C5F">
        <w:rPr>
          <w:szCs w:val="19"/>
        </w:rPr>
        <w:t xml:space="preserve">Sustainability Victoria </w:t>
      </w:r>
      <w:r w:rsidR="009A625F" w:rsidRPr="00E93C5F">
        <w:rPr>
          <w:szCs w:val="19"/>
        </w:rPr>
        <w:t>(</w:t>
      </w:r>
      <w:r w:rsidRPr="00E93C5F">
        <w:rPr>
          <w:szCs w:val="19"/>
        </w:rPr>
        <w:t>2015b) Investment factsheet: En</w:t>
      </w:r>
      <w:r w:rsidR="00E93C5F" w:rsidRPr="00E93C5F">
        <w:rPr>
          <w:szCs w:val="19"/>
        </w:rPr>
        <w:t xml:space="preserve">d-of-life tyre, available at </w:t>
      </w:r>
      <w:hyperlink r:id="rId71" w:history="1">
        <w:r w:rsidR="00E93C5F" w:rsidRPr="00E93C5F">
          <w:rPr>
            <w:rStyle w:val="Hyperlink"/>
            <w:szCs w:val="19"/>
          </w:rPr>
          <w:t>www.sustainability.vic.gov.au</w:t>
        </w:r>
      </w:hyperlink>
    </w:p>
    <w:p w14:paraId="4C398C82" w14:textId="44B76DE3" w:rsidR="00431E0B" w:rsidRPr="00E93C5F" w:rsidRDefault="00431E0B" w:rsidP="00431E0B">
      <w:pPr>
        <w:rPr>
          <w:szCs w:val="19"/>
        </w:rPr>
      </w:pPr>
      <w:r w:rsidRPr="00E93C5F">
        <w:rPr>
          <w:szCs w:val="19"/>
        </w:rPr>
        <w:t xml:space="preserve">Sustainability Victoria (2015c) </w:t>
      </w:r>
      <w:r w:rsidR="00DE3B10" w:rsidRPr="00E93C5F">
        <w:rPr>
          <w:szCs w:val="19"/>
        </w:rPr>
        <w:t>Investment</w:t>
      </w:r>
      <w:r w:rsidRPr="00E93C5F">
        <w:rPr>
          <w:szCs w:val="19"/>
        </w:rPr>
        <w:t xml:space="preserve"> factsheet: Textile waste</w:t>
      </w:r>
    </w:p>
    <w:p w14:paraId="56D04765" w14:textId="2064EA8F" w:rsidR="00431E0B" w:rsidRPr="00E93C5F" w:rsidRDefault="00431E0B" w:rsidP="00431E0B">
      <w:pPr>
        <w:rPr>
          <w:szCs w:val="19"/>
        </w:rPr>
      </w:pPr>
      <w:r w:rsidRPr="00E93C5F">
        <w:rPr>
          <w:szCs w:val="19"/>
        </w:rPr>
        <w:t>Sustainability Victoria (2015d)</w:t>
      </w:r>
      <w:r w:rsidR="009A625F" w:rsidRPr="00E93C5F">
        <w:rPr>
          <w:szCs w:val="19"/>
        </w:rPr>
        <w:t>,</w:t>
      </w:r>
      <w:r w:rsidRPr="00E93C5F">
        <w:rPr>
          <w:szCs w:val="19"/>
        </w:rPr>
        <w:t xml:space="preserve"> Regional Waste Resource Recovery Database </w:t>
      </w:r>
    </w:p>
    <w:p w14:paraId="0F4FC450" w14:textId="16CC3996" w:rsidR="00431E0B" w:rsidRPr="00E93C5F" w:rsidRDefault="00431E0B" w:rsidP="00431E0B">
      <w:pPr>
        <w:rPr>
          <w:szCs w:val="19"/>
        </w:rPr>
      </w:pPr>
      <w:r w:rsidRPr="00E93C5F">
        <w:rPr>
          <w:szCs w:val="19"/>
        </w:rPr>
        <w:t xml:space="preserve">Sustainability Victoria (2015e) </w:t>
      </w:r>
      <w:r w:rsidRPr="00E93C5F">
        <w:rPr>
          <w:rStyle w:val="BookTitle"/>
          <w:szCs w:val="19"/>
        </w:rPr>
        <w:t>Statewide Waste and Resource Recovery Infrastructure Plan</w:t>
      </w:r>
      <w:r w:rsidR="009361C3" w:rsidRPr="00E93C5F">
        <w:rPr>
          <w:szCs w:val="19"/>
        </w:rPr>
        <w:t xml:space="preserve"> </w:t>
      </w:r>
      <w:r w:rsidRPr="00E93C5F">
        <w:rPr>
          <w:szCs w:val="19"/>
        </w:rPr>
        <w:t xml:space="preserve">- </w:t>
      </w:r>
      <w:r w:rsidR="00DE3B10" w:rsidRPr="00E93C5F">
        <w:rPr>
          <w:szCs w:val="19"/>
        </w:rPr>
        <w:t>Victoria</w:t>
      </w:r>
      <w:r w:rsidR="00BE3459" w:rsidRPr="00E93C5F">
        <w:rPr>
          <w:szCs w:val="19"/>
        </w:rPr>
        <w:t xml:space="preserve"> 2015-44.</w:t>
      </w:r>
    </w:p>
    <w:p w14:paraId="2B9D8C00" w14:textId="39FF9183" w:rsidR="009361C3" w:rsidRPr="00E93C5F" w:rsidRDefault="009361C3" w:rsidP="00431E0B">
      <w:pPr>
        <w:rPr>
          <w:szCs w:val="19"/>
        </w:rPr>
      </w:pPr>
      <w:r w:rsidRPr="00E93C5F">
        <w:rPr>
          <w:szCs w:val="19"/>
        </w:rPr>
        <w:t xml:space="preserve">Sustainability Victoria (2018) </w:t>
      </w:r>
      <w:r w:rsidRPr="00E93C5F">
        <w:rPr>
          <w:rStyle w:val="BookTitle"/>
          <w:szCs w:val="19"/>
        </w:rPr>
        <w:t>Statewide Waste and Resource Recovery Infrastructure Plan</w:t>
      </w:r>
      <w:r w:rsidR="0000307E" w:rsidRPr="00E93C5F">
        <w:rPr>
          <w:szCs w:val="19"/>
        </w:rPr>
        <w:t xml:space="preserve">, available at </w:t>
      </w:r>
      <w:hyperlink r:id="rId72" w:history="1">
        <w:r w:rsidR="0000307E" w:rsidRPr="00E93C5F">
          <w:rPr>
            <w:rStyle w:val="Hyperlink"/>
            <w:szCs w:val="19"/>
          </w:rPr>
          <w:t>https://www.sustainability.vic.gov.au/About-us/What-we-do/Strategy-and-planning/Statewide-Waste-and-Resource-Recovery-Infrastructure-Plan</w:t>
        </w:r>
      </w:hyperlink>
      <w:r w:rsidR="0000307E" w:rsidRPr="00E93C5F">
        <w:rPr>
          <w:szCs w:val="19"/>
        </w:rPr>
        <w:t xml:space="preserve"> </w:t>
      </w:r>
    </w:p>
    <w:p w14:paraId="2FE63C43" w14:textId="6D51B44B" w:rsidR="00E93C5F" w:rsidRPr="00E93C5F" w:rsidRDefault="00431E0B" w:rsidP="00431E0B">
      <w:pPr>
        <w:rPr>
          <w:szCs w:val="19"/>
        </w:rPr>
      </w:pPr>
      <w:r w:rsidRPr="00E93C5F">
        <w:rPr>
          <w:szCs w:val="19"/>
        </w:rPr>
        <w:t xml:space="preserve">Sustainability Victoria (2015f) </w:t>
      </w:r>
      <w:r w:rsidRPr="00E93C5F">
        <w:rPr>
          <w:rStyle w:val="BookTitle"/>
          <w:szCs w:val="19"/>
        </w:rPr>
        <w:t>Victorian Recycling Industries Annual Survey 2013-14</w:t>
      </w:r>
      <w:r w:rsidR="00984E44" w:rsidRPr="00E93C5F">
        <w:rPr>
          <w:szCs w:val="19"/>
        </w:rPr>
        <w:t>, available at</w:t>
      </w:r>
      <w:r w:rsidRPr="00E93C5F">
        <w:rPr>
          <w:szCs w:val="19"/>
        </w:rPr>
        <w:t xml:space="preserve"> </w:t>
      </w:r>
      <w:hyperlink r:id="rId73" w:history="1">
        <w:r w:rsidR="00E93C5F" w:rsidRPr="00E93C5F">
          <w:rPr>
            <w:rStyle w:val="Hyperlink"/>
            <w:szCs w:val="19"/>
          </w:rPr>
          <w:t>www.sustainability.vic.gov.au</w:t>
        </w:r>
      </w:hyperlink>
    </w:p>
    <w:p w14:paraId="11B9D6DE" w14:textId="5EC39E45" w:rsidR="00431E0B" w:rsidRPr="00E93C5F" w:rsidRDefault="00431E0B" w:rsidP="00431E0B">
      <w:pPr>
        <w:rPr>
          <w:szCs w:val="19"/>
        </w:rPr>
      </w:pPr>
      <w:r w:rsidRPr="00E93C5F">
        <w:rPr>
          <w:szCs w:val="19"/>
        </w:rPr>
        <w:t>US EPA (</w:t>
      </w:r>
      <w:r w:rsidR="00EE3299" w:rsidRPr="00E93C5F">
        <w:rPr>
          <w:szCs w:val="19"/>
        </w:rPr>
        <w:t xml:space="preserve">1998) </w:t>
      </w:r>
      <w:r w:rsidR="00EE3299" w:rsidRPr="00E93C5F">
        <w:rPr>
          <w:rStyle w:val="BookTitle"/>
          <w:szCs w:val="19"/>
        </w:rPr>
        <w:t>Greenhouse Gas Emissions f</w:t>
      </w:r>
      <w:r w:rsidRPr="00E93C5F">
        <w:rPr>
          <w:rStyle w:val="BookTitle"/>
          <w:szCs w:val="19"/>
        </w:rPr>
        <w:t>rom Management of Selected Materials in Municipal Solid Waste</w:t>
      </w:r>
      <w:r w:rsidRPr="00E93C5F">
        <w:rPr>
          <w:szCs w:val="19"/>
        </w:rPr>
        <w:t>. Background Document A, Attachment 1: A Partial Life Cycle Inventory of Process and Transportation Energy for Boxboard and Paper Towels, prepared by Franklin Associates</w:t>
      </w:r>
    </w:p>
    <w:p w14:paraId="2174C93C" w14:textId="764B0AEA" w:rsidR="00431E0B" w:rsidRPr="00E93C5F" w:rsidRDefault="00431E0B" w:rsidP="00431E0B">
      <w:pPr>
        <w:rPr>
          <w:szCs w:val="19"/>
        </w:rPr>
      </w:pPr>
      <w:r w:rsidRPr="00E93C5F">
        <w:rPr>
          <w:szCs w:val="19"/>
        </w:rPr>
        <w:t xml:space="preserve">US EPA (2010) </w:t>
      </w:r>
      <w:r w:rsidRPr="00E93C5F">
        <w:rPr>
          <w:rStyle w:val="BookTitle"/>
          <w:szCs w:val="19"/>
        </w:rPr>
        <w:t xml:space="preserve">Energy Efficiency Improvement and Cost </w:t>
      </w:r>
      <w:r w:rsidR="0000307E" w:rsidRPr="00E93C5F">
        <w:rPr>
          <w:rStyle w:val="BookTitle"/>
          <w:szCs w:val="19"/>
        </w:rPr>
        <w:t>Saving Opportunities for the U.S</w:t>
      </w:r>
      <w:r w:rsidRPr="00E93C5F">
        <w:rPr>
          <w:rStyle w:val="BookTitle"/>
          <w:szCs w:val="19"/>
        </w:rPr>
        <w:t>. Iron and Steel Industry: An ENERGY STAR guide for Energy and Plant Managers</w:t>
      </w:r>
      <w:r w:rsidRPr="00E93C5F">
        <w:rPr>
          <w:szCs w:val="19"/>
        </w:rPr>
        <w:t>, October</w:t>
      </w:r>
    </w:p>
    <w:p w14:paraId="1EF0A61F" w14:textId="6C645E8D" w:rsidR="00431E0B" w:rsidRPr="00E93C5F" w:rsidRDefault="00431E0B" w:rsidP="00431E0B">
      <w:pPr>
        <w:rPr>
          <w:szCs w:val="19"/>
        </w:rPr>
      </w:pPr>
      <w:r w:rsidRPr="00E93C5F">
        <w:rPr>
          <w:szCs w:val="19"/>
        </w:rPr>
        <w:t xml:space="preserve">US EPA (2015) </w:t>
      </w:r>
      <w:r w:rsidRPr="00E93C5F">
        <w:rPr>
          <w:rStyle w:val="BookTitle"/>
          <w:szCs w:val="19"/>
        </w:rPr>
        <w:t>Documentation f</w:t>
      </w:r>
      <w:r w:rsidR="00DE3B10" w:rsidRPr="00E93C5F">
        <w:rPr>
          <w:rStyle w:val="BookTitle"/>
          <w:szCs w:val="19"/>
        </w:rPr>
        <w:t xml:space="preserve">or Greenhouse Gas Emission and </w:t>
      </w:r>
      <w:r w:rsidRPr="00E93C5F">
        <w:rPr>
          <w:rStyle w:val="BookTitle"/>
          <w:szCs w:val="19"/>
        </w:rPr>
        <w:t>Energy Factors Used in the Waste Reduction Model</w:t>
      </w:r>
      <w:r w:rsidRPr="00E93C5F">
        <w:rPr>
          <w:szCs w:val="19"/>
        </w:rPr>
        <w:t xml:space="preserve"> (WARM), March</w:t>
      </w:r>
    </w:p>
    <w:p w14:paraId="1121ADEF" w14:textId="77777777" w:rsidR="00431E0B" w:rsidRPr="00E93C5F" w:rsidRDefault="00431E0B" w:rsidP="00431E0B">
      <w:pPr>
        <w:rPr>
          <w:szCs w:val="19"/>
        </w:rPr>
      </w:pPr>
      <w:r w:rsidRPr="00E93C5F">
        <w:rPr>
          <w:szCs w:val="19"/>
        </w:rPr>
        <w:t xml:space="preserve">Woolridge AC, Ward GD, Phillips PS, Collins M and Gandy S (2005) Life cycle assessment for reused/recycling of donated waste textiles compared to use of virgin material: An UK energy saving perspective, </w:t>
      </w:r>
      <w:r w:rsidRPr="00E93C5F">
        <w:rPr>
          <w:rStyle w:val="BookTitle"/>
          <w:szCs w:val="19"/>
        </w:rPr>
        <w:t>Resources, Conservation and Recycling</w:t>
      </w:r>
      <w:r w:rsidRPr="00E93C5F">
        <w:rPr>
          <w:szCs w:val="19"/>
        </w:rPr>
        <w:t>: 46, 94–103</w:t>
      </w:r>
    </w:p>
    <w:p w14:paraId="4CC1AC6A" w14:textId="38760B4E" w:rsidR="00431E0B" w:rsidRPr="00E93C5F" w:rsidRDefault="00431E0B" w:rsidP="00431E0B">
      <w:pPr>
        <w:rPr>
          <w:szCs w:val="19"/>
        </w:rPr>
      </w:pPr>
      <w:r w:rsidRPr="00E93C5F">
        <w:rPr>
          <w:szCs w:val="19"/>
        </w:rPr>
        <w:t xml:space="preserve">WYG (2012) </w:t>
      </w:r>
      <w:r w:rsidRPr="00E93C5F">
        <w:rPr>
          <w:rStyle w:val="BookTitle"/>
          <w:szCs w:val="19"/>
        </w:rPr>
        <w:t>Review of Kerbside Recycl</w:t>
      </w:r>
      <w:r w:rsidR="00DE3B10" w:rsidRPr="00E93C5F">
        <w:rPr>
          <w:rStyle w:val="BookTitle"/>
          <w:szCs w:val="19"/>
        </w:rPr>
        <w:t xml:space="preserve">ing Collections Schemes in the </w:t>
      </w:r>
      <w:r w:rsidRPr="00E93C5F">
        <w:rPr>
          <w:rStyle w:val="BookTitle"/>
          <w:szCs w:val="19"/>
        </w:rPr>
        <w:t>UK</w:t>
      </w:r>
      <w:r w:rsidRPr="00E93C5F">
        <w:rPr>
          <w:szCs w:val="19"/>
        </w:rPr>
        <w:t xml:space="preserve"> in 2010/11, March</w:t>
      </w:r>
    </w:p>
    <w:p w14:paraId="63FA3DE7" w14:textId="43F73FB7" w:rsidR="00456498" w:rsidRPr="00E93C5F" w:rsidRDefault="00456498">
      <w:pPr>
        <w:spacing w:after="0" w:line="240" w:lineRule="auto"/>
        <w:rPr>
          <w:szCs w:val="19"/>
        </w:rPr>
      </w:pPr>
    </w:p>
    <w:sectPr w:rsidR="00456498" w:rsidRPr="00E93C5F" w:rsidSect="002211F4">
      <w:pgSz w:w="11906" w:h="16838" w:code="9"/>
      <w:pgMar w:top="1474" w:right="964" w:bottom="1134" w:left="3175" w:header="851" w:footer="3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3C90A" w14:textId="77777777" w:rsidR="00F83220" w:rsidRDefault="00F83220" w:rsidP="006D5547">
      <w:pPr>
        <w:spacing w:after="0"/>
      </w:pPr>
      <w:r>
        <w:separator/>
      </w:r>
    </w:p>
    <w:p w14:paraId="1CB45CE7" w14:textId="77777777" w:rsidR="00F83220" w:rsidRDefault="00F83220"/>
  </w:endnote>
  <w:endnote w:type="continuationSeparator" w:id="0">
    <w:p w14:paraId="56B25F2C" w14:textId="77777777" w:rsidR="00F83220" w:rsidRDefault="00F83220" w:rsidP="006D5547">
      <w:pPr>
        <w:spacing w:after="0"/>
      </w:pPr>
      <w:r>
        <w:continuationSeparator/>
      </w:r>
    </w:p>
    <w:p w14:paraId="13FA07B5" w14:textId="77777777" w:rsidR="00F83220" w:rsidRDefault="00F83220"/>
  </w:endnote>
  <w:endnote w:type="continuationNotice" w:id="1">
    <w:p w14:paraId="6492C9FD" w14:textId="77777777" w:rsidR="00F83220" w:rsidRDefault="00F832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old">
    <w:altName w:val="Arial"/>
    <w:panose1 w:val="020B0704020202020204"/>
    <w:charset w:val="00"/>
    <w:family w:val="auto"/>
    <w:pitch w:val="variable"/>
    <w:sig w:usb0="00000000" w:usb1="C0007843" w:usb2="00000009" w:usb3="00000000" w:csb0="000001FF" w:csb1="00000000"/>
  </w:font>
  <w:font w:name="VIC">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ayoutGrid"/>
      <w:tblW w:w="0" w:type="auto"/>
      <w:tblLayout w:type="fixed"/>
      <w:tblLook w:val="04A0" w:firstRow="1" w:lastRow="0" w:firstColumn="1" w:lastColumn="0" w:noHBand="0" w:noVBand="1"/>
    </w:tblPr>
    <w:tblGrid>
      <w:gridCol w:w="9628"/>
    </w:tblGrid>
    <w:tr w:rsidR="00F83220" w14:paraId="582F5E51" w14:textId="77777777" w:rsidTr="00586EE1">
      <w:tc>
        <w:tcPr>
          <w:tcW w:w="9628" w:type="dxa"/>
        </w:tcPr>
        <w:p w14:paraId="3D85FC5D" w14:textId="77777777" w:rsidR="00F83220" w:rsidRDefault="00F83220">
          <w:pPr>
            <w:pStyle w:val="Footer"/>
          </w:pPr>
          <w:r>
            <w:rPr>
              <w:noProof/>
              <w:lang w:eastAsia="en-AU"/>
            </w:rPr>
            <w:drawing>
              <wp:inline distT="0" distB="0" distL="0" distR="0" wp14:anchorId="78E5F254" wp14:editId="3380C3BD">
                <wp:extent cx="1504800" cy="568800"/>
                <wp:effectExtent l="0" t="0" r="63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01.png"/>
                        <pic:cNvPicPr/>
                      </pic:nvPicPr>
                      <pic:blipFill>
                        <a:blip r:embed="rId1"/>
                        <a:stretch>
                          <a:fillRect/>
                        </a:stretch>
                      </pic:blipFill>
                      <pic:spPr>
                        <a:xfrm>
                          <a:off x="0" y="0"/>
                          <a:ext cx="1504800" cy="568800"/>
                        </a:xfrm>
                        <a:prstGeom prst="rect">
                          <a:avLst/>
                        </a:prstGeom>
                      </pic:spPr>
                    </pic:pic>
                  </a:graphicData>
                </a:graphic>
              </wp:inline>
            </w:drawing>
          </w:r>
        </w:p>
      </w:tc>
    </w:tr>
    <w:tr w:rsidR="00F83220" w14:paraId="7F7DE2D0" w14:textId="77777777" w:rsidTr="00586EE1">
      <w:trPr>
        <w:trHeight w:hRule="exact" w:val="266"/>
      </w:trPr>
      <w:tc>
        <w:tcPr>
          <w:tcW w:w="9628" w:type="dxa"/>
        </w:tcPr>
        <w:p w14:paraId="2C421DCC" w14:textId="77777777" w:rsidR="00F83220" w:rsidRDefault="00F83220">
          <w:pPr>
            <w:pStyle w:val="Footer"/>
          </w:pPr>
        </w:p>
      </w:tc>
    </w:tr>
  </w:tbl>
  <w:p w14:paraId="1B733F40" w14:textId="77777777" w:rsidR="00F83220" w:rsidRDefault="00F832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ayoutGrid"/>
      <w:tblW w:w="8925" w:type="dxa"/>
      <w:tblLayout w:type="fixed"/>
      <w:tblLook w:val="04A0" w:firstRow="1" w:lastRow="0" w:firstColumn="1" w:lastColumn="0" w:noHBand="0" w:noVBand="1"/>
    </w:tblPr>
    <w:tblGrid>
      <w:gridCol w:w="2048"/>
      <w:gridCol w:w="6877"/>
    </w:tblGrid>
    <w:tr w:rsidR="00F83220" w14:paraId="7E70AA39" w14:textId="77777777" w:rsidTr="00814DDB">
      <w:trPr>
        <w:trHeight w:hRule="exact" w:val="284"/>
      </w:trPr>
      <w:tc>
        <w:tcPr>
          <w:tcW w:w="2048" w:type="dxa"/>
          <w:vAlign w:val="bottom"/>
        </w:tcPr>
        <w:p w14:paraId="75EFBFCA" w14:textId="61C4A2C7" w:rsidR="00F83220" w:rsidRPr="00AB467D" w:rsidRDefault="00F83220" w:rsidP="00814DDB">
          <w:pPr>
            <w:pStyle w:val="FooterDetails"/>
            <w:rPr>
              <w:rStyle w:val="PageNumber"/>
            </w:rPr>
          </w:pPr>
          <w:r w:rsidRPr="00AB467D">
            <w:rPr>
              <w:rStyle w:val="PageNumber"/>
            </w:rPr>
            <w:fldChar w:fldCharType="begin"/>
          </w:r>
          <w:r w:rsidRPr="00AB467D">
            <w:rPr>
              <w:rStyle w:val="PageNumber"/>
            </w:rPr>
            <w:instrText xml:space="preserve"> PAGE  \* Arabic  \* MERGEFORMAT </w:instrText>
          </w:r>
          <w:r w:rsidRPr="00AB467D">
            <w:rPr>
              <w:rStyle w:val="PageNumber"/>
            </w:rPr>
            <w:fldChar w:fldCharType="separate"/>
          </w:r>
          <w:r w:rsidR="0077299C">
            <w:rPr>
              <w:rStyle w:val="PageNumber"/>
              <w:noProof/>
            </w:rPr>
            <w:t>2</w:t>
          </w:r>
          <w:r w:rsidRPr="00AB467D">
            <w:rPr>
              <w:rStyle w:val="PageNumber"/>
            </w:rPr>
            <w:fldChar w:fldCharType="end"/>
          </w:r>
        </w:p>
      </w:tc>
      <w:tc>
        <w:tcPr>
          <w:tcW w:w="6877" w:type="dxa"/>
          <w:vAlign w:val="bottom"/>
        </w:tcPr>
        <w:p w14:paraId="099D9BDA" w14:textId="77777777" w:rsidR="00F83220" w:rsidRPr="00807D31" w:rsidRDefault="00F83220" w:rsidP="00814DDB">
          <w:pPr>
            <w:pStyle w:val="FooterDetailsEven"/>
            <w:rPr>
              <w:rStyle w:val="PageNumber"/>
              <w:b/>
            </w:rPr>
          </w:pPr>
          <w:r w:rsidRPr="00807D31">
            <w:rPr>
              <w:rStyle w:val="PageNumber"/>
              <w:b/>
            </w:rPr>
            <w:t>Sustainability Victoria</w:t>
          </w:r>
        </w:p>
      </w:tc>
    </w:tr>
  </w:tbl>
  <w:p w14:paraId="433F371B" w14:textId="77777777" w:rsidR="00F83220" w:rsidRDefault="00F83220">
    <w:pPr>
      <w:pStyle w:val="Footer"/>
    </w:pPr>
    <w:r>
      <w:rPr>
        <w:noProof/>
        <w:lang w:eastAsia="en-AU"/>
      </w:rPr>
      <w:drawing>
        <wp:anchor distT="0" distB="0" distL="114300" distR="114300" simplePos="0" relativeHeight="251658244" behindDoc="1" locked="1" layoutInCell="0" allowOverlap="1" wp14:anchorId="0057D6AE" wp14:editId="4E33A6BE">
          <wp:simplePos x="0" y="0"/>
          <wp:positionH relativeFrom="page">
            <wp:posOffset>0</wp:posOffset>
          </wp:positionH>
          <wp:positionV relativeFrom="page">
            <wp:align>bottom</wp:align>
          </wp:positionV>
          <wp:extent cx="1562400" cy="87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06_Report Template_FA.jpg"/>
                  <pic:cNvPicPr/>
                </pic:nvPicPr>
                <pic:blipFill>
                  <a:blip r:embed="rId1"/>
                  <a:stretch>
                    <a:fillRect/>
                  </a:stretch>
                </pic:blipFill>
                <pic:spPr>
                  <a:xfrm>
                    <a:off x="0" y="0"/>
                    <a:ext cx="1562400" cy="87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C96A1" w14:textId="77777777" w:rsidR="00F83220" w:rsidRPr="009A225C" w:rsidRDefault="00F83220" w:rsidP="009A22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A8F50" w14:textId="77777777" w:rsidR="00F83220" w:rsidRDefault="00F83220" w:rsidP="0006777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ayoutGrid"/>
      <w:tblW w:w="8925" w:type="dxa"/>
      <w:tblInd w:w="-2041" w:type="dxa"/>
      <w:tblLayout w:type="fixed"/>
      <w:tblLook w:val="04A0" w:firstRow="1" w:lastRow="0" w:firstColumn="1" w:lastColumn="0" w:noHBand="0" w:noVBand="1"/>
    </w:tblPr>
    <w:tblGrid>
      <w:gridCol w:w="2048"/>
      <w:gridCol w:w="6877"/>
    </w:tblGrid>
    <w:tr w:rsidR="00F83220" w14:paraId="3242F61D" w14:textId="77777777" w:rsidTr="006F7E30">
      <w:trPr>
        <w:trHeight w:hRule="exact" w:val="284"/>
      </w:trPr>
      <w:tc>
        <w:tcPr>
          <w:tcW w:w="2098" w:type="dxa"/>
          <w:vAlign w:val="bottom"/>
        </w:tcPr>
        <w:p w14:paraId="0E8257D8" w14:textId="7B88C4B5" w:rsidR="00F83220" w:rsidRPr="00AB467D" w:rsidRDefault="00F83220" w:rsidP="00807D31">
          <w:pPr>
            <w:pStyle w:val="FooterDetails"/>
            <w:rPr>
              <w:rStyle w:val="PageNumber"/>
            </w:rPr>
          </w:pPr>
          <w:r w:rsidRPr="00AB467D">
            <w:rPr>
              <w:rStyle w:val="PageNumber"/>
            </w:rPr>
            <w:fldChar w:fldCharType="begin"/>
          </w:r>
          <w:r w:rsidRPr="00AB467D">
            <w:rPr>
              <w:rStyle w:val="PageNumber"/>
            </w:rPr>
            <w:instrText xml:space="preserve"> PAGE  \* Arabic  \* MERGEFORMAT </w:instrText>
          </w:r>
          <w:r w:rsidRPr="00AB467D">
            <w:rPr>
              <w:rStyle w:val="PageNumber"/>
            </w:rPr>
            <w:fldChar w:fldCharType="separate"/>
          </w:r>
          <w:r w:rsidR="0077299C">
            <w:rPr>
              <w:rStyle w:val="PageNumber"/>
              <w:noProof/>
            </w:rPr>
            <w:t>18</w:t>
          </w:r>
          <w:r w:rsidRPr="00AB467D">
            <w:rPr>
              <w:rStyle w:val="PageNumber"/>
            </w:rPr>
            <w:fldChar w:fldCharType="end"/>
          </w:r>
        </w:p>
      </w:tc>
      <w:tc>
        <w:tcPr>
          <w:tcW w:w="7046" w:type="dxa"/>
          <w:vAlign w:val="bottom"/>
        </w:tcPr>
        <w:p w14:paraId="3970AA53" w14:textId="77777777" w:rsidR="00F83220" w:rsidRPr="00807D31" w:rsidRDefault="00F83220" w:rsidP="00807D31">
          <w:pPr>
            <w:pStyle w:val="FooterDetailsEven"/>
            <w:rPr>
              <w:rStyle w:val="PageNumber"/>
              <w:b/>
            </w:rPr>
          </w:pPr>
          <w:r w:rsidRPr="00807D31">
            <w:rPr>
              <w:rStyle w:val="PageNumber"/>
              <w:b/>
            </w:rPr>
            <w:t>Sustainability Victoria</w:t>
          </w:r>
        </w:p>
      </w:tc>
    </w:tr>
  </w:tbl>
  <w:p w14:paraId="4DE886B5" w14:textId="77777777" w:rsidR="00F83220" w:rsidRDefault="00F83220">
    <w:pPr>
      <w:pStyle w:val="Footer"/>
    </w:pPr>
    <w:r>
      <w:rPr>
        <w:noProof/>
        <w:lang w:eastAsia="en-AU"/>
      </w:rPr>
      <w:drawing>
        <wp:anchor distT="0" distB="0" distL="114300" distR="114300" simplePos="0" relativeHeight="251658241" behindDoc="1" locked="1" layoutInCell="0" allowOverlap="1" wp14:anchorId="63A7A8C7" wp14:editId="71608D52">
          <wp:simplePos x="2013626" y="9581745"/>
          <wp:positionH relativeFrom="page">
            <wp:posOffset>0</wp:posOffset>
          </wp:positionH>
          <wp:positionV relativeFrom="page">
            <wp:align>bottom</wp:align>
          </wp:positionV>
          <wp:extent cx="1562400" cy="878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06_Report Template_FA.jpg"/>
                  <pic:cNvPicPr/>
                </pic:nvPicPr>
                <pic:blipFill>
                  <a:blip r:embed="rId1"/>
                  <a:stretch>
                    <a:fillRect/>
                  </a:stretch>
                </pic:blipFill>
                <pic:spPr>
                  <a:xfrm>
                    <a:off x="0" y="0"/>
                    <a:ext cx="1562400" cy="87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ayoutGrid"/>
      <w:tblW w:w="7711" w:type="dxa"/>
      <w:tblLook w:val="04A0" w:firstRow="1" w:lastRow="0" w:firstColumn="1" w:lastColumn="0" w:noHBand="0" w:noVBand="1"/>
    </w:tblPr>
    <w:tblGrid>
      <w:gridCol w:w="6805"/>
      <w:gridCol w:w="906"/>
    </w:tblGrid>
    <w:tr w:rsidR="00F83220" w14:paraId="323C4679" w14:textId="77777777" w:rsidTr="00A301E0">
      <w:tc>
        <w:tcPr>
          <w:tcW w:w="6805" w:type="dxa"/>
          <w:vAlign w:val="bottom"/>
        </w:tcPr>
        <w:p w14:paraId="3A296C5B" w14:textId="572F37A1" w:rsidR="00F83220" w:rsidRDefault="00F83220" w:rsidP="00807D31">
          <w:pPr>
            <w:pStyle w:val="FooterDetails"/>
          </w:pPr>
          <w:r>
            <w:t>Greenhouse gases emissions from the waste sector and opportunities for reduction</w:t>
          </w:r>
        </w:p>
      </w:tc>
      <w:tc>
        <w:tcPr>
          <w:tcW w:w="906" w:type="dxa"/>
          <w:vAlign w:val="bottom"/>
        </w:tcPr>
        <w:p w14:paraId="622EA351" w14:textId="169D6B6E" w:rsidR="00F83220" w:rsidRDefault="00F83220" w:rsidP="00807D31">
          <w:pPr>
            <w:pStyle w:val="FooterDetails"/>
            <w:jc w:val="right"/>
          </w:pPr>
          <w:r w:rsidRPr="002A1766">
            <w:rPr>
              <w:rStyle w:val="PageNumber"/>
            </w:rPr>
            <w:fldChar w:fldCharType="begin"/>
          </w:r>
          <w:r w:rsidRPr="002A1766">
            <w:rPr>
              <w:rStyle w:val="PageNumber"/>
            </w:rPr>
            <w:instrText xml:space="preserve"> PAGE  \* Arabic  \* MERGEFORMAT </w:instrText>
          </w:r>
          <w:r w:rsidRPr="002A1766">
            <w:rPr>
              <w:rStyle w:val="PageNumber"/>
            </w:rPr>
            <w:fldChar w:fldCharType="separate"/>
          </w:r>
          <w:r w:rsidR="0077299C">
            <w:rPr>
              <w:rStyle w:val="PageNumber"/>
              <w:noProof/>
            </w:rPr>
            <w:t>19</w:t>
          </w:r>
          <w:r w:rsidRPr="002A1766">
            <w:rPr>
              <w:rStyle w:val="PageNumber"/>
            </w:rPr>
            <w:fldChar w:fldCharType="end"/>
          </w:r>
        </w:p>
      </w:tc>
    </w:tr>
  </w:tbl>
  <w:p w14:paraId="4D6866F3" w14:textId="46B7B888" w:rsidR="00F83220" w:rsidRPr="004F133C" w:rsidRDefault="00F83220" w:rsidP="004F133C">
    <w:pPr>
      <w:pStyle w:val="Footer"/>
    </w:pPr>
    <w:r>
      <w:fldChar w:fldCharType="begin"/>
    </w:r>
    <w:r>
      <w:instrText xml:space="preserve"> DOCPROPERTY  CoverTitle </w:instrText>
    </w:r>
    <w:r>
      <w:fldChar w:fldCharType="end"/>
    </w:r>
    <w:r>
      <w:rPr>
        <w:noProof/>
        <w:lang w:eastAsia="en-AU"/>
      </w:rPr>
      <w:drawing>
        <wp:anchor distT="0" distB="0" distL="114300" distR="114300" simplePos="0" relativeHeight="251658242" behindDoc="1" locked="1" layoutInCell="1" allowOverlap="1" wp14:anchorId="7B1AD1F5" wp14:editId="18AFB5AF">
          <wp:simplePos x="2013626" y="9523379"/>
          <wp:positionH relativeFrom="page">
            <wp:align>right</wp:align>
          </wp:positionH>
          <wp:positionV relativeFrom="page">
            <wp:align>bottom</wp:align>
          </wp:positionV>
          <wp:extent cx="1724400" cy="93240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V06_Report Template_FA2.jpg"/>
                  <pic:cNvPicPr/>
                </pic:nvPicPr>
                <pic:blipFill>
                  <a:blip r:embed="rId1"/>
                  <a:stretch>
                    <a:fillRect/>
                  </a:stretch>
                </pic:blipFill>
                <pic:spPr>
                  <a:xfrm>
                    <a:off x="0" y="0"/>
                    <a:ext cx="1724400" cy="93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ayoutGrid"/>
      <w:tblW w:w="8925" w:type="dxa"/>
      <w:tblInd w:w="-2041" w:type="dxa"/>
      <w:tblLayout w:type="fixed"/>
      <w:tblLook w:val="04A0" w:firstRow="1" w:lastRow="0" w:firstColumn="1" w:lastColumn="0" w:noHBand="0" w:noVBand="1"/>
    </w:tblPr>
    <w:tblGrid>
      <w:gridCol w:w="2048"/>
      <w:gridCol w:w="6877"/>
    </w:tblGrid>
    <w:tr w:rsidR="00F83220" w14:paraId="7F34A9B1" w14:textId="77777777" w:rsidTr="002C1573">
      <w:trPr>
        <w:trHeight w:hRule="exact" w:val="284"/>
      </w:trPr>
      <w:tc>
        <w:tcPr>
          <w:tcW w:w="2098" w:type="dxa"/>
          <w:vAlign w:val="bottom"/>
        </w:tcPr>
        <w:p w14:paraId="4F6F3576" w14:textId="234D5299" w:rsidR="00F83220" w:rsidRPr="00AB467D" w:rsidRDefault="00F83220" w:rsidP="006F7E30">
          <w:pPr>
            <w:pStyle w:val="FooterDetails"/>
            <w:rPr>
              <w:rStyle w:val="PageNumber"/>
            </w:rPr>
          </w:pPr>
          <w:r w:rsidRPr="00AB467D">
            <w:rPr>
              <w:rStyle w:val="PageNumber"/>
            </w:rPr>
            <w:fldChar w:fldCharType="begin"/>
          </w:r>
          <w:r w:rsidRPr="00AB467D">
            <w:rPr>
              <w:rStyle w:val="PageNumber"/>
            </w:rPr>
            <w:instrText xml:space="preserve"> PAGE  \* Arabic  \* MERGEFORMAT </w:instrText>
          </w:r>
          <w:r w:rsidRPr="00AB467D">
            <w:rPr>
              <w:rStyle w:val="PageNumber"/>
            </w:rPr>
            <w:fldChar w:fldCharType="separate"/>
          </w:r>
          <w:r w:rsidR="0077299C">
            <w:rPr>
              <w:rStyle w:val="PageNumber"/>
              <w:noProof/>
            </w:rPr>
            <w:t>11</w:t>
          </w:r>
          <w:r w:rsidRPr="00AB467D">
            <w:rPr>
              <w:rStyle w:val="PageNumber"/>
            </w:rPr>
            <w:fldChar w:fldCharType="end"/>
          </w:r>
        </w:p>
      </w:tc>
      <w:tc>
        <w:tcPr>
          <w:tcW w:w="7046" w:type="dxa"/>
          <w:vAlign w:val="bottom"/>
        </w:tcPr>
        <w:p w14:paraId="7862BE8A" w14:textId="77777777" w:rsidR="00F83220" w:rsidRPr="00807D31" w:rsidRDefault="00F83220" w:rsidP="006F7E30">
          <w:pPr>
            <w:pStyle w:val="FooterDetailsEven"/>
            <w:rPr>
              <w:rStyle w:val="PageNumber"/>
              <w:b/>
            </w:rPr>
          </w:pPr>
          <w:r w:rsidRPr="00807D31">
            <w:rPr>
              <w:rStyle w:val="PageNumber"/>
              <w:b/>
            </w:rPr>
            <w:t>Sustainability Victoria</w:t>
          </w:r>
        </w:p>
      </w:tc>
    </w:tr>
  </w:tbl>
  <w:p w14:paraId="225EEB5B" w14:textId="77777777" w:rsidR="00F83220" w:rsidRDefault="00F83220" w:rsidP="006F7E30">
    <w:pPr>
      <w:pStyle w:val="Footer"/>
    </w:pPr>
    <w:r>
      <w:rPr>
        <w:noProof/>
        <w:lang w:eastAsia="en-AU"/>
      </w:rPr>
      <w:drawing>
        <wp:anchor distT="0" distB="0" distL="114300" distR="114300" simplePos="0" relativeHeight="251658243" behindDoc="1" locked="1" layoutInCell="0" allowOverlap="1" wp14:anchorId="06F29FAE" wp14:editId="3CB7892C">
          <wp:simplePos x="2013626" y="9581745"/>
          <wp:positionH relativeFrom="page">
            <wp:posOffset>0</wp:posOffset>
          </wp:positionH>
          <wp:positionV relativeFrom="page">
            <wp:align>bottom</wp:align>
          </wp:positionV>
          <wp:extent cx="1562400" cy="87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06_Report Template_FA.jpg"/>
                  <pic:cNvPicPr/>
                </pic:nvPicPr>
                <pic:blipFill>
                  <a:blip r:embed="rId1"/>
                  <a:stretch>
                    <a:fillRect/>
                  </a:stretch>
                </pic:blipFill>
                <pic:spPr>
                  <a:xfrm>
                    <a:off x="0" y="0"/>
                    <a:ext cx="1562400" cy="87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A0A176" w14:textId="77777777" w:rsidR="00F83220" w:rsidRPr="00837869" w:rsidRDefault="00F83220" w:rsidP="00837869">
      <w:pPr>
        <w:pStyle w:val="FootnoteSpacer"/>
      </w:pPr>
    </w:p>
    <w:p w14:paraId="2E5F31EA" w14:textId="77777777" w:rsidR="00F83220" w:rsidRDefault="00F83220"/>
  </w:footnote>
  <w:footnote w:type="continuationSeparator" w:id="0">
    <w:p w14:paraId="56FC9459" w14:textId="77777777" w:rsidR="00F83220" w:rsidRDefault="00F83220" w:rsidP="006D5547">
      <w:pPr>
        <w:spacing w:after="0"/>
      </w:pPr>
      <w:r>
        <w:continuationSeparator/>
      </w:r>
    </w:p>
    <w:p w14:paraId="32D401A9" w14:textId="77777777" w:rsidR="00F83220" w:rsidRDefault="00F83220"/>
  </w:footnote>
  <w:footnote w:type="continuationNotice" w:id="1">
    <w:p w14:paraId="4BDA33BD" w14:textId="77777777" w:rsidR="00F83220" w:rsidRDefault="00F83220">
      <w:pPr>
        <w:spacing w:after="0" w:line="240" w:lineRule="auto"/>
      </w:pPr>
    </w:p>
  </w:footnote>
  <w:footnote w:id="2">
    <w:p w14:paraId="358D9963" w14:textId="6C955B53" w:rsidR="00F83220" w:rsidRDefault="00F83220">
      <w:pPr>
        <w:pStyle w:val="FootnoteText"/>
      </w:pPr>
      <w:r>
        <w:rPr>
          <w:rStyle w:val="FootnoteReference"/>
        </w:rPr>
        <w:footnoteRef/>
      </w:r>
      <w:r>
        <w:t xml:space="preserve"> Changes in international policies from 2018 have impacted on the export of recyclable materials. At the time of publication, this situation remains in a state of flux. Nevertheless, this study provides relevant insight and the opportunities to reduce emissions remain valid.</w:t>
      </w:r>
    </w:p>
  </w:footnote>
  <w:footnote w:id="3">
    <w:p w14:paraId="37594BA3" w14:textId="184A1C31" w:rsidR="00F83220" w:rsidRDefault="00F83220" w:rsidP="00B10757">
      <w:pPr>
        <w:pStyle w:val="FootnoteText"/>
      </w:pPr>
      <w:r>
        <w:rPr>
          <w:rStyle w:val="FootnoteReference"/>
        </w:rPr>
        <w:footnoteRef/>
      </w:r>
      <w:r>
        <w:t xml:space="preserve"> Waste </w:t>
      </w:r>
      <w:r w:rsidRPr="008B27DF">
        <w:t>to energy facilities for residual waste, separate to landfills, had not yet been established in Victoria and were not considered for this study</w:t>
      </w:r>
      <w:r>
        <w:t>.</w:t>
      </w:r>
    </w:p>
  </w:footnote>
  <w:footnote w:id="4">
    <w:p w14:paraId="517D83E3" w14:textId="0ED14D9D" w:rsidR="00F83220" w:rsidRDefault="00F83220">
      <w:pPr>
        <w:pStyle w:val="FootnoteText"/>
      </w:pPr>
      <w:r>
        <w:rPr>
          <w:rStyle w:val="FootnoteReference"/>
        </w:rPr>
        <w:footnoteRef/>
      </w:r>
      <w:r>
        <w:t xml:space="preserve"> For modelling simplicity, we ignore the minor transport issues associated with consolidation activities, MSW hard waste, hazardous waste, C&amp;I green waste collections and charity activities.</w:t>
      </w:r>
      <w:r>
        <w:rPr>
          <w:color w:val="82C341"/>
        </w:rPr>
        <w:t xml:space="preserve"> </w:t>
      </w:r>
    </w:p>
  </w:footnote>
  <w:footnote w:id="5">
    <w:p w14:paraId="76D271D7" w14:textId="4D585927" w:rsidR="00F83220" w:rsidRDefault="00F83220" w:rsidP="00E35C57">
      <w:pPr>
        <w:spacing w:after="3" w:line="262" w:lineRule="auto"/>
        <w:ind w:right="52"/>
      </w:pPr>
      <w:r>
        <w:rPr>
          <w:rStyle w:val="FootnoteReference"/>
        </w:rPr>
        <w:footnoteRef/>
      </w:r>
      <w:r>
        <w:t xml:space="preserve"> </w:t>
      </w:r>
      <w:r>
        <w:rPr>
          <w:sz w:val="14"/>
        </w:rPr>
        <w:t>The emissions profile for waste ‘managed’ in Victoria excludes the emissions associated with the resource recovery or disposal of wastes at interstate and international facilities.  It includes the emissions for the transport leg to interstate and international facilities in scope 1 and 3 emissions respectively (as illustrated in Figure 1).</w:t>
      </w:r>
    </w:p>
  </w:footnote>
  <w:footnote w:id="6">
    <w:p w14:paraId="61AD2EC6" w14:textId="2749B06A" w:rsidR="00F83220" w:rsidRDefault="00F83220">
      <w:pPr>
        <w:pStyle w:val="FootnoteText"/>
      </w:pPr>
      <w:r>
        <w:rPr>
          <w:rStyle w:val="FootnoteReference"/>
        </w:rPr>
        <w:footnoteRef/>
      </w:r>
      <w:r>
        <w:t xml:space="preserve"> T</w:t>
      </w:r>
      <w:r>
        <w:rPr>
          <w:sz w:val="14"/>
        </w:rPr>
        <w:t>he emissions profile for waste generated in Victoria provides as estimate of the emissions resulting from the transport, resource recovery, and disposal of all solid non-hazardous waste generated in Victoria including the tonnages sent interstate or overseas for processing. The estimate of emissions from waste generated in Victoria assumes the emissions per tonne for material processed overseas are identical to those processed within Australia.</w:t>
      </w:r>
    </w:p>
  </w:footnote>
  <w:footnote w:id="7">
    <w:p w14:paraId="599BE7E6" w14:textId="3B589AB2" w:rsidR="00F83220" w:rsidRDefault="00F83220">
      <w:pPr>
        <w:pStyle w:val="FootnoteText"/>
      </w:pPr>
      <w:r>
        <w:rPr>
          <w:rStyle w:val="FootnoteReference"/>
        </w:rPr>
        <w:footnoteRef/>
      </w:r>
      <w:r>
        <w:t xml:space="preserve"> </w:t>
      </w:r>
      <w:r>
        <w:rPr>
          <w:sz w:val="14"/>
        </w:rPr>
        <w:t>This section (only) illustrates the total emissions for waste generated and managed in Victoria to illustrate the wastes that are processed interstate or overseas in significant tonnages.</w:t>
      </w:r>
    </w:p>
  </w:footnote>
  <w:footnote w:id="8">
    <w:p w14:paraId="1132D3B9" w14:textId="5264BFE4" w:rsidR="00F83220" w:rsidRDefault="00F83220" w:rsidP="00F152A6">
      <w:pPr>
        <w:pStyle w:val="FootnoteText"/>
      </w:pPr>
      <w:r>
        <w:rPr>
          <w:rStyle w:val="FootnoteReference"/>
        </w:rPr>
        <w:footnoteRef/>
      </w:r>
      <w:r>
        <w:t xml:space="preserve"> See: </w:t>
      </w:r>
      <w:hyperlink r:id="rId1" w:history="1">
        <w:r w:rsidRPr="00855A8C">
          <w:rPr>
            <w:rStyle w:val="Hyperlink"/>
          </w:rPr>
          <w:t>http://steelstewardship.com/lifecycle/iron-and-steelmaking</w:t>
        </w:r>
      </w:hyperlink>
      <w:r>
        <w:t xml:space="preserve"> (viewed April 2017)</w:t>
      </w:r>
    </w:p>
  </w:footnote>
  <w:footnote w:id="9">
    <w:p w14:paraId="39816E16" w14:textId="23CDA1C4" w:rsidR="00F83220" w:rsidRDefault="00F83220">
      <w:pPr>
        <w:pStyle w:val="FootnoteText"/>
      </w:pPr>
      <w:r>
        <w:rPr>
          <w:rStyle w:val="FootnoteReference"/>
        </w:rPr>
        <w:footnoteRef/>
      </w:r>
      <w:r>
        <w:t xml:space="preserve"> </w:t>
      </w:r>
      <w:hyperlink r:id="rId2">
        <w:r>
          <w:rPr>
            <w:sz w:val="14"/>
          </w:rPr>
          <w:t>http://www.australianpaper.com.au/sustainability/environmental</w:t>
        </w:r>
      </w:hyperlink>
      <w:hyperlink r:id="rId3">
        <w:r>
          <w:rPr>
            <w:sz w:val="14"/>
          </w:rPr>
          <w:t>sustainability/waste-recycling/</w:t>
        </w:r>
      </w:hyperlink>
      <w:hyperlink r:id="rId4">
        <w:r>
          <w:rPr>
            <w:sz w:val="14"/>
          </w:rPr>
          <w:t xml:space="preserve"> </w:t>
        </w:r>
      </w:hyperlink>
      <w:r>
        <w:rPr>
          <w:sz w:val="14"/>
        </w:rPr>
        <w:t>(accessed March 2017)</w:t>
      </w:r>
    </w:p>
  </w:footnote>
  <w:footnote w:id="10">
    <w:p w14:paraId="0C62D981" w14:textId="1D63ACEA" w:rsidR="00F83220" w:rsidRDefault="00F83220">
      <w:pPr>
        <w:pStyle w:val="FootnoteText"/>
      </w:pPr>
      <w:r>
        <w:rPr>
          <w:rStyle w:val="FootnoteReference"/>
        </w:rPr>
        <w:footnoteRef/>
      </w:r>
      <w:r>
        <w:t xml:space="preserve"> </w:t>
      </w:r>
      <w:r>
        <w:rPr>
          <w:sz w:val="14"/>
        </w:rPr>
        <w:t xml:space="preserve">Source: </w:t>
      </w:r>
      <w:hyperlink r:id="rId5">
        <w:r>
          <w:rPr>
            <w:sz w:val="14"/>
          </w:rPr>
          <w:t>http://www.insidewaste.com.au/general/news/1012872/visy</w:t>
        </w:r>
      </w:hyperlink>
      <w:hyperlink r:id="rId6">
        <w:r>
          <w:rPr>
            <w:sz w:val="14"/>
          </w:rPr>
          <w:t>usd50m-wte-plant</w:t>
        </w:r>
      </w:hyperlink>
      <w:r>
        <w:rPr>
          <w:sz w:val="14"/>
        </w:rPr>
        <w:t xml:space="preserve">  (accessed March 2017)</w:t>
      </w:r>
    </w:p>
  </w:footnote>
  <w:footnote w:id="11">
    <w:p w14:paraId="4DD22F81" w14:textId="450AA93A" w:rsidR="00F83220" w:rsidRDefault="00F83220">
      <w:pPr>
        <w:pStyle w:val="FootnoteText"/>
      </w:pPr>
      <w:r>
        <w:rPr>
          <w:rStyle w:val="FootnoteReference"/>
        </w:rPr>
        <w:footnoteRef/>
      </w:r>
      <w:r>
        <w:t xml:space="preserve"> </w:t>
      </w:r>
      <w:r>
        <w:rPr>
          <w:sz w:val="14"/>
        </w:rPr>
        <w:t xml:space="preserve">Source: </w:t>
      </w:r>
      <w:hyperlink r:id="rId7">
        <w:r>
          <w:rPr>
            <w:sz w:val="14"/>
          </w:rPr>
          <w:t xml:space="preserve">http://www.wangaratta.vic.gov.au/council/documents/images/ </w:t>
        </w:r>
      </w:hyperlink>
      <w:hyperlink r:id="rId8">
        <w:r>
          <w:rPr>
            <w:sz w:val="14"/>
          </w:rPr>
          <w:t>WasteManagementStrategy1.pdf</w:t>
        </w:r>
      </w:hyperlink>
      <w:r>
        <w:rPr>
          <w:sz w:val="14"/>
        </w:rPr>
        <w:t xml:space="preserve">  p7</w:t>
      </w:r>
    </w:p>
  </w:footnote>
  <w:footnote w:id="12">
    <w:p w14:paraId="1639CC64" w14:textId="372C6505" w:rsidR="00F83220" w:rsidRDefault="00F83220">
      <w:pPr>
        <w:pStyle w:val="FootnoteText"/>
      </w:pPr>
      <w:r>
        <w:rPr>
          <w:rStyle w:val="FootnoteReference"/>
        </w:rPr>
        <w:footnoteRef/>
      </w:r>
      <w:r>
        <w:t xml:space="preserve"> </w:t>
      </w:r>
      <w:r>
        <w:rPr>
          <w:sz w:val="14"/>
        </w:rPr>
        <w:t>Despite the securing of the flare Council do not operate the flare on total fire ban days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29353" w14:textId="77777777" w:rsidR="00F83220" w:rsidRDefault="00F83220">
    <w:pPr>
      <w:pStyle w:val="Header"/>
    </w:pPr>
    <w:r>
      <w:rPr>
        <w:noProof/>
        <w:lang w:eastAsia="en-AU"/>
      </w:rPr>
      <w:drawing>
        <wp:anchor distT="0" distB="0" distL="114300" distR="114300" simplePos="0" relativeHeight="251658245" behindDoc="1" locked="1" layoutInCell="1" allowOverlap="1" wp14:anchorId="0BA7EDE1" wp14:editId="309DD309">
          <wp:simplePos x="0" y="0"/>
          <wp:positionH relativeFrom="page">
            <wp:posOffset>248285</wp:posOffset>
          </wp:positionH>
          <wp:positionV relativeFrom="page">
            <wp:posOffset>4140835</wp:posOffset>
          </wp:positionV>
          <wp:extent cx="7056000" cy="5104800"/>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V06_Report Covers_FA.jpg"/>
                  <pic:cNvPicPr/>
                </pic:nvPicPr>
                <pic:blipFill>
                  <a:blip r:embed="rId1" cstate="print">
                    <a:extLst>
                      <a:ext uri="{28A0092B-C50C-407E-A947-70E740481C1C}">
                        <a14:useLocalDpi xmlns:a14="http://schemas.microsoft.com/office/drawing/2010/main"/>
                      </a:ext>
                    </a:extLst>
                  </a:blip>
                  <a:stretch>
                    <a:fillRect/>
                  </a:stretch>
                </pic:blipFill>
                <pic:spPr>
                  <a:xfrm>
                    <a:off x="0" y="0"/>
                    <a:ext cx="7056000" cy="51048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6" behindDoc="1" locked="1" layoutInCell="1" allowOverlap="1" wp14:anchorId="600226E6" wp14:editId="6586DCB5">
          <wp:simplePos x="0" y="0"/>
          <wp:positionH relativeFrom="page">
            <wp:posOffset>0</wp:posOffset>
          </wp:positionH>
          <wp:positionV relativeFrom="page">
            <wp:posOffset>635</wp:posOffset>
          </wp:positionV>
          <wp:extent cx="7558405" cy="10689590"/>
          <wp:effectExtent l="0" t="0" r="444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 cstate="print">
                    <a:extLst>
                      <a:ext uri="{28A0092B-C50C-407E-A947-70E740481C1C}">
                        <a14:useLocalDpi xmlns:a14="http://schemas.microsoft.com/office/drawing/2010/main"/>
                      </a:ext>
                    </a:extLst>
                  </a:blip>
                  <a:stretch>
                    <a:fillRect/>
                  </a:stretch>
                </pic:blipFill>
                <pic:spPr>
                  <a:xfrm>
                    <a:off x="0" y="0"/>
                    <a:ext cx="7558405" cy="1068959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8D678" w14:textId="77777777" w:rsidR="00F83220" w:rsidRDefault="00F832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46B26" w14:textId="77777777" w:rsidR="00F83220" w:rsidRPr="009A225C" w:rsidRDefault="00F83220" w:rsidP="009A22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ayoutGrid"/>
      <w:tblW w:w="0" w:type="auto"/>
      <w:tblLook w:val="04A0" w:firstRow="1" w:lastRow="0" w:firstColumn="1" w:lastColumn="0" w:noHBand="0" w:noVBand="1"/>
    </w:tblPr>
    <w:tblGrid>
      <w:gridCol w:w="5387"/>
      <w:gridCol w:w="3629"/>
    </w:tblGrid>
    <w:tr w:rsidR="00F83220" w14:paraId="58D47859" w14:textId="77777777" w:rsidTr="00D27F7F">
      <w:tc>
        <w:tcPr>
          <w:tcW w:w="5387" w:type="dxa"/>
        </w:tcPr>
        <w:p w14:paraId="5FC4C75B" w14:textId="77777777" w:rsidR="00F83220" w:rsidRDefault="00F83220" w:rsidP="00A20134"/>
      </w:tc>
      <w:tc>
        <w:tcPr>
          <w:tcW w:w="3629" w:type="dxa"/>
        </w:tcPr>
        <w:p w14:paraId="1B20EA98" w14:textId="77777777" w:rsidR="00F83220" w:rsidRDefault="00F83220" w:rsidP="00A20134">
          <w:pPr>
            <w:pStyle w:val="Header"/>
          </w:pPr>
        </w:p>
      </w:tc>
    </w:tr>
  </w:tbl>
  <w:p w14:paraId="6A19D1D6" w14:textId="77777777" w:rsidR="00F83220" w:rsidRDefault="00F8322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C1CAC" w14:textId="77777777" w:rsidR="00F83220" w:rsidRDefault="00F83220" w:rsidP="00F2541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0F22C" w14:textId="77777777" w:rsidR="00F83220" w:rsidRDefault="00F8322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ayoutGrid"/>
      <w:tblW w:w="5000" w:type="pct"/>
      <w:tblLayout w:type="fixed"/>
      <w:tblLook w:val="04A0" w:firstRow="1" w:lastRow="0" w:firstColumn="1" w:lastColumn="0" w:noHBand="0" w:noVBand="1"/>
    </w:tblPr>
    <w:tblGrid>
      <w:gridCol w:w="7767"/>
    </w:tblGrid>
    <w:tr w:rsidR="00F83220" w14:paraId="4D4487A9" w14:textId="77777777" w:rsidTr="006F7E30">
      <w:trPr>
        <w:trHeight w:hRule="exact" w:val="4823"/>
      </w:trPr>
      <w:tc>
        <w:tcPr>
          <w:tcW w:w="9854" w:type="dxa"/>
        </w:tcPr>
        <w:p w14:paraId="611066CC" w14:textId="77777777" w:rsidR="00F83220" w:rsidRDefault="00F83220" w:rsidP="00647203">
          <w:pPr>
            <w:pStyle w:val="Header"/>
          </w:pPr>
        </w:p>
      </w:tc>
    </w:tr>
  </w:tbl>
  <w:p w14:paraId="591547AB" w14:textId="77777777" w:rsidR="00F83220" w:rsidRPr="00647203" w:rsidRDefault="00F83220" w:rsidP="00647203">
    <w:pPr>
      <w:pStyle w:val="Header"/>
    </w:pPr>
    <w:r>
      <w:rPr>
        <w:noProof/>
        <w:lang w:eastAsia="en-AU"/>
      </w:rPr>
      <w:drawing>
        <wp:anchor distT="0" distB="0" distL="114300" distR="114300" simplePos="0" relativeHeight="251658240" behindDoc="1" locked="1" layoutInCell="1" allowOverlap="1" wp14:anchorId="3220592E" wp14:editId="411ECBF3">
          <wp:simplePos x="0" y="0"/>
          <wp:positionH relativeFrom="page">
            <wp:posOffset>0</wp:posOffset>
          </wp:positionH>
          <wp:positionV relativeFrom="page">
            <wp:posOffset>0</wp:posOffset>
          </wp:positionV>
          <wp:extent cx="7560000" cy="3096000"/>
          <wp:effectExtent l="0" t="0" r="317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jpg"/>
                  <pic:cNvPicPr/>
                </pic:nvPicPr>
                <pic:blipFill>
                  <a:blip r:embed="rId1"/>
                  <a:stretch>
                    <a:fillRect/>
                  </a:stretch>
                </pic:blipFill>
                <pic:spPr>
                  <a:xfrm>
                    <a:off x="0" y="0"/>
                    <a:ext cx="7560000" cy="309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73024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D1A9F0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53E47A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1CACF38"/>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B9AA1FD8"/>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56068DE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5025153"/>
    <w:multiLevelType w:val="multilevel"/>
    <w:tmpl w:val="9592712C"/>
    <w:numStyleLink w:val="ListNumbers"/>
  </w:abstractNum>
  <w:abstractNum w:abstractNumId="7" w15:restartNumberingAfterBreak="0">
    <w:nsid w:val="0C3925AC"/>
    <w:multiLevelType w:val="multilevel"/>
    <w:tmpl w:val="9A8C6A78"/>
    <w:numStyleLink w:val="TableBulletList"/>
  </w:abstractNum>
  <w:abstractNum w:abstractNumId="8" w15:restartNumberingAfterBreak="0">
    <w:nsid w:val="1A317159"/>
    <w:multiLevelType w:val="multilevel"/>
    <w:tmpl w:val="9A8C6A78"/>
    <w:styleLink w:val="TableBulletList"/>
    <w:lvl w:ilvl="0">
      <w:start w:val="1"/>
      <w:numFmt w:val="bullet"/>
      <w:pStyle w:val="TableBullet"/>
      <w:lvlText w:val="»"/>
      <w:lvlJc w:val="left"/>
      <w:pPr>
        <w:ind w:left="602" w:hanging="227"/>
      </w:pPr>
      <w:rPr>
        <w:rFonts w:asciiTheme="minorHAnsi" w:hAnsiTheme="minorHAnsi" w:cs="Times New Roman" w:hint="default"/>
        <w:color w:val="82C341" w:themeColor="background1"/>
        <w:szCs w:val="10"/>
      </w:rPr>
    </w:lvl>
    <w:lvl w:ilvl="1">
      <w:start w:val="1"/>
      <w:numFmt w:val="bullet"/>
      <w:lvlText w:val=""/>
      <w:lvlJc w:val="left"/>
      <w:pPr>
        <w:ind w:left="454" w:hanging="227"/>
      </w:pPr>
      <w:rPr>
        <w:rFonts w:ascii="Symbol" w:hAnsi="Symbol" w:cs="Times New Roman" w:hint="default"/>
        <w:color w:val="000000" w:themeColor="text1"/>
      </w:rPr>
    </w:lvl>
    <w:lvl w:ilvl="2">
      <w:start w:val="1"/>
      <w:numFmt w:val="none"/>
      <w:lvlText w:val=""/>
      <w:lvlJc w:val="left"/>
      <w:pPr>
        <w:ind w:left="681" w:hanging="227"/>
      </w:pPr>
      <w:rPr>
        <w:rFonts w:hint="default"/>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9" w15:restartNumberingAfterBreak="0">
    <w:nsid w:val="1D033818"/>
    <w:multiLevelType w:val="multilevel"/>
    <w:tmpl w:val="9592712C"/>
    <w:styleLink w:val="ListNumbers"/>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10" w15:restartNumberingAfterBreak="0">
    <w:nsid w:val="20690CD4"/>
    <w:multiLevelType w:val="multilevel"/>
    <w:tmpl w:val="14EAB5DA"/>
    <w:styleLink w:val="Bullets"/>
    <w:lvl w:ilvl="0">
      <w:start w:val="1"/>
      <w:numFmt w:val="bullet"/>
      <w:pStyle w:val="ListBullet"/>
      <w:lvlText w:val="»"/>
      <w:lvlJc w:val="left"/>
      <w:pPr>
        <w:ind w:left="227" w:hanging="227"/>
      </w:pPr>
      <w:rPr>
        <w:rFonts w:ascii="Times New Roman" w:hAnsi="Times New Roman" w:cs="Times New Roman" w:hint="default"/>
        <w:color w:val="82C341" w:themeColor="background1"/>
      </w:rPr>
    </w:lvl>
    <w:lvl w:ilvl="1">
      <w:start w:val="1"/>
      <w:numFmt w:val="bullet"/>
      <w:pStyle w:val="ListBullet2"/>
      <w:lvlText w:val="–"/>
      <w:lvlJc w:val="left"/>
      <w:pPr>
        <w:ind w:left="454" w:hanging="227"/>
      </w:pPr>
      <w:rPr>
        <w:rFonts w:ascii="Century Gothic" w:hAnsi="Century Gothic" w:cs="Times New Roman" w:hint="default"/>
      </w:rPr>
    </w:lvl>
    <w:lvl w:ilvl="2">
      <w:start w:val="1"/>
      <w:numFmt w:val="bullet"/>
      <w:pStyle w:val="ListBullet3"/>
      <w:lvlText w:val="–"/>
      <w:lvlJc w:val="left"/>
      <w:pPr>
        <w:ind w:left="681" w:hanging="227"/>
      </w:pPr>
      <w:rPr>
        <w:rFonts w:ascii="Century Gothic" w:hAnsi="Century Gothic" w:cs="Times New Roman" w:hint="default"/>
      </w:rPr>
    </w:lvl>
    <w:lvl w:ilvl="3">
      <w:start w:val="1"/>
      <w:numFmt w:val="none"/>
      <w:lvlText w:val=""/>
      <w:lvlJc w:val="left"/>
      <w:pPr>
        <w:tabs>
          <w:tab w:val="num" w:pos="2324"/>
        </w:tabs>
        <w:ind w:left="908" w:hanging="227"/>
      </w:pPr>
      <w:rPr>
        <w:rFonts w:hint="default"/>
      </w:rPr>
    </w:lvl>
    <w:lvl w:ilvl="4">
      <w:start w:val="1"/>
      <w:numFmt w:val="none"/>
      <w:lvlText w:val=""/>
      <w:lvlJc w:val="left"/>
      <w:pPr>
        <w:tabs>
          <w:tab w:val="num" w:pos="3004"/>
        </w:tabs>
        <w:ind w:left="1135" w:hanging="227"/>
      </w:pPr>
      <w:rPr>
        <w:rFonts w:hint="default"/>
      </w:rPr>
    </w:lvl>
    <w:lvl w:ilvl="5">
      <w:start w:val="1"/>
      <w:numFmt w:val="none"/>
      <w:lvlText w:val=""/>
      <w:lvlJc w:val="left"/>
      <w:pPr>
        <w:tabs>
          <w:tab w:val="num" w:pos="3684"/>
        </w:tabs>
        <w:ind w:left="1362" w:hanging="227"/>
      </w:pPr>
      <w:rPr>
        <w:rFonts w:hint="default"/>
      </w:rPr>
    </w:lvl>
    <w:lvl w:ilvl="6">
      <w:start w:val="1"/>
      <w:numFmt w:val="none"/>
      <w:lvlText w:val=""/>
      <w:lvlJc w:val="left"/>
      <w:pPr>
        <w:tabs>
          <w:tab w:val="num" w:pos="4364"/>
        </w:tabs>
        <w:ind w:left="1589" w:hanging="227"/>
      </w:pPr>
      <w:rPr>
        <w:rFonts w:hint="default"/>
      </w:rPr>
    </w:lvl>
    <w:lvl w:ilvl="7">
      <w:start w:val="1"/>
      <w:numFmt w:val="none"/>
      <w:lvlText w:val=""/>
      <w:lvlJc w:val="left"/>
      <w:pPr>
        <w:tabs>
          <w:tab w:val="num" w:pos="5044"/>
        </w:tabs>
        <w:ind w:left="1816" w:hanging="227"/>
      </w:pPr>
      <w:rPr>
        <w:rFonts w:hint="default"/>
      </w:rPr>
    </w:lvl>
    <w:lvl w:ilvl="8">
      <w:start w:val="1"/>
      <w:numFmt w:val="none"/>
      <w:lvlText w:val=""/>
      <w:lvlJc w:val="left"/>
      <w:pPr>
        <w:tabs>
          <w:tab w:val="num" w:pos="5724"/>
        </w:tabs>
        <w:ind w:left="2043" w:hanging="227"/>
      </w:pPr>
      <w:rPr>
        <w:rFonts w:hint="default"/>
      </w:rPr>
    </w:lvl>
  </w:abstractNum>
  <w:abstractNum w:abstractNumId="11" w15:restartNumberingAfterBreak="0">
    <w:nsid w:val="21987232"/>
    <w:multiLevelType w:val="multilevel"/>
    <w:tmpl w:val="837E0A84"/>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367E417A"/>
    <w:multiLevelType w:val="hybridMultilevel"/>
    <w:tmpl w:val="66962836"/>
    <w:lvl w:ilvl="0" w:tplc="06A0A9D8">
      <w:start w:val="1"/>
      <w:numFmt w:val="decimal"/>
      <w:lvlText w:val="%1"/>
      <w:lvlJc w:val="left"/>
      <w:pPr>
        <w:ind w:left="714" w:hanging="705"/>
      </w:pPr>
      <w:rPr>
        <w:rFonts w:hint="default"/>
      </w:rPr>
    </w:lvl>
    <w:lvl w:ilvl="1" w:tplc="0C090019" w:tentative="1">
      <w:start w:val="1"/>
      <w:numFmt w:val="lowerLetter"/>
      <w:lvlText w:val="%2."/>
      <w:lvlJc w:val="left"/>
      <w:pPr>
        <w:ind w:left="1089" w:hanging="360"/>
      </w:pPr>
    </w:lvl>
    <w:lvl w:ilvl="2" w:tplc="0C09001B" w:tentative="1">
      <w:start w:val="1"/>
      <w:numFmt w:val="lowerRoman"/>
      <w:lvlText w:val="%3."/>
      <w:lvlJc w:val="right"/>
      <w:pPr>
        <w:ind w:left="1809" w:hanging="180"/>
      </w:pPr>
    </w:lvl>
    <w:lvl w:ilvl="3" w:tplc="0C09000F" w:tentative="1">
      <w:start w:val="1"/>
      <w:numFmt w:val="decimal"/>
      <w:lvlText w:val="%4."/>
      <w:lvlJc w:val="left"/>
      <w:pPr>
        <w:ind w:left="2529" w:hanging="360"/>
      </w:pPr>
    </w:lvl>
    <w:lvl w:ilvl="4" w:tplc="0C090019" w:tentative="1">
      <w:start w:val="1"/>
      <w:numFmt w:val="lowerLetter"/>
      <w:lvlText w:val="%5."/>
      <w:lvlJc w:val="left"/>
      <w:pPr>
        <w:ind w:left="3249" w:hanging="360"/>
      </w:pPr>
    </w:lvl>
    <w:lvl w:ilvl="5" w:tplc="0C09001B" w:tentative="1">
      <w:start w:val="1"/>
      <w:numFmt w:val="lowerRoman"/>
      <w:lvlText w:val="%6."/>
      <w:lvlJc w:val="right"/>
      <w:pPr>
        <w:ind w:left="3969" w:hanging="180"/>
      </w:pPr>
    </w:lvl>
    <w:lvl w:ilvl="6" w:tplc="0C09000F" w:tentative="1">
      <w:start w:val="1"/>
      <w:numFmt w:val="decimal"/>
      <w:lvlText w:val="%7."/>
      <w:lvlJc w:val="left"/>
      <w:pPr>
        <w:ind w:left="4689" w:hanging="360"/>
      </w:pPr>
    </w:lvl>
    <w:lvl w:ilvl="7" w:tplc="0C090019" w:tentative="1">
      <w:start w:val="1"/>
      <w:numFmt w:val="lowerLetter"/>
      <w:lvlText w:val="%8."/>
      <w:lvlJc w:val="left"/>
      <w:pPr>
        <w:ind w:left="5409" w:hanging="360"/>
      </w:pPr>
    </w:lvl>
    <w:lvl w:ilvl="8" w:tplc="0C09001B" w:tentative="1">
      <w:start w:val="1"/>
      <w:numFmt w:val="lowerRoman"/>
      <w:lvlText w:val="%9."/>
      <w:lvlJc w:val="right"/>
      <w:pPr>
        <w:ind w:left="6129" w:hanging="180"/>
      </w:pPr>
    </w:lvl>
  </w:abstractNum>
  <w:abstractNum w:abstractNumId="13" w15:restartNumberingAfterBreak="0">
    <w:nsid w:val="6D047181"/>
    <w:multiLevelType w:val="multilevel"/>
    <w:tmpl w:val="14EAB5DA"/>
    <w:numStyleLink w:val="Bullets"/>
  </w:abstractNum>
  <w:abstractNum w:abstractNumId="14" w15:restartNumberingAfterBreak="0">
    <w:nsid w:val="71FF0526"/>
    <w:multiLevelType w:val="multilevel"/>
    <w:tmpl w:val="1AC44A62"/>
    <w:styleLink w:val="NumberedHeadings"/>
    <w:lvl w:ilvl="0">
      <w:start w:val="1"/>
      <w:numFmt w:val="decimal"/>
      <w:pStyle w:val="SectionDividerTitle"/>
      <w:lvlText w:val="%1"/>
      <w:lvlJc w:val="left"/>
      <w:pPr>
        <w:ind w:left="2041" w:hanging="2041"/>
      </w:pPr>
      <w:rPr>
        <w:rFonts w:asciiTheme="minorHAnsi" w:hAnsiTheme="minorHAnsi" w:hint="default"/>
        <w:b/>
        <w:i w:val="0"/>
        <w:color w:val="82C341" w:themeColor="background1"/>
        <w:sz w:val="72"/>
      </w:rPr>
    </w:lvl>
    <w:lvl w:ilvl="1">
      <w:start w:val="1"/>
      <w:numFmt w:val="decimal"/>
      <w:pStyle w:val="Heading1Numbered"/>
      <w:lvlText w:val="%1.%2"/>
      <w:lvlJc w:val="left"/>
      <w:pPr>
        <w:ind w:left="0" w:hanging="851"/>
      </w:pPr>
      <w:rPr>
        <w:rFonts w:hint="default"/>
      </w:rPr>
    </w:lvl>
    <w:lvl w:ilvl="2">
      <w:start w:val="1"/>
      <w:numFmt w:val="decimal"/>
      <w:pStyle w:val="Heading2Numbered"/>
      <w:lvlText w:val="%1.%2.%3"/>
      <w:lvlJc w:val="left"/>
      <w:pPr>
        <w:ind w:left="1419" w:hanging="567"/>
      </w:pPr>
      <w:rPr>
        <w:rFonts w:hint="default"/>
      </w:rPr>
    </w:lvl>
    <w:lvl w:ilvl="3">
      <w:start w:val="1"/>
      <w:numFmt w:val="decimal"/>
      <w:pStyle w:val="Heading3Numbered"/>
      <w:lvlText w:val="%1.%2.%3.%4"/>
      <w:lvlJc w:val="left"/>
      <w:pPr>
        <w:ind w:left="567" w:hanging="567"/>
      </w:pPr>
      <w:rPr>
        <w:rFonts w:hint="default"/>
      </w:rPr>
    </w:lvl>
    <w:lvl w:ilvl="4">
      <w:start w:val="1"/>
      <w:numFmt w:val="none"/>
      <w:lvlText w:val=""/>
      <w:lvlJc w:val="left"/>
      <w:pPr>
        <w:ind w:left="2041" w:hanging="4082"/>
      </w:pPr>
      <w:rPr>
        <w:rFonts w:hint="default"/>
      </w:rPr>
    </w:lvl>
    <w:lvl w:ilvl="5">
      <w:start w:val="1"/>
      <w:numFmt w:val="none"/>
      <w:lvlText w:val=""/>
      <w:lvlJc w:val="left"/>
      <w:pPr>
        <w:ind w:left="2041" w:hanging="4082"/>
      </w:pPr>
      <w:rPr>
        <w:rFonts w:hint="default"/>
      </w:rPr>
    </w:lvl>
    <w:lvl w:ilvl="6">
      <w:start w:val="1"/>
      <w:numFmt w:val="none"/>
      <w:lvlText w:val=""/>
      <w:lvlJc w:val="left"/>
      <w:pPr>
        <w:ind w:left="2041" w:hanging="4082"/>
      </w:pPr>
      <w:rPr>
        <w:rFonts w:hint="default"/>
      </w:rPr>
    </w:lvl>
    <w:lvl w:ilvl="7">
      <w:start w:val="1"/>
      <w:numFmt w:val="none"/>
      <w:lvlText w:val=""/>
      <w:lvlJc w:val="left"/>
      <w:pPr>
        <w:ind w:left="2041" w:hanging="4082"/>
      </w:pPr>
      <w:rPr>
        <w:rFonts w:hint="default"/>
      </w:rPr>
    </w:lvl>
    <w:lvl w:ilvl="8">
      <w:start w:val="1"/>
      <w:numFmt w:val="none"/>
      <w:lvlText w:val=""/>
      <w:lvlJc w:val="left"/>
      <w:pPr>
        <w:ind w:left="2041" w:hanging="4082"/>
      </w:pPr>
      <w:rPr>
        <w:rFonts w:hint="default"/>
      </w:rPr>
    </w:lvl>
  </w:abstractNum>
  <w:abstractNum w:abstractNumId="15" w15:restartNumberingAfterBreak="0">
    <w:nsid w:val="71FF0823"/>
    <w:multiLevelType w:val="multilevel"/>
    <w:tmpl w:val="1AC44A62"/>
    <w:numStyleLink w:val="NumberedHeadings"/>
  </w:abstractNum>
  <w:num w:numId="1">
    <w:abstractNumId w:val="3"/>
  </w:num>
  <w:num w:numId="2">
    <w:abstractNumId w:val="2"/>
  </w:num>
  <w:num w:numId="3">
    <w:abstractNumId w:val="1"/>
  </w:num>
  <w:num w:numId="4">
    <w:abstractNumId w:val="0"/>
  </w:num>
  <w:num w:numId="5">
    <w:abstractNumId w:val="10"/>
  </w:num>
  <w:num w:numId="6">
    <w:abstractNumId w:val="14"/>
  </w:num>
  <w:num w:numId="7">
    <w:abstractNumId w:val="9"/>
  </w:num>
  <w:num w:numId="8">
    <w:abstractNumId w:val="8"/>
  </w:num>
  <w:num w:numId="9">
    <w:abstractNumId w:val="11"/>
  </w:num>
  <w:num w:numId="10">
    <w:abstractNumId w:val="6"/>
  </w:num>
  <w:num w:numId="11">
    <w:abstractNumId w:val="13"/>
  </w:num>
  <w:num w:numId="12">
    <w:abstractNumId w:val="7"/>
  </w:num>
  <w:num w:numId="13">
    <w:abstractNumId w:val="15"/>
  </w:num>
  <w:num w:numId="14">
    <w:abstractNumId w:val="12"/>
  </w:num>
  <w:num w:numId="15">
    <w:abstractNumId w:val="5"/>
  </w:num>
  <w:num w:numId="16">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OxsDAyMjAxMDE0NjZV0lEKTi0uzszPAykws6gFAMV8Uy8tAAAA"/>
  </w:docVars>
  <w:rsids>
    <w:rsidRoot w:val="00B97FF6"/>
    <w:rsid w:val="000004F9"/>
    <w:rsid w:val="0000307E"/>
    <w:rsid w:val="0000368F"/>
    <w:rsid w:val="000042E3"/>
    <w:rsid w:val="00004663"/>
    <w:rsid w:val="0000628D"/>
    <w:rsid w:val="00011955"/>
    <w:rsid w:val="00014F29"/>
    <w:rsid w:val="00016449"/>
    <w:rsid w:val="00016490"/>
    <w:rsid w:val="000170FC"/>
    <w:rsid w:val="00020F9A"/>
    <w:rsid w:val="00022479"/>
    <w:rsid w:val="00023562"/>
    <w:rsid w:val="000237D6"/>
    <w:rsid w:val="00023FB5"/>
    <w:rsid w:val="00024CD9"/>
    <w:rsid w:val="000254BB"/>
    <w:rsid w:val="00025A68"/>
    <w:rsid w:val="00026206"/>
    <w:rsid w:val="0003104A"/>
    <w:rsid w:val="000350BF"/>
    <w:rsid w:val="0004300D"/>
    <w:rsid w:val="00043D56"/>
    <w:rsid w:val="000446AA"/>
    <w:rsid w:val="000459A0"/>
    <w:rsid w:val="00046386"/>
    <w:rsid w:val="000523DA"/>
    <w:rsid w:val="000548BD"/>
    <w:rsid w:val="00057D24"/>
    <w:rsid w:val="00061964"/>
    <w:rsid w:val="00062448"/>
    <w:rsid w:val="00062ACC"/>
    <w:rsid w:val="00066A6B"/>
    <w:rsid w:val="00067772"/>
    <w:rsid w:val="00070159"/>
    <w:rsid w:val="00070EF8"/>
    <w:rsid w:val="00071472"/>
    <w:rsid w:val="000724A8"/>
    <w:rsid w:val="00073841"/>
    <w:rsid w:val="00074814"/>
    <w:rsid w:val="00074975"/>
    <w:rsid w:val="00075678"/>
    <w:rsid w:val="0007569F"/>
    <w:rsid w:val="00075E0E"/>
    <w:rsid w:val="000762DC"/>
    <w:rsid w:val="000803CD"/>
    <w:rsid w:val="000816AC"/>
    <w:rsid w:val="000817BB"/>
    <w:rsid w:val="0008190F"/>
    <w:rsid w:val="00084A1A"/>
    <w:rsid w:val="00084A77"/>
    <w:rsid w:val="00084B28"/>
    <w:rsid w:val="0009122F"/>
    <w:rsid w:val="000929D8"/>
    <w:rsid w:val="0009342F"/>
    <w:rsid w:val="00095593"/>
    <w:rsid w:val="0009703E"/>
    <w:rsid w:val="00097348"/>
    <w:rsid w:val="000A0783"/>
    <w:rsid w:val="000A2AD9"/>
    <w:rsid w:val="000A2FDA"/>
    <w:rsid w:val="000A5AFC"/>
    <w:rsid w:val="000A638B"/>
    <w:rsid w:val="000A6F7B"/>
    <w:rsid w:val="000A7E9D"/>
    <w:rsid w:val="000A7FE8"/>
    <w:rsid w:val="000B135A"/>
    <w:rsid w:val="000B21AE"/>
    <w:rsid w:val="000B26F8"/>
    <w:rsid w:val="000B3727"/>
    <w:rsid w:val="000B69D8"/>
    <w:rsid w:val="000B7550"/>
    <w:rsid w:val="000C25F2"/>
    <w:rsid w:val="000C2E25"/>
    <w:rsid w:val="000C306A"/>
    <w:rsid w:val="000C3D28"/>
    <w:rsid w:val="000C5468"/>
    <w:rsid w:val="000C5E8A"/>
    <w:rsid w:val="000C7D6D"/>
    <w:rsid w:val="000D1F03"/>
    <w:rsid w:val="000D26B9"/>
    <w:rsid w:val="000D58CF"/>
    <w:rsid w:val="000D6913"/>
    <w:rsid w:val="000E1236"/>
    <w:rsid w:val="000E2248"/>
    <w:rsid w:val="000E305D"/>
    <w:rsid w:val="000E3CFF"/>
    <w:rsid w:val="000E4C99"/>
    <w:rsid w:val="000E4EA0"/>
    <w:rsid w:val="000E5BE8"/>
    <w:rsid w:val="000E7187"/>
    <w:rsid w:val="000E7305"/>
    <w:rsid w:val="000F2E72"/>
    <w:rsid w:val="000F32A8"/>
    <w:rsid w:val="000F3B17"/>
    <w:rsid w:val="000F5020"/>
    <w:rsid w:val="000F56D6"/>
    <w:rsid w:val="000F69CB"/>
    <w:rsid w:val="0010183C"/>
    <w:rsid w:val="00101A99"/>
    <w:rsid w:val="00102368"/>
    <w:rsid w:val="00103014"/>
    <w:rsid w:val="001045F9"/>
    <w:rsid w:val="00107C0D"/>
    <w:rsid w:val="00111749"/>
    <w:rsid w:val="0011289D"/>
    <w:rsid w:val="00114BE9"/>
    <w:rsid w:val="00114C34"/>
    <w:rsid w:val="00120B61"/>
    <w:rsid w:val="00130AB4"/>
    <w:rsid w:val="001362BD"/>
    <w:rsid w:val="00136A6F"/>
    <w:rsid w:val="001373F6"/>
    <w:rsid w:val="00142451"/>
    <w:rsid w:val="00145539"/>
    <w:rsid w:val="00145A45"/>
    <w:rsid w:val="0014690B"/>
    <w:rsid w:val="00146998"/>
    <w:rsid w:val="00150E00"/>
    <w:rsid w:val="00154622"/>
    <w:rsid w:val="001548E3"/>
    <w:rsid w:val="00154C4D"/>
    <w:rsid w:val="00157CA8"/>
    <w:rsid w:val="00157ED6"/>
    <w:rsid w:val="00160153"/>
    <w:rsid w:val="00164525"/>
    <w:rsid w:val="00164C38"/>
    <w:rsid w:val="001664BB"/>
    <w:rsid w:val="0016744F"/>
    <w:rsid w:val="00167A3D"/>
    <w:rsid w:val="001705CF"/>
    <w:rsid w:val="00171BB3"/>
    <w:rsid w:val="00172D5F"/>
    <w:rsid w:val="001761C8"/>
    <w:rsid w:val="00181ADC"/>
    <w:rsid w:val="0018225B"/>
    <w:rsid w:val="00186FF5"/>
    <w:rsid w:val="00187FE8"/>
    <w:rsid w:val="00191118"/>
    <w:rsid w:val="00191121"/>
    <w:rsid w:val="001922BB"/>
    <w:rsid w:val="0019616A"/>
    <w:rsid w:val="0019671B"/>
    <w:rsid w:val="00196E95"/>
    <w:rsid w:val="001A0253"/>
    <w:rsid w:val="001A260F"/>
    <w:rsid w:val="001A4B07"/>
    <w:rsid w:val="001A6628"/>
    <w:rsid w:val="001B01F3"/>
    <w:rsid w:val="001B3781"/>
    <w:rsid w:val="001B43F4"/>
    <w:rsid w:val="001B5335"/>
    <w:rsid w:val="001B5FF9"/>
    <w:rsid w:val="001B77FA"/>
    <w:rsid w:val="001C12ED"/>
    <w:rsid w:val="001C15C2"/>
    <w:rsid w:val="001C1E01"/>
    <w:rsid w:val="001C1FA5"/>
    <w:rsid w:val="001C21F7"/>
    <w:rsid w:val="001C3D17"/>
    <w:rsid w:val="001C67E9"/>
    <w:rsid w:val="001D329E"/>
    <w:rsid w:val="001E0B7D"/>
    <w:rsid w:val="001E17E9"/>
    <w:rsid w:val="001E26AB"/>
    <w:rsid w:val="001E4E8F"/>
    <w:rsid w:val="001E5C54"/>
    <w:rsid w:val="001E68C8"/>
    <w:rsid w:val="001F07FE"/>
    <w:rsid w:val="001F20BD"/>
    <w:rsid w:val="001F3676"/>
    <w:rsid w:val="001F4CB0"/>
    <w:rsid w:val="001F5270"/>
    <w:rsid w:val="001F6DFC"/>
    <w:rsid w:val="001F70AF"/>
    <w:rsid w:val="002019D6"/>
    <w:rsid w:val="00203800"/>
    <w:rsid w:val="0020394F"/>
    <w:rsid w:val="00203F61"/>
    <w:rsid w:val="00204068"/>
    <w:rsid w:val="00204AC2"/>
    <w:rsid w:val="0020592A"/>
    <w:rsid w:val="00207AAD"/>
    <w:rsid w:val="002105A4"/>
    <w:rsid w:val="002122BA"/>
    <w:rsid w:val="00212E43"/>
    <w:rsid w:val="00214225"/>
    <w:rsid w:val="00214926"/>
    <w:rsid w:val="00216F2C"/>
    <w:rsid w:val="002174A2"/>
    <w:rsid w:val="00220FD7"/>
    <w:rsid w:val="002211F4"/>
    <w:rsid w:val="00221487"/>
    <w:rsid w:val="00226542"/>
    <w:rsid w:val="00227ADC"/>
    <w:rsid w:val="00230269"/>
    <w:rsid w:val="00230C53"/>
    <w:rsid w:val="00235B47"/>
    <w:rsid w:val="00237BBA"/>
    <w:rsid w:val="00237F37"/>
    <w:rsid w:val="00240079"/>
    <w:rsid w:val="00243BCE"/>
    <w:rsid w:val="0025058C"/>
    <w:rsid w:val="00251F7B"/>
    <w:rsid w:val="00251FEB"/>
    <w:rsid w:val="0025276B"/>
    <w:rsid w:val="002547FA"/>
    <w:rsid w:val="00263D15"/>
    <w:rsid w:val="00265EE2"/>
    <w:rsid w:val="002662F1"/>
    <w:rsid w:val="002671B2"/>
    <w:rsid w:val="00267612"/>
    <w:rsid w:val="00271428"/>
    <w:rsid w:val="00271B6C"/>
    <w:rsid w:val="00275002"/>
    <w:rsid w:val="0027550D"/>
    <w:rsid w:val="002766FF"/>
    <w:rsid w:val="0027681C"/>
    <w:rsid w:val="00276A2D"/>
    <w:rsid w:val="00277FA7"/>
    <w:rsid w:val="00281D71"/>
    <w:rsid w:val="0028207D"/>
    <w:rsid w:val="00285938"/>
    <w:rsid w:val="00295707"/>
    <w:rsid w:val="002957A6"/>
    <w:rsid w:val="00297946"/>
    <w:rsid w:val="002A1766"/>
    <w:rsid w:val="002A1989"/>
    <w:rsid w:val="002A2168"/>
    <w:rsid w:val="002A278B"/>
    <w:rsid w:val="002A4D1A"/>
    <w:rsid w:val="002A5C96"/>
    <w:rsid w:val="002A5D4A"/>
    <w:rsid w:val="002A7A10"/>
    <w:rsid w:val="002B13A1"/>
    <w:rsid w:val="002B518A"/>
    <w:rsid w:val="002B5DFB"/>
    <w:rsid w:val="002B6DE1"/>
    <w:rsid w:val="002B7B29"/>
    <w:rsid w:val="002B7CB6"/>
    <w:rsid w:val="002C0079"/>
    <w:rsid w:val="002C091F"/>
    <w:rsid w:val="002C1573"/>
    <w:rsid w:val="002C37AB"/>
    <w:rsid w:val="002C5201"/>
    <w:rsid w:val="002C5472"/>
    <w:rsid w:val="002C5513"/>
    <w:rsid w:val="002C6684"/>
    <w:rsid w:val="002D1587"/>
    <w:rsid w:val="002D3633"/>
    <w:rsid w:val="002D72B0"/>
    <w:rsid w:val="002D7F26"/>
    <w:rsid w:val="002E2A72"/>
    <w:rsid w:val="002E4C0D"/>
    <w:rsid w:val="002E5385"/>
    <w:rsid w:val="002E583F"/>
    <w:rsid w:val="002E5F17"/>
    <w:rsid w:val="002F3B9A"/>
    <w:rsid w:val="002F3DEC"/>
    <w:rsid w:val="00300C34"/>
    <w:rsid w:val="0030192E"/>
    <w:rsid w:val="00301960"/>
    <w:rsid w:val="003029DE"/>
    <w:rsid w:val="00302C86"/>
    <w:rsid w:val="003032F8"/>
    <w:rsid w:val="00303DF1"/>
    <w:rsid w:val="00304F91"/>
    <w:rsid w:val="00306340"/>
    <w:rsid w:val="00306EEA"/>
    <w:rsid w:val="003111A2"/>
    <w:rsid w:val="00312204"/>
    <w:rsid w:val="00315879"/>
    <w:rsid w:val="00316BBC"/>
    <w:rsid w:val="00316CF7"/>
    <w:rsid w:val="00330511"/>
    <w:rsid w:val="00331D83"/>
    <w:rsid w:val="00333325"/>
    <w:rsid w:val="003373A3"/>
    <w:rsid w:val="0034004D"/>
    <w:rsid w:val="00342D0E"/>
    <w:rsid w:val="00343F5C"/>
    <w:rsid w:val="00345281"/>
    <w:rsid w:val="003503CB"/>
    <w:rsid w:val="00350CB3"/>
    <w:rsid w:val="00352DD1"/>
    <w:rsid w:val="00353DD3"/>
    <w:rsid w:val="00356B6F"/>
    <w:rsid w:val="00360BA8"/>
    <w:rsid w:val="003627DA"/>
    <w:rsid w:val="00362E17"/>
    <w:rsid w:val="00363785"/>
    <w:rsid w:val="0036448C"/>
    <w:rsid w:val="00365E4F"/>
    <w:rsid w:val="003671A6"/>
    <w:rsid w:val="00370D7E"/>
    <w:rsid w:val="00370FC1"/>
    <w:rsid w:val="0037370F"/>
    <w:rsid w:val="00377793"/>
    <w:rsid w:val="0038079A"/>
    <w:rsid w:val="003807CC"/>
    <w:rsid w:val="00380986"/>
    <w:rsid w:val="00384DFD"/>
    <w:rsid w:val="00385E7C"/>
    <w:rsid w:val="00386CA8"/>
    <w:rsid w:val="00392285"/>
    <w:rsid w:val="0039266E"/>
    <w:rsid w:val="00392CD9"/>
    <w:rsid w:val="003A2E29"/>
    <w:rsid w:val="003A44AB"/>
    <w:rsid w:val="003A761A"/>
    <w:rsid w:val="003A7C37"/>
    <w:rsid w:val="003B07B7"/>
    <w:rsid w:val="003B32D3"/>
    <w:rsid w:val="003B39C1"/>
    <w:rsid w:val="003B3FC9"/>
    <w:rsid w:val="003B78C3"/>
    <w:rsid w:val="003C3FA8"/>
    <w:rsid w:val="003C5672"/>
    <w:rsid w:val="003C6CCA"/>
    <w:rsid w:val="003C7029"/>
    <w:rsid w:val="003E518E"/>
    <w:rsid w:val="003E5515"/>
    <w:rsid w:val="003E5A24"/>
    <w:rsid w:val="003E6177"/>
    <w:rsid w:val="003F0846"/>
    <w:rsid w:val="003F09FB"/>
    <w:rsid w:val="003F36F8"/>
    <w:rsid w:val="003F3912"/>
    <w:rsid w:val="003F43E5"/>
    <w:rsid w:val="003F640E"/>
    <w:rsid w:val="003F6845"/>
    <w:rsid w:val="0040013F"/>
    <w:rsid w:val="00401BD2"/>
    <w:rsid w:val="004029F6"/>
    <w:rsid w:val="004079F1"/>
    <w:rsid w:val="00410184"/>
    <w:rsid w:val="00412CE0"/>
    <w:rsid w:val="00413ADF"/>
    <w:rsid w:val="004149A5"/>
    <w:rsid w:val="004169A4"/>
    <w:rsid w:val="004204BB"/>
    <w:rsid w:val="004216E0"/>
    <w:rsid w:val="00422A1A"/>
    <w:rsid w:val="00423C02"/>
    <w:rsid w:val="00424118"/>
    <w:rsid w:val="00425449"/>
    <w:rsid w:val="004260C2"/>
    <w:rsid w:val="00430426"/>
    <w:rsid w:val="00430D82"/>
    <w:rsid w:val="00431E0B"/>
    <w:rsid w:val="00436744"/>
    <w:rsid w:val="0043792C"/>
    <w:rsid w:val="00441308"/>
    <w:rsid w:val="004424D9"/>
    <w:rsid w:val="00444EF0"/>
    <w:rsid w:val="0044521E"/>
    <w:rsid w:val="00445DB8"/>
    <w:rsid w:val="00446192"/>
    <w:rsid w:val="00447736"/>
    <w:rsid w:val="0045012C"/>
    <w:rsid w:val="0045125A"/>
    <w:rsid w:val="004525C8"/>
    <w:rsid w:val="00453919"/>
    <w:rsid w:val="00454AC1"/>
    <w:rsid w:val="00454D31"/>
    <w:rsid w:val="00456498"/>
    <w:rsid w:val="0045749D"/>
    <w:rsid w:val="004620EE"/>
    <w:rsid w:val="004648CA"/>
    <w:rsid w:val="00470899"/>
    <w:rsid w:val="0047146C"/>
    <w:rsid w:val="00474364"/>
    <w:rsid w:val="00475927"/>
    <w:rsid w:val="00476203"/>
    <w:rsid w:val="00477F36"/>
    <w:rsid w:val="00481548"/>
    <w:rsid w:val="0048210B"/>
    <w:rsid w:val="00485837"/>
    <w:rsid w:val="00485FBA"/>
    <w:rsid w:val="0048763C"/>
    <w:rsid w:val="004917E0"/>
    <w:rsid w:val="00493A58"/>
    <w:rsid w:val="00493BF3"/>
    <w:rsid w:val="00493D80"/>
    <w:rsid w:val="004950C7"/>
    <w:rsid w:val="00495881"/>
    <w:rsid w:val="00496056"/>
    <w:rsid w:val="004A041D"/>
    <w:rsid w:val="004A1409"/>
    <w:rsid w:val="004A171C"/>
    <w:rsid w:val="004A1BAB"/>
    <w:rsid w:val="004A20D2"/>
    <w:rsid w:val="004A2D0D"/>
    <w:rsid w:val="004A6270"/>
    <w:rsid w:val="004A6FC5"/>
    <w:rsid w:val="004A7C9F"/>
    <w:rsid w:val="004B0021"/>
    <w:rsid w:val="004B15A4"/>
    <w:rsid w:val="004B1CCE"/>
    <w:rsid w:val="004B2FDD"/>
    <w:rsid w:val="004B4ED4"/>
    <w:rsid w:val="004B576D"/>
    <w:rsid w:val="004B6CCB"/>
    <w:rsid w:val="004C1CAB"/>
    <w:rsid w:val="004C1F03"/>
    <w:rsid w:val="004C1F4D"/>
    <w:rsid w:val="004C42D4"/>
    <w:rsid w:val="004C46FD"/>
    <w:rsid w:val="004C5297"/>
    <w:rsid w:val="004C74E5"/>
    <w:rsid w:val="004D007A"/>
    <w:rsid w:val="004D07BA"/>
    <w:rsid w:val="004D0F7D"/>
    <w:rsid w:val="004D2B6D"/>
    <w:rsid w:val="004D3D6C"/>
    <w:rsid w:val="004D4924"/>
    <w:rsid w:val="004E072E"/>
    <w:rsid w:val="004E0CEB"/>
    <w:rsid w:val="004E348D"/>
    <w:rsid w:val="004E4D23"/>
    <w:rsid w:val="004E75D0"/>
    <w:rsid w:val="004F0308"/>
    <w:rsid w:val="004F133C"/>
    <w:rsid w:val="004F2C0D"/>
    <w:rsid w:val="004F40A6"/>
    <w:rsid w:val="004F5E46"/>
    <w:rsid w:val="004F700D"/>
    <w:rsid w:val="0050214A"/>
    <w:rsid w:val="005026F0"/>
    <w:rsid w:val="00502AF9"/>
    <w:rsid w:val="00502E33"/>
    <w:rsid w:val="005055BA"/>
    <w:rsid w:val="005061B2"/>
    <w:rsid w:val="005068BC"/>
    <w:rsid w:val="00507E6B"/>
    <w:rsid w:val="005112BC"/>
    <w:rsid w:val="0051173E"/>
    <w:rsid w:val="00514EE9"/>
    <w:rsid w:val="0051535D"/>
    <w:rsid w:val="00515BF8"/>
    <w:rsid w:val="00517754"/>
    <w:rsid w:val="00517A65"/>
    <w:rsid w:val="005230EB"/>
    <w:rsid w:val="0052316F"/>
    <w:rsid w:val="00524022"/>
    <w:rsid w:val="00524A0F"/>
    <w:rsid w:val="0052520E"/>
    <w:rsid w:val="00525972"/>
    <w:rsid w:val="005274AC"/>
    <w:rsid w:val="005279E6"/>
    <w:rsid w:val="00530644"/>
    <w:rsid w:val="005306AC"/>
    <w:rsid w:val="005312DC"/>
    <w:rsid w:val="00531637"/>
    <w:rsid w:val="00531EB8"/>
    <w:rsid w:val="00533F53"/>
    <w:rsid w:val="00534897"/>
    <w:rsid w:val="00535B23"/>
    <w:rsid w:val="00537474"/>
    <w:rsid w:val="00537859"/>
    <w:rsid w:val="00540751"/>
    <w:rsid w:val="00541CB3"/>
    <w:rsid w:val="00542CF3"/>
    <w:rsid w:val="00543122"/>
    <w:rsid w:val="00544829"/>
    <w:rsid w:val="00545C29"/>
    <w:rsid w:val="0054706E"/>
    <w:rsid w:val="00550512"/>
    <w:rsid w:val="0055362A"/>
    <w:rsid w:val="0055734C"/>
    <w:rsid w:val="00561730"/>
    <w:rsid w:val="00563882"/>
    <w:rsid w:val="00565D48"/>
    <w:rsid w:val="00566CBB"/>
    <w:rsid w:val="00567FCB"/>
    <w:rsid w:val="005724C4"/>
    <w:rsid w:val="00572746"/>
    <w:rsid w:val="00572CB8"/>
    <w:rsid w:val="00574167"/>
    <w:rsid w:val="00575B8C"/>
    <w:rsid w:val="005779D1"/>
    <w:rsid w:val="0058370D"/>
    <w:rsid w:val="00583BAF"/>
    <w:rsid w:val="0058430E"/>
    <w:rsid w:val="005844EA"/>
    <w:rsid w:val="00586151"/>
    <w:rsid w:val="00586860"/>
    <w:rsid w:val="00586D62"/>
    <w:rsid w:val="00586EE1"/>
    <w:rsid w:val="00587025"/>
    <w:rsid w:val="005953BA"/>
    <w:rsid w:val="00595B96"/>
    <w:rsid w:val="00596FE7"/>
    <w:rsid w:val="00597BAB"/>
    <w:rsid w:val="005A081E"/>
    <w:rsid w:val="005A1328"/>
    <w:rsid w:val="005A681D"/>
    <w:rsid w:val="005A6C91"/>
    <w:rsid w:val="005A7702"/>
    <w:rsid w:val="005B0985"/>
    <w:rsid w:val="005B111C"/>
    <w:rsid w:val="005B222E"/>
    <w:rsid w:val="005B312F"/>
    <w:rsid w:val="005B3289"/>
    <w:rsid w:val="005C2778"/>
    <w:rsid w:val="005C2A61"/>
    <w:rsid w:val="005C3293"/>
    <w:rsid w:val="005C4B25"/>
    <w:rsid w:val="005C5FCD"/>
    <w:rsid w:val="005C73CC"/>
    <w:rsid w:val="005D1666"/>
    <w:rsid w:val="005D2780"/>
    <w:rsid w:val="005D62B7"/>
    <w:rsid w:val="005E05CD"/>
    <w:rsid w:val="005E0761"/>
    <w:rsid w:val="005E2444"/>
    <w:rsid w:val="005E2C76"/>
    <w:rsid w:val="005E3D92"/>
    <w:rsid w:val="005E3E26"/>
    <w:rsid w:val="005E479F"/>
    <w:rsid w:val="005F2FC3"/>
    <w:rsid w:val="005F353C"/>
    <w:rsid w:val="005F3D1B"/>
    <w:rsid w:val="005F4F57"/>
    <w:rsid w:val="005F6C58"/>
    <w:rsid w:val="006007F4"/>
    <w:rsid w:val="00600B43"/>
    <w:rsid w:val="00601159"/>
    <w:rsid w:val="00601564"/>
    <w:rsid w:val="0060470F"/>
    <w:rsid w:val="00606638"/>
    <w:rsid w:val="00611A79"/>
    <w:rsid w:val="00612ED0"/>
    <w:rsid w:val="00613CBF"/>
    <w:rsid w:val="00616DC2"/>
    <w:rsid w:val="006201C6"/>
    <w:rsid w:val="00620868"/>
    <w:rsid w:val="006210D1"/>
    <w:rsid w:val="0062450C"/>
    <w:rsid w:val="00624605"/>
    <w:rsid w:val="00625051"/>
    <w:rsid w:val="006253A9"/>
    <w:rsid w:val="00625746"/>
    <w:rsid w:val="00625FFE"/>
    <w:rsid w:val="00626E55"/>
    <w:rsid w:val="00627572"/>
    <w:rsid w:val="00627BFF"/>
    <w:rsid w:val="006338CF"/>
    <w:rsid w:val="006343E8"/>
    <w:rsid w:val="00634B31"/>
    <w:rsid w:val="00634C3E"/>
    <w:rsid w:val="00635A90"/>
    <w:rsid w:val="006410DE"/>
    <w:rsid w:val="00646AD5"/>
    <w:rsid w:val="006471E3"/>
    <w:rsid w:val="00647203"/>
    <w:rsid w:val="00647D3C"/>
    <w:rsid w:val="00651B00"/>
    <w:rsid w:val="00653327"/>
    <w:rsid w:val="006539C3"/>
    <w:rsid w:val="00654AF6"/>
    <w:rsid w:val="00654E33"/>
    <w:rsid w:val="006557C5"/>
    <w:rsid w:val="00657CEA"/>
    <w:rsid w:val="00660283"/>
    <w:rsid w:val="00660E6D"/>
    <w:rsid w:val="00661161"/>
    <w:rsid w:val="0066227E"/>
    <w:rsid w:val="0066286F"/>
    <w:rsid w:val="00663CB2"/>
    <w:rsid w:val="00664213"/>
    <w:rsid w:val="00665DF7"/>
    <w:rsid w:val="00665EFA"/>
    <w:rsid w:val="00666C9D"/>
    <w:rsid w:val="00667471"/>
    <w:rsid w:val="0067465E"/>
    <w:rsid w:val="0068035F"/>
    <w:rsid w:val="00682856"/>
    <w:rsid w:val="00684FC4"/>
    <w:rsid w:val="0069065C"/>
    <w:rsid w:val="00690CAC"/>
    <w:rsid w:val="00690DF0"/>
    <w:rsid w:val="0069188A"/>
    <w:rsid w:val="00692ACC"/>
    <w:rsid w:val="006934F2"/>
    <w:rsid w:val="006938FB"/>
    <w:rsid w:val="00693DC4"/>
    <w:rsid w:val="00693F2F"/>
    <w:rsid w:val="006960EF"/>
    <w:rsid w:val="00697FB2"/>
    <w:rsid w:val="006A5432"/>
    <w:rsid w:val="006A6757"/>
    <w:rsid w:val="006B0D7B"/>
    <w:rsid w:val="006B233D"/>
    <w:rsid w:val="006B41CF"/>
    <w:rsid w:val="006B6977"/>
    <w:rsid w:val="006C4A5C"/>
    <w:rsid w:val="006C5493"/>
    <w:rsid w:val="006D2078"/>
    <w:rsid w:val="006D35CF"/>
    <w:rsid w:val="006D43FD"/>
    <w:rsid w:val="006D4782"/>
    <w:rsid w:val="006D4C3C"/>
    <w:rsid w:val="006D5547"/>
    <w:rsid w:val="006D63EA"/>
    <w:rsid w:val="006E1230"/>
    <w:rsid w:val="006E1B05"/>
    <w:rsid w:val="006E581B"/>
    <w:rsid w:val="006E5CBD"/>
    <w:rsid w:val="006E5DE9"/>
    <w:rsid w:val="006E76F7"/>
    <w:rsid w:val="006F0287"/>
    <w:rsid w:val="006F0612"/>
    <w:rsid w:val="006F2F45"/>
    <w:rsid w:val="006F43E5"/>
    <w:rsid w:val="006F6B9C"/>
    <w:rsid w:val="006F7B47"/>
    <w:rsid w:val="006F7E30"/>
    <w:rsid w:val="006F7F28"/>
    <w:rsid w:val="006F7F2D"/>
    <w:rsid w:val="007013B9"/>
    <w:rsid w:val="007058E9"/>
    <w:rsid w:val="00706AB1"/>
    <w:rsid w:val="00710901"/>
    <w:rsid w:val="00711726"/>
    <w:rsid w:val="00712DE1"/>
    <w:rsid w:val="00713915"/>
    <w:rsid w:val="00714974"/>
    <w:rsid w:val="00714F96"/>
    <w:rsid w:val="00715E79"/>
    <w:rsid w:val="00716683"/>
    <w:rsid w:val="007166FD"/>
    <w:rsid w:val="00716AAC"/>
    <w:rsid w:val="0071736D"/>
    <w:rsid w:val="00722A5F"/>
    <w:rsid w:val="00723193"/>
    <w:rsid w:val="007236B8"/>
    <w:rsid w:val="00723CED"/>
    <w:rsid w:val="00730C33"/>
    <w:rsid w:val="00731E1B"/>
    <w:rsid w:val="00732CDE"/>
    <w:rsid w:val="00733EFC"/>
    <w:rsid w:val="00734127"/>
    <w:rsid w:val="00734296"/>
    <w:rsid w:val="00734E1D"/>
    <w:rsid w:val="00740B07"/>
    <w:rsid w:val="0074131E"/>
    <w:rsid w:val="007445C1"/>
    <w:rsid w:val="00746F34"/>
    <w:rsid w:val="007515E6"/>
    <w:rsid w:val="00755AC8"/>
    <w:rsid w:val="00756A39"/>
    <w:rsid w:val="007571CA"/>
    <w:rsid w:val="00757882"/>
    <w:rsid w:val="0076032E"/>
    <w:rsid w:val="0076295D"/>
    <w:rsid w:val="0076441C"/>
    <w:rsid w:val="0077299C"/>
    <w:rsid w:val="007735DF"/>
    <w:rsid w:val="0077560D"/>
    <w:rsid w:val="00775A0F"/>
    <w:rsid w:val="0077751F"/>
    <w:rsid w:val="00777A87"/>
    <w:rsid w:val="00782A20"/>
    <w:rsid w:val="007831E3"/>
    <w:rsid w:val="007839CE"/>
    <w:rsid w:val="00783E50"/>
    <w:rsid w:val="00784E31"/>
    <w:rsid w:val="00791D6C"/>
    <w:rsid w:val="007929AD"/>
    <w:rsid w:val="00793056"/>
    <w:rsid w:val="0079524C"/>
    <w:rsid w:val="00796430"/>
    <w:rsid w:val="007965EA"/>
    <w:rsid w:val="007A2CA7"/>
    <w:rsid w:val="007A2EAD"/>
    <w:rsid w:val="007A3ADF"/>
    <w:rsid w:val="007B29B9"/>
    <w:rsid w:val="007B4B1F"/>
    <w:rsid w:val="007B4BC4"/>
    <w:rsid w:val="007B56C2"/>
    <w:rsid w:val="007B6938"/>
    <w:rsid w:val="007B6D13"/>
    <w:rsid w:val="007C0204"/>
    <w:rsid w:val="007C03B8"/>
    <w:rsid w:val="007C0594"/>
    <w:rsid w:val="007C1A4C"/>
    <w:rsid w:val="007C1CB2"/>
    <w:rsid w:val="007C2C19"/>
    <w:rsid w:val="007C3096"/>
    <w:rsid w:val="007C5AC0"/>
    <w:rsid w:val="007C6600"/>
    <w:rsid w:val="007C796D"/>
    <w:rsid w:val="007D00DE"/>
    <w:rsid w:val="007D0BA6"/>
    <w:rsid w:val="007D18B7"/>
    <w:rsid w:val="007D2118"/>
    <w:rsid w:val="007D23D0"/>
    <w:rsid w:val="007D2E76"/>
    <w:rsid w:val="007D3482"/>
    <w:rsid w:val="007D3D09"/>
    <w:rsid w:val="007D4F71"/>
    <w:rsid w:val="007D57D4"/>
    <w:rsid w:val="007E6705"/>
    <w:rsid w:val="007F019E"/>
    <w:rsid w:val="007F1645"/>
    <w:rsid w:val="007F1DEA"/>
    <w:rsid w:val="007F208A"/>
    <w:rsid w:val="007F310B"/>
    <w:rsid w:val="007F347F"/>
    <w:rsid w:val="007F5C2A"/>
    <w:rsid w:val="007F688C"/>
    <w:rsid w:val="00800438"/>
    <w:rsid w:val="00800444"/>
    <w:rsid w:val="008013D5"/>
    <w:rsid w:val="00802B4A"/>
    <w:rsid w:val="0080374F"/>
    <w:rsid w:val="00804751"/>
    <w:rsid w:val="008069D6"/>
    <w:rsid w:val="00806D66"/>
    <w:rsid w:val="008074CF"/>
    <w:rsid w:val="00807B89"/>
    <w:rsid w:val="00807D31"/>
    <w:rsid w:val="008106CC"/>
    <w:rsid w:val="00810D8E"/>
    <w:rsid w:val="0081105D"/>
    <w:rsid w:val="0081120C"/>
    <w:rsid w:val="00812F5A"/>
    <w:rsid w:val="008139E2"/>
    <w:rsid w:val="008147A4"/>
    <w:rsid w:val="00814DDB"/>
    <w:rsid w:val="0081570A"/>
    <w:rsid w:val="00816737"/>
    <w:rsid w:val="008172AC"/>
    <w:rsid w:val="00823125"/>
    <w:rsid w:val="0082498A"/>
    <w:rsid w:val="00825FE3"/>
    <w:rsid w:val="0082643A"/>
    <w:rsid w:val="00827E2D"/>
    <w:rsid w:val="00830181"/>
    <w:rsid w:val="008321A5"/>
    <w:rsid w:val="00832B32"/>
    <w:rsid w:val="00834296"/>
    <w:rsid w:val="0083569E"/>
    <w:rsid w:val="008357C0"/>
    <w:rsid w:val="00835943"/>
    <w:rsid w:val="008363B0"/>
    <w:rsid w:val="008370A0"/>
    <w:rsid w:val="008373B9"/>
    <w:rsid w:val="00837463"/>
    <w:rsid w:val="008376AC"/>
    <w:rsid w:val="00837869"/>
    <w:rsid w:val="00841B40"/>
    <w:rsid w:val="00841C48"/>
    <w:rsid w:val="00843069"/>
    <w:rsid w:val="00845D28"/>
    <w:rsid w:val="008465B8"/>
    <w:rsid w:val="0084771A"/>
    <w:rsid w:val="00847ABF"/>
    <w:rsid w:val="008528E0"/>
    <w:rsid w:val="008551D3"/>
    <w:rsid w:val="00855482"/>
    <w:rsid w:val="008564BB"/>
    <w:rsid w:val="00860B00"/>
    <w:rsid w:val="0086157E"/>
    <w:rsid w:val="00863706"/>
    <w:rsid w:val="008655A0"/>
    <w:rsid w:val="0086585D"/>
    <w:rsid w:val="008660E9"/>
    <w:rsid w:val="00867644"/>
    <w:rsid w:val="008721C0"/>
    <w:rsid w:val="00873C5C"/>
    <w:rsid w:val="00875739"/>
    <w:rsid w:val="0087711F"/>
    <w:rsid w:val="00880547"/>
    <w:rsid w:val="0088247B"/>
    <w:rsid w:val="00882F6F"/>
    <w:rsid w:val="00891201"/>
    <w:rsid w:val="008919EA"/>
    <w:rsid w:val="00891BBE"/>
    <w:rsid w:val="00891F43"/>
    <w:rsid w:val="00892831"/>
    <w:rsid w:val="0089375B"/>
    <w:rsid w:val="0089614A"/>
    <w:rsid w:val="0089670E"/>
    <w:rsid w:val="008A02E3"/>
    <w:rsid w:val="008A0FDF"/>
    <w:rsid w:val="008A1D8B"/>
    <w:rsid w:val="008B06B9"/>
    <w:rsid w:val="008B0B33"/>
    <w:rsid w:val="008B27DF"/>
    <w:rsid w:val="008B3567"/>
    <w:rsid w:val="008B5574"/>
    <w:rsid w:val="008C1591"/>
    <w:rsid w:val="008C285C"/>
    <w:rsid w:val="008C3A0B"/>
    <w:rsid w:val="008C4E79"/>
    <w:rsid w:val="008C5135"/>
    <w:rsid w:val="008C52B2"/>
    <w:rsid w:val="008C6CDA"/>
    <w:rsid w:val="008C7E8B"/>
    <w:rsid w:val="008D38FF"/>
    <w:rsid w:val="008D5A42"/>
    <w:rsid w:val="008E08BC"/>
    <w:rsid w:val="008E0E19"/>
    <w:rsid w:val="008E27E3"/>
    <w:rsid w:val="008E3DB1"/>
    <w:rsid w:val="008E4704"/>
    <w:rsid w:val="008E556B"/>
    <w:rsid w:val="008F0CB1"/>
    <w:rsid w:val="008F122E"/>
    <w:rsid w:val="008F1596"/>
    <w:rsid w:val="008F176E"/>
    <w:rsid w:val="008F1B69"/>
    <w:rsid w:val="008F25A4"/>
    <w:rsid w:val="008F4799"/>
    <w:rsid w:val="008F5CA8"/>
    <w:rsid w:val="008F7BC7"/>
    <w:rsid w:val="0090239A"/>
    <w:rsid w:val="00902D63"/>
    <w:rsid w:val="009042F6"/>
    <w:rsid w:val="00904B4B"/>
    <w:rsid w:val="00906300"/>
    <w:rsid w:val="00906AB2"/>
    <w:rsid w:val="00907B08"/>
    <w:rsid w:val="00907D54"/>
    <w:rsid w:val="00910561"/>
    <w:rsid w:val="009109E8"/>
    <w:rsid w:val="00912489"/>
    <w:rsid w:val="009125C1"/>
    <w:rsid w:val="00914AF8"/>
    <w:rsid w:val="009214A6"/>
    <w:rsid w:val="00922542"/>
    <w:rsid w:val="00923A19"/>
    <w:rsid w:val="009243DF"/>
    <w:rsid w:val="0092469E"/>
    <w:rsid w:val="009267A2"/>
    <w:rsid w:val="00927E12"/>
    <w:rsid w:val="00930E51"/>
    <w:rsid w:val="00932148"/>
    <w:rsid w:val="0093214E"/>
    <w:rsid w:val="00932540"/>
    <w:rsid w:val="00933ECA"/>
    <w:rsid w:val="009361C3"/>
    <w:rsid w:val="00940BDC"/>
    <w:rsid w:val="009415BB"/>
    <w:rsid w:val="009415C8"/>
    <w:rsid w:val="00941879"/>
    <w:rsid w:val="00943D29"/>
    <w:rsid w:val="00947245"/>
    <w:rsid w:val="00950042"/>
    <w:rsid w:val="00950718"/>
    <w:rsid w:val="00952705"/>
    <w:rsid w:val="00952953"/>
    <w:rsid w:val="00953493"/>
    <w:rsid w:val="009535F1"/>
    <w:rsid w:val="0095389C"/>
    <w:rsid w:val="00957310"/>
    <w:rsid w:val="00957A05"/>
    <w:rsid w:val="0096319F"/>
    <w:rsid w:val="00964D6D"/>
    <w:rsid w:val="00965AF2"/>
    <w:rsid w:val="009668B5"/>
    <w:rsid w:val="00967C60"/>
    <w:rsid w:val="0097073B"/>
    <w:rsid w:val="00972ADA"/>
    <w:rsid w:val="00972E77"/>
    <w:rsid w:val="009745A5"/>
    <w:rsid w:val="00974915"/>
    <w:rsid w:val="009763DB"/>
    <w:rsid w:val="0098030E"/>
    <w:rsid w:val="00980E76"/>
    <w:rsid w:val="00983A5E"/>
    <w:rsid w:val="00984E44"/>
    <w:rsid w:val="00987059"/>
    <w:rsid w:val="00987E92"/>
    <w:rsid w:val="00991945"/>
    <w:rsid w:val="00991FA7"/>
    <w:rsid w:val="00993146"/>
    <w:rsid w:val="0099546B"/>
    <w:rsid w:val="0099784A"/>
    <w:rsid w:val="009A0705"/>
    <w:rsid w:val="009A225C"/>
    <w:rsid w:val="009A5F73"/>
    <w:rsid w:val="009A625F"/>
    <w:rsid w:val="009B0B32"/>
    <w:rsid w:val="009B1819"/>
    <w:rsid w:val="009B3B9F"/>
    <w:rsid w:val="009B5CB5"/>
    <w:rsid w:val="009B5E85"/>
    <w:rsid w:val="009C2611"/>
    <w:rsid w:val="009C527B"/>
    <w:rsid w:val="009D1C14"/>
    <w:rsid w:val="009D5527"/>
    <w:rsid w:val="009D7A36"/>
    <w:rsid w:val="009E08E0"/>
    <w:rsid w:val="009E25DD"/>
    <w:rsid w:val="009E39BB"/>
    <w:rsid w:val="009E52BE"/>
    <w:rsid w:val="009E675D"/>
    <w:rsid w:val="009F5DB8"/>
    <w:rsid w:val="009F6094"/>
    <w:rsid w:val="009F7266"/>
    <w:rsid w:val="009F750D"/>
    <w:rsid w:val="00A00583"/>
    <w:rsid w:val="00A0231E"/>
    <w:rsid w:val="00A0546D"/>
    <w:rsid w:val="00A060E0"/>
    <w:rsid w:val="00A12ED8"/>
    <w:rsid w:val="00A15C47"/>
    <w:rsid w:val="00A20134"/>
    <w:rsid w:val="00A2076B"/>
    <w:rsid w:val="00A23BD7"/>
    <w:rsid w:val="00A24C65"/>
    <w:rsid w:val="00A265FD"/>
    <w:rsid w:val="00A26862"/>
    <w:rsid w:val="00A301E0"/>
    <w:rsid w:val="00A320E2"/>
    <w:rsid w:val="00A32725"/>
    <w:rsid w:val="00A357DA"/>
    <w:rsid w:val="00A36343"/>
    <w:rsid w:val="00A36497"/>
    <w:rsid w:val="00A40793"/>
    <w:rsid w:val="00A45726"/>
    <w:rsid w:val="00A51D98"/>
    <w:rsid w:val="00A51DF6"/>
    <w:rsid w:val="00A5376D"/>
    <w:rsid w:val="00A55127"/>
    <w:rsid w:val="00A55F38"/>
    <w:rsid w:val="00A56A8C"/>
    <w:rsid w:val="00A57AF8"/>
    <w:rsid w:val="00A620A0"/>
    <w:rsid w:val="00A6321D"/>
    <w:rsid w:val="00A637B4"/>
    <w:rsid w:val="00A659DB"/>
    <w:rsid w:val="00A66076"/>
    <w:rsid w:val="00A66633"/>
    <w:rsid w:val="00A67D3A"/>
    <w:rsid w:val="00A70282"/>
    <w:rsid w:val="00A70CC4"/>
    <w:rsid w:val="00A720A9"/>
    <w:rsid w:val="00A760FE"/>
    <w:rsid w:val="00A80805"/>
    <w:rsid w:val="00A82A54"/>
    <w:rsid w:val="00A84C16"/>
    <w:rsid w:val="00A857EF"/>
    <w:rsid w:val="00A85C4A"/>
    <w:rsid w:val="00A86BCE"/>
    <w:rsid w:val="00A86D83"/>
    <w:rsid w:val="00A874C8"/>
    <w:rsid w:val="00A91732"/>
    <w:rsid w:val="00A92A76"/>
    <w:rsid w:val="00A92DC0"/>
    <w:rsid w:val="00A92EFD"/>
    <w:rsid w:val="00A957D7"/>
    <w:rsid w:val="00A96ACB"/>
    <w:rsid w:val="00AA1A03"/>
    <w:rsid w:val="00AA2DCF"/>
    <w:rsid w:val="00AA44AA"/>
    <w:rsid w:val="00AA5D1A"/>
    <w:rsid w:val="00AA6896"/>
    <w:rsid w:val="00AA7021"/>
    <w:rsid w:val="00AA716B"/>
    <w:rsid w:val="00AA7D73"/>
    <w:rsid w:val="00AB2325"/>
    <w:rsid w:val="00AB2BB7"/>
    <w:rsid w:val="00AB467D"/>
    <w:rsid w:val="00AB49AF"/>
    <w:rsid w:val="00AB4C3F"/>
    <w:rsid w:val="00AB7B61"/>
    <w:rsid w:val="00AC06AD"/>
    <w:rsid w:val="00AC0D9A"/>
    <w:rsid w:val="00AC35F6"/>
    <w:rsid w:val="00AC3854"/>
    <w:rsid w:val="00AC3D70"/>
    <w:rsid w:val="00AC3D93"/>
    <w:rsid w:val="00AC46A3"/>
    <w:rsid w:val="00AC4763"/>
    <w:rsid w:val="00AC7273"/>
    <w:rsid w:val="00AD089C"/>
    <w:rsid w:val="00AD08CB"/>
    <w:rsid w:val="00AD202E"/>
    <w:rsid w:val="00AD2263"/>
    <w:rsid w:val="00AD3801"/>
    <w:rsid w:val="00AD44B6"/>
    <w:rsid w:val="00AD67D1"/>
    <w:rsid w:val="00AD6F28"/>
    <w:rsid w:val="00AD7874"/>
    <w:rsid w:val="00AD7F6B"/>
    <w:rsid w:val="00AE096F"/>
    <w:rsid w:val="00AE2FBD"/>
    <w:rsid w:val="00AE330D"/>
    <w:rsid w:val="00AE4AC9"/>
    <w:rsid w:val="00AE5C4B"/>
    <w:rsid w:val="00AF6085"/>
    <w:rsid w:val="00AF76E8"/>
    <w:rsid w:val="00AF7D62"/>
    <w:rsid w:val="00B00761"/>
    <w:rsid w:val="00B00777"/>
    <w:rsid w:val="00B02557"/>
    <w:rsid w:val="00B02B22"/>
    <w:rsid w:val="00B04FBC"/>
    <w:rsid w:val="00B05452"/>
    <w:rsid w:val="00B10008"/>
    <w:rsid w:val="00B10757"/>
    <w:rsid w:val="00B11D27"/>
    <w:rsid w:val="00B12616"/>
    <w:rsid w:val="00B138BA"/>
    <w:rsid w:val="00B163FA"/>
    <w:rsid w:val="00B20883"/>
    <w:rsid w:val="00B21486"/>
    <w:rsid w:val="00B22B51"/>
    <w:rsid w:val="00B22C5B"/>
    <w:rsid w:val="00B301E5"/>
    <w:rsid w:val="00B30617"/>
    <w:rsid w:val="00B31E6B"/>
    <w:rsid w:val="00B33912"/>
    <w:rsid w:val="00B354E4"/>
    <w:rsid w:val="00B357A3"/>
    <w:rsid w:val="00B35C26"/>
    <w:rsid w:val="00B35CB7"/>
    <w:rsid w:val="00B35CD4"/>
    <w:rsid w:val="00B37EED"/>
    <w:rsid w:val="00B42860"/>
    <w:rsid w:val="00B43750"/>
    <w:rsid w:val="00B44289"/>
    <w:rsid w:val="00B44B39"/>
    <w:rsid w:val="00B44B49"/>
    <w:rsid w:val="00B4556D"/>
    <w:rsid w:val="00B4781F"/>
    <w:rsid w:val="00B504C8"/>
    <w:rsid w:val="00B504F8"/>
    <w:rsid w:val="00B50531"/>
    <w:rsid w:val="00B50B70"/>
    <w:rsid w:val="00B5253A"/>
    <w:rsid w:val="00B52BDC"/>
    <w:rsid w:val="00B53A47"/>
    <w:rsid w:val="00B60611"/>
    <w:rsid w:val="00B62322"/>
    <w:rsid w:val="00B656CC"/>
    <w:rsid w:val="00B656E3"/>
    <w:rsid w:val="00B66891"/>
    <w:rsid w:val="00B71721"/>
    <w:rsid w:val="00B718B8"/>
    <w:rsid w:val="00B7232A"/>
    <w:rsid w:val="00B728D0"/>
    <w:rsid w:val="00B72968"/>
    <w:rsid w:val="00B73CF1"/>
    <w:rsid w:val="00B76856"/>
    <w:rsid w:val="00B76D99"/>
    <w:rsid w:val="00B77AA4"/>
    <w:rsid w:val="00B82A7F"/>
    <w:rsid w:val="00B82CBC"/>
    <w:rsid w:val="00B8357C"/>
    <w:rsid w:val="00B85ED0"/>
    <w:rsid w:val="00B86744"/>
    <w:rsid w:val="00B91C2F"/>
    <w:rsid w:val="00B94F71"/>
    <w:rsid w:val="00B95CAF"/>
    <w:rsid w:val="00B95E5F"/>
    <w:rsid w:val="00B95EBA"/>
    <w:rsid w:val="00B974D5"/>
    <w:rsid w:val="00B97FCE"/>
    <w:rsid w:val="00B97FF6"/>
    <w:rsid w:val="00BA1878"/>
    <w:rsid w:val="00BA2DB9"/>
    <w:rsid w:val="00BA335A"/>
    <w:rsid w:val="00BA46B2"/>
    <w:rsid w:val="00BA661A"/>
    <w:rsid w:val="00BB0CFD"/>
    <w:rsid w:val="00BB1390"/>
    <w:rsid w:val="00BB1865"/>
    <w:rsid w:val="00BB520C"/>
    <w:rsid w:val="00BB5738"/>
    <w:rsid w:val="00BC2D45"/>
    <w:rsid w:val="00BC357B"/>
    <w:rsid w:val="00BC3B10"/>
    <w:rsid w:val="00BC4664"/>
    <w:rsid w:val="00BC47DC"/>
    <w:rsid w:val="00BC4BFB"/>
    <w:rsid w:val="00BC52BC"/>
    <w:rsid w:val="00BC625F"/>
    <w:rsid w:val="00BC6379"/>
    <w:rsid w:val="00BC6E64"/>
    <w:rsid w:val="00BD0CA2"/>
    <w:rsid w:val="00BD70D2"/>
    <w:rsid w:val="00BE191D"/>
    <w:rsid w:val="00BE3459"/>
    <w:rsid w:val="00BE58AF"/>
    <w:rsid w:val="00BE6ABD"/>
    <w:rsid w:val="00BE6C48"/>
    <w:rsid w:val="00BE7F60"/>
    <w:rsid w:val="00BF4643"/>
    <w:rsid w:val="00BF4A4C"/>
    <w:rsid w:val="00BF4B95"/>
    <w:rsid w:val="00BF4BC0"/>
    <w:rsid w:val="00BF529D"/>
    <w:rsid w:val="00BF588F"/>
    <w:rsid w:val="00BF5B23"/>
    <w:rsid w:val="00BF79DF"/>
    <w:rsid w:val="00C02A3E"/>
    <w:rsid w:val="00C032EA"/>
    <w:rsid w:val="00C038D3"/>
    <w:rsid w:val="00C03C0F"/>
    <w:rsid w:val="00C04C53"/>
    <w:rsid w:val="00C057C0"/>
    <w:rsid w:val="00C07541"/>
    <w:rsid w:val="00C1098D"/>
    <w:rsid w:val="00C1127C"/>
    <w:rsid w:val="00C13341"/>
    <w:rsid w:val="00C13A4D"/>
    <w:rsid w:val="00C13AF5"/>
    <w:rsid w:val="00C1719D"/>
    <w:rsid w:val="00C20AA9"/>
    <w:rsid w:val="00C22FAF"/>
    <w:rsid w:val="00C23193"/>
    <w:rsid w:val="00C25661"/>
    <w:rsid w:val="00C263E5"/>
    <w:rsid w:val="00C30E8B"/>
    <w:rsid w:val="00C31EA2"/>
    <w:rsid w:val="00C31F1C"/>
    <w:rsid w:val="00C332F2"/>
    <w:rsid w:val="00C333C2"/>
    <w:rsid w:val="00C34610"/>
    <w:rsid w:val="00C348AD"/>
    <w:rsid w:val="00C34A6B"/>
    <w:rsid w:val="00C34CA1"/>
    <w:rsid w:val="00C34EF2"/>
    <w:rsid w:val="00C351E5"/>
    <w:rsid w:val="00C35AE5"/>
    <w:rsid w:val="00C42113"/>
    <w:rsid w:val="00C42167"/>
    <w:rsid w:val="00C4257A"/>
    <w:rsid w:val="00C4351E"/>
    <w:rsid w:val="00C44016"/>
    <w:rsid w:val="00C440A8"/>
    <w:rsid w:val="00C45228"/>
    <w:rsid w:val="00C5258F"/>
    <w:rsid w:val="00C57F0A"/>
    <w:rsid w:val="00C61645"/>
    <w:rsid w:val="00C627B3"/>
    <w:rsid w:val="00C62BCD"/>
    <w:rsid w:val="00C644E4"/>
    <w:rsid w:val="00C64789"/>
    <w:rsid w:val="00C64EB9"/>
    <w:rsid w:val="00C659D6"/>
    <w:rsid w:val="00C65D97"/>
    <w:rsid w:val="00C71B3D"/>
    <w:rsid w:val="00C71DEF"/>
    <w:rsid w:val="00C7434A"/>
    <w:rsid w:val="00C80AE9"/>
    <w:rsid w:val="00C81B8F"/>
    <w:rsid w:val="00C82633"/>
    <w:rsid w:val="00C8355A"/>
    <w:rsid w:val="00C83749"/>
    <w:rsid w:val="00C84668"/>
    <w:rsid w:val="00C8473D"/>
    <w:rsid w:val="00C849AE"/>
    <w:rsid w:val="00C865EE"/>
    <w:rsid w:val="00C86A20"/>
    <w:rsid w:val="00C87446"/>
    <w:rsid w:val="00C90B23"/>
    <w:rsid w:val="00C93B4D"/>
    <w:rsid w:val="00C9473A"/>
    <w:rsid w:val="00C9539B"/>
    <w:rsid w:val="00C958A5"/>
    <w:rsid w:val="00C9672D"/>
    <w:rsid w:val="00C97538"/>
    <w:rsid w:val="00C97F92"/>
    <w:rsid w:val="00CA0CA0"/>
    <w:rsid w:val="00CA1E86"/>
    <w:rsid w:val="00CA2ED5"/>
    <w:rsid w:val="00CA534D"/>
    <w:rsid w:val="00CA5A5F"/>
    <w:rsid w:val="00CA5DC3"/>
    <w:rsid w:val="00CB0F0E"/>
    <w:rsid w:val="00CB2256"/>
    <w:rsid w:val="00CB28C3"/>
    <w:rsid w:val="00CB49C6"/>
    <w:rsid w:val="00CB517E"/>
    <w:rsid w:val="00CC0B77"/>
    <w:rsid w:val="00CC2C28"/>
    <w:rsid w:val="00CC389F"/>
    <w:rsid w:val="00CC77AF"/>
    <w:rsid w:val="00CC7ABD"/>
    <w:rsid w:val="00CD2680"/>
    <w:rsid w:val="00CD35D4"/>
    <w:rsid w:val="00CD7B4D"/>
    <w:rsid w:val="00CE61D7"/>
    <w:rsid w:val="00CE6281"/>
    <w:rsid w:val="00CE7042"/>
    <w:rsid w:val="00CE7E40"/>
    <w:rsid w:val="00CF154E"/>
    <w:rsid w:val="00CF187E"/>
    <w:rsid w:val="00CF1C39"/>
    <w:rsid w:val="00CF21E1"/>
    <w:rsid w:val="00CF22D4"/>
    <w:rsid w:val="00CF264E"/>
    <w:rsid w:val="00CF2DA1"/>
    <w:rsid w:val="00CF4185"/>
    <w:rsid w:val="00CF4CDE"/>
    <w:rsid w:val="00CF5BD4"/>
    <w:rsid w:val="00D009B9"/>
    <w:rsid w:val="00D00EC9"/>
    <w:rsid w:val="00D02593"/>
    <w:rsid w:val="00D04B92"/>
    <w:rsid w:val="00D04ED1"/>
    <w:rsid w:val="00D050D9"/>
    <w:rsid w:val="00D060B4"/>
    <w:rsid w:val="00D061C6"/>
    <w:rsid w:val="00D1096A"/>
    <w:rsid w:val="00D12825"/>
    <w:rsid w:val="00D12A9C"/>
    <w:rsid w:val="00D13B3E"/>
    <w:rsid w:val="00D14E13"/>
    <w:rsid w:val="00D17275"/>
    <w:rsid w:val="00D1778E"/>
    <w:rsid w:val="00D2190A"/>
    <w:rsid w:val="00D22855"/>
    <w:rsid w:val="00D22D58"/>
    <w:rsid w:val="00D23525"/>
    <w:rsid w:val="00D23699"/>
    <w:rsid w:val="00D26762"/>
    <w:rsid w:val="00D27EBC"/>
    <w:rsid w:val="00D27F7F"/>
    <w:rsid w:val="00D327A4"/>
    <w:rsid w:val="00D328A2"/>
    <w:rsid w:val="00D33606"/>
    <w:rsid w:val="00D347A0"/>
    <w:rsid w:val="00D35BEB"/>
    <w:rsid w:val="00D369BB"/>
    <w:rsid w:val="00D36F94"/>
    <w:rsid w:val="00D3768F"/>
    <w:rsid w:val="00D40461"/>
    <w:rsid w:val="00D405A0"/>
    <w:rsid w:val="00D41424"/>
    <w:rsid w:val="00D4236E"/>
    <w:rsid w:val="00D425AF"/>
    <w:rsid w:val="00D4273B"/>
    <w:rsid w:val="00D43669"/>
    <w:rsid w:val="00D4454C"/>
    <w:rsid w:val="00D44571"/>
    <w:rsid w:val="00D448F6"/>
    <w:rsid w:val="00D4687E"/>
    <w:rsid w:val="00D47A89"/>
    <w:rsid w:val="00D53241"/>
    <w:rsid w:val="00D6151A"/>
    <w:rsid w:val="00D61ED1"/>
    <w:rsid w:val="00D66673"/>
    <w:rsid w:val="00D679C7"/>
    <w:rsid w:val="00D7238C"/>
    <w:rsid w:val="00D746B9"/>
    <w:rsid w:val="00D74CD9"/>
    <w:rsid w:val="00D7533D"/>
    <w:rsid w:val="00D75D80"/>
    <w:rsid w:val="00D76600"/>
    <w:rsid w:val="00D76F3E"/>
    <w:rsid w:val="00D772C0"/>
    <w:rsid w:val="00D813F3"/>
    <w:rsid w:val="00D81471"/>
    <w:rsid w:val="00D8199C"/>
    <w:rsid w:val="00D8338F"/>
    <w:rsid w:val="00D8359E"/>
    <w:rsid w:val="00D85F28"/>
    <w:rsid w:val="00D92941"/>
    <w:rsid w:val="00D94115"/>
    <w:rsid w:val="00DA09C7"/>
    <w:rsid w:val="00DA129E"/>
    <w:rsid w:val="00DA54F8"/>
    <w:rsid w:val="00DA7B19"/>
    <w:rsid w:val="00DB1E8E"/>
    <w:rsid w:val="00DB2CF3"/>
    <w:rsid w:val="00DB3433"/>
    <w:rsid w:val="00DB45FB"/>
    <w:rsid w:val="00DB48D5"/>
    <w:rsid w:val="00DB525E"/>
    <w:rsid w:val="00DB5E64"/>
    <w:rsid w:val="00DB6CD4"/>
    <w:rsid w:val="00DB72E2"/>
    <w:rsid w:val="00DB78DF"/>
    <w:rsid w:val="00DC162F"/>
    <w:rsid w:val="00DC1FCD"/>
    <w:rsid w:val="00DC2554"/>
    <w:rsid w:val="00DC28D8"/>
    <w:rsid w:val="00DC2AF5"/>
    <w:rsid w:val="00DC49B6"/>
    <w:rsid w:val="00DC69B1"/>
    <w:rsid w:val="00DC70B4"/>
    <w:rsid w:val="00DD1386"/>
    <w:rsid w:val="00DD1FD7"/>
    <w:rsid w:val="00DD3753"/>
    <w:rsid w:val="00DD3802"/>
    <w:rsid w:val="00DD3D85"/>
    <w:rsid w:val="00DD459E"/>
    <w:rsid w:val="00DD7F30"/>
    <w:rsid w:val="00DE2D48"/>
    <w:rsid w:val="00DE3036"/>
    <w:rsid w:val="00DE3B10"/>
    <w:rsid w:val="00DE43CA"/>
    <w:rsid w:val="00DE4A58"/>
    <w:rsid w:val="00DE54C6"/>
    <w:rsid w:val="00DE7C87"/>
    <w:rsid w:val="00DE7E7A"/>
    <w:rsid w:val="00DF4B6B"/>
    <w:rsid w:val="00DF5C27"/>
    <w:rsid w:val="00DF6AC0"/>
    <w:rsid w:val="00E000A8"/>
    <w:rsid w:val="00E01ADF"/>
    <w:rsid w:val="00E0248A"/>
    <w:rsid w:val="00E02ABD"/>
    <w:rsid w:val="00E04B75"/>
    <w:rsid w:val="00E05728"/>
    <w:rsid w:val="00E059BD"/>
    <w:rsid w:val="00E05CF3"/>
    <w:rsid w:val="00E06265"/>
    <w:rsid w:val="00E06CA0"/>
    <w:rsid w:val="00E06E82"/>
    <w:rsid w:val="00E07ACD"/>
    <w:rsid w:val="00E07F0A"/>
    <w:rsid w:val="00E1022A"/>
    <w:rsid w:val="00E10B6D"/>
    <w:rsid w:val="00E110C9"/>
    <w:rsid w:val="00E12902"/>
    <w:rsid w:val="00E13C5E"/>
    <w:rsid w:val="00E14BE7"/>
    <w:rsid w:val="00E16F1C"/>
    <w:rsid w:val="00E17282"/>
    <w:rsid w:val="00E25679"/>
    <w:rsid w:val="00E266A3"/>
    <w:rsid w:val="00E27102"/>
    <w:rsid w:val="00E279EB"/>
    <w:rsid w:val="00E314FD"/>
    <w:rsid w:val="00E31B4E"/>
    <w:rsid w:val="00E32DBA"/>
    <w:rsid w:val="00E34C58"/>
    <w:rsid w:val="00E3590E"/>
    <w:rsid w:val="00E35C57"/>
    <w:rsid w:val="00E3650D"/>
    <w:rsid w:val="00E369F1"/>
    <w:rsid w:val="00E37D74"/>
    <w:rsid w:val="00E44402"/>
    <w:rsid w:val="00E44A84"/>
    <w:rsid w:val="00E47F33"/>
    <w:rsid w:val="00E5602D"/>
    <w:rsid w:val="00E579C4"/>
    <w:rsid w:val="00E65994"/>
    <w:rsid w:val="00E70102"/>
    <w:rsid w:val="00E709A5"/>
    <w:rsid w:val="00E7304D"/>
    <w:rsid w:val="00E73248"/>
    <w:rsid w:val="00E73CF3"/>
    <w:rsid w:val="00E77BC8"/>
    <w:rsid w:val="00E80B5B"/>
    <w:rsid w:val="00E812DC"/>
    <w:rsid w:val="00E8161A"/>
    <w:rsid w:val="00E82EB5"/>
    <w:rsid w:val="00E83C2D"/>
    <w:rsid w:val="00E85CF3"/>
    <w:rsid w:val="00E867DB"/>
    <w:rsid w:val="00E90CA2"/>
    <w:rsid w:val="00E93375"/>
    <w:rsid w:val="00E93846"/>
    <w:rsid w:val="00E93C5F"/>
    <w:rsid w:val="00E96CA7"/>
    <w:rsid w:val="00EA15FA"/>
    <w:rsid w:val="00EA44C6"/>
    <w:rsid w:val="00EA6975"/>
    <w:rsid w:val="00EA754E"/>
    <w:rsid w:val="00EA7678"/>
    <w:rsid w:val="00EB0129"/>
    <w:rsid w:val="00EB0346"/>
    <w:rsid w:val="00EB2787"/>
    <w:rsid w:val="00EB29A5"/>
    <w:rsid w:val="00EB5F19"/>
    <w:rsid w:val="00EC03A4"/>
    <w:rsid w:val="00EC405B"/>
    <w:rsid w:val="00ED000C"/>
    <w:rsid w:val="00ED0A19"/>
    <w:rsid w:val="00ED44F2"/>
    <w:rsid w:val="00ED46AD"/>
    <w:rsid w:val="00ED7B56"/>
    <w:rsid w:val="00EE0498"/>
    <w:rsid w:val="00EE0564"/>
    <w:rsid w:val="00EE0746"/>
    <w:rsid w:val="00EE3299"/>
    <w:rsid w:val="00EE3812"/>
    <w:rsid w:val="00EE559A"/>
    <w:rsid w:val="00EE6034"/>
    <w:rsid w:val="00EE7238"/>
    <w:rsid w:val="00EF11B6"/>
    <w:rsid w:val="00EF2AC5"/>
    <w:rsid w:val="00EF554A"/>
    <w:rsid w:val="00EF74A1"/>
    <w:rsid w:val="00EF7BAF"/>
    <w:rsid w:val="00F01B80"/>
    <w:rsid w:val="00F049BF"/>
    <w:rsid w:val="00F04A43"/>
    <w:rsid w:val="00F057B8"/>
    <w:rsid w:val="00F07040"/>
    <w:rsid w:val="00F075BE"/>
    <w:rsid w:val="00F07894"/>
    <w:rsid w:val="00F10FCE"/>
    <w:rsid w:val="00F13D11"/>
    <w:rsid w:val="00F152A6"/>
    <w:rsid w:val="00F17B62"/>
    <w:rsid w:val="00F220D2"/>
    <w:rsid w:val="00F22FDA"/>
    <w:rsid w:val="00F2541D"/>
    <w:rsid w:val="00F255A5"/>
    <w:rsid w:val="00F2568F"/>
    <w:rsid w:val="00F27572"/>
    <w:rsid w:val="00F27F8E"/>
    <w:rsid w:val="00F3018E"/>
    <w:rsid w:val="00F336D7"/>
    <w:rsid w:val="00F337C6"/>
    <w:rsid w:val="00F36804"/>
    <w:rsid w:val="00F369A1"/>
    <w:rsid w:val="00F3727C"/>
    <w:rsid w:val="00F374C1"/>
    <w:rsid w:val="00F3784F"/>
    <w:rsid w:val="00F4147C"/>
    <w:rsid w:val="00F4165A"/>
    <w:rsid w:val="00F4323A"/>
    <w:rsid w:val="00F45CE6"/>
    <w:rsid w:val="00F464AA"/>
    <w:rsid w:val="00F46EB1"/>
    <w:rsid w:val="00F4747D"/>
    <w:rsid w:val="00F519A9"/>
    <w:rsid w:val="00F522FD"/>
    <w:rsid w:val="00F530E9"/>
    <w:rsid w:val="00F5537C"/>
    <w:rsid w:val="00F55570"/>
    <w:rsid w:val="00F561ED"/>
    <w:rsid w:val="00F57769"/>
    <w:rsid w:val="00F6087D"/>
    <w:rsid w:val="00F64382"/>
    <w:rsid w:val="00F64786"/>
    <w:rsid w:val="00F65EBA"/>
    <w:rsid w:val="00F6785B"/>
    <w:rsid w:val="00F67B30"/>
    <w:rsid w:val="00F71D4E"/>
    <w:rsid w:val="00F7549A"/>
    <w:rsid w:val="00F76918"/>
    <w:rsid w:val="00F76E5C"/>
    <w:rsid w:val="00F7756E"/>
    <w:rsid w:val="00F80095"/>
    <w:rsid w:val="00F81C2D"/>
    <w:rsid w:val="00F82116"/>
    <w:rsid w:val="00F82E3D"/>
    <w:rsid w:val="00F82E65"/>
    <w:rsid w:val="00F83220"/>
    <w:rsid w:val="00F90D1C"/>
    <w:rsid w:val="00F91F11"/>
    <w:rsid w:val="00F92298"/>
    <w:rsid w:val="00F95E78"/>
    <w:rsid w:val="00F97651"/>
    <w:rsid w:val="00FA060E"/>
    <w:rsid w:val="00FA1499"/>
    <w:rsid w:val="00FA3F93"/>
    <w:rsid w:val="00FA50CD"/>
    <w:rsid w:val="00FA5EAC"/>
    <w:rsid w:val="00FA60B8"/>
    <w:rsid w:val="00FA67CF"/>
    <w:rsid w:val="00FA7118"/>
    <w:rsid w:val="00FA76F6"/>
    <w:rsid w:val="00FA7BCB"/>
    <w:rsid w:val="00FB27AF"/>
    <w:rsid w:val="00FB2C29"/>
    <w:rsid w:val="00FB34C6"/>
    <w:rsid w:val="00FB7B27"/>
    <w:rsid w:val="00FC0B0F"/>
    <w:rsid w:val="00FC30F6"/>
    <w:rsid w:val="00FC6F89"/>
    <w:rsid w:val="00FC74EB"/>
    <w:rsid w:val="00FD3BB7"/>
    <w:rsid w:val="00FD5168"/>
    <w:rsid w:val="00FE1F0C"/>
    <w:rsid w:val="00FE483F"/>
    <w:rsid w:val="00FE70F4"/>
    <w:rsid w:val="00FE7AAF"/>
    <w:rsid w:val="00FF182B"/>
    <w:rsid w:val="00FF484C"/>
    <w:rsid w:val="00FF4F8E"/>
    <w:rsid w:val="00FF68F9"/>
    <w:rsid w:val="00FF6F30"/>
    <w:rsid w:val="00FF7796"/>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602D6442"/>
  <w15:docId w15:val="{3A6DEF70-5B61-444E-B0EC-EDCBBF7C8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4">
    <w:lsdException w:name="Normal" w:uiPriority="0" w:qFormat="1"/>
    <w:lsdException w:name="heading 1" w:uiPriority="1" w:qFormat="1"/>
    <w:lsdException w:name="heading 2" w:uiPriority="1" w:qFormat="1"/>
    <w:lsdException w:name="heading 3" w:uiPriority="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4"/>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
    <w:lsdException w:name="table of figures" w:semiHidden="1" w:unhideWhenUsed="1"/>
    <w:lsdException w:name="envelope address" w:semiHidden="1" w:unhideWhenUsed="1"/>
    <w:lsdException w:name="envelope return" w:semiHidden="1" w:unhideWhenUsed="1"/>
    <w:lsdException w:name="footnote reference" w:uiPriority="4"/>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 w:qFormat="1"/>
    <w:lsdException w:name="List Bullet 3" w:semiHidden="1" w:uiPriority="1" w:qFormat="1"/>
    <w:lsdException w:name="List Bullet 4" w:semiHidden="1" w:unhideWhenUsed="1"/>
    <w:lsdException w:name="List Bullet 5" w:semiHidden="1" w:unhideWhenUsed="1"/>
    <w:lsdException w:name="List Number 2" w:uiPriority="2" w:qFormat="1"/>
    <w:lsdException w:name="List Number 3" w:semiHidden="1" w:uiPriority="2"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172AC"/>
    <w:pPr>
      <w:spacing w:after="142" w:line="250" w:lineRule="atLeast"/>
    </w:pPr>
    <w:rPr>
      <w:rFonts w:asciiTheme="minorHAnsi" w:hAnsiTheme="minorHAnsi"/>
      <w:color w:val="000000" w:themeColor="text1"/>
      <w:sz w:val="19"/>
    </w:rPr>
  </w:style>
  <w:style w:type="paragraph" w:styleId="Heading1">
    <w:name w:val="heading 1"/>
    <w:basedOn w:val="Normal"/>
    <w:next w:val="Normal"/>
    <w:link w:val="Heading1Char"/>
    <w:uiPriority w:val="1"/>
    <w:qFormat/>
    <w:rsid w:val="00EE6034"/>
    <w:pPr>
      <w:keepNext/>
      <w:keepLines/>
      <w:spacing w:before="360" w:line="320" w:lineRule="atLeast"/>
      <w:outlineLvl w:val="0"/>
    </w:pPr>
    <w:rPr>
      <w:rFonts w:asciiTheme="majorHAnsi" w:eastAsiaTheme="majorEastAsia" w:hAnsiTheme="majorHAnsi" w:cstheme="majorBidi"/>
      <w:bCs/>
      <w:color w:val="82C341" w:themeColor="accent1"/>
      <w:sz w:val="28"/>
      <w:szCs w:val="28"/>
    </w:rPr>
  </w:style>
  <w:style w:type="paragraph" w:styleId="Heading2">
    <w:name w:val="heading 2"/>
    <w:basedOn w:val="Normal"/>
    <w:next w:val="Normal"/>
    <w:link w:val="Heading2Char"/>
    <w:uiPriority w:val="1"/>
    <w:qFormat/>
    <w:rsid w:val="006F6B9C"/>
    <w:pPr>
      <w:keepNext/>
      <w:keepLines/>
      <w:spacing w:before="230" w:after="28" w:line="280" w:lineRule="atLeast"/>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1"/>
    <w:qFormat/>
    <w:rsid w:val="00EE6034"/>
    <w:pPr>
      <w:keepNext/>
      <w:keepLines/>
      <w:spacing w:before="142"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AD2263"/>
    <w:pPr>
      <w:keepNext/>
      <w:keepLines/>
      <w:spacing w:after="14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AD2263"/>
    <w:pPr>
      <w:keepNext/>
      <w:keepLines/>
      <w:spacing w:before="200" w:after="0"/>
      <w:outlineLvl w:val="4"/>
    </w:pPr>
    <w:rPr>
      <w:rFonts w:asciiTheme="majorHAnsi" w:eastAsiaTheme="majorEastAsia" w:hAnsiTheme="majorHAnsi" w:cstheme="majorBidi"/>
      <w:color w:val="40621F" w:themeColor="accent1" w:themeShade="7F"/>
    </w:rPr>
  </w:style>
  <w:style w:type="paragraph" w:styleId="Heading6">
    <w:name w:val="heading 6"/>
    <w:basedOn w:val="Normal"/>
    <w:next w:val="Normal"/>
    <w:link w:val="Heading6Char"/>
    <w:uiPriority w:val="9"/>
    <w:semiHidden/>
    <w:unhideWhenUsed/>
    <w:qFormat/>
    <w:rsid w:val="00AD2263"/>
    <w:pPr>
      <w:keepNext/>
      <w:keepLines/>
      <w:spacing w:before="200" w:after="0"/>
      <w:outlineLvl w:val="5"/>
    </w:pPr>
    <w:rPr>
      <w:rFonts w:asciiTheme="majorHAnsi" w:eastAsiaTheme="majorEastAsia" w:hAnsiTheme="majorHAnsi" w:cstheme="majorBidi"/>
      <w:i/>
      <w:iCs/>
      <w:color w:val="40621F" w:themeColor="accent1" w:themeShade="7F"/>
    </w:rPr>
  </w:style>
  <w:style w:type="paragraph" w:styleId="Heading7">
    <w:name w:val="heading 7"/>
    <w:basedOn w:val="Normal"/>
    <w:next w:val="Normal"/>
    <w:link w:val="Heading7Char"/>
    <w:uiPriority w:val="9"/>
    <w:semiHidden/>
    <w:unhideWhenUsed/>
    <w:qFormat/>
    <w:rsid w:val="00AD226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2263"/>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AD2263"/>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E6034"/>
    <w:rPr>
      <w:rFonts w:asciiTheme="majorHAnsi" w:eastAsiaTheme="majorEastAsia" w:hAnsiTheme="majorHAnsi" w:cstheme="majorBidi"/>
      <w:bCs/>
      <w:color w:val="82C341" w:themeColor="accent1"/>
      <w:sz w:val="28"/>
      <w:szCs w:val="28"/>
    </w:rPr>
  </w:style>
  <w:style w:type="character" w:customStyle="1" w:styleId="Heading2Char">
    <w:name w:val="Heading 2 Char"/>
    <w:basedOn w:val="DefaultParagraphFont"/>
    <w:link w:val="Heading2"/>
    <w:uiPriority w:val="1"/>
    <w:rsid w:val="002211F4"/>
    <w:rPr>
      <w:rFonts w:asciiTheme="majorHAnsi" w:eastAsiaTheme="majorEastAsia" w:hAnsiTheme="majorHAnsi" w:cstheme="majorBidi"/>
      <w:b/>
      <w:bCs/>
      <w:color w:val="000000" w:themeColor="text1"/>
      <w:sz w:val="24"/>
      <w:szCs w:val="26"/>
    </w:rPr>
  </w:style>
  <w:style w:type="character" w:customStyle="1" w:styleId="Heading3Char">
    <w:name w:val="Heading 3 Char"/>
    <w:basedOn w:val="DefaultParagraphFont"/>
    <w:link w:val="Heading3"/>
    <w:uiPriority w:val="9"/>
    <w:rsid w:val="00EE6034"/>
    <w:rPr>
      <w:rFonts w:asciiTheme="majorHAnsi" w:eastAsiaTheme="majorEastAsia" w:hAnsiTheme="majorHAnsi" w:cstheme="majorBidi"/>
      <w:b/>
      <w:bCs/>
      <w:color w:val="000000" w:themeColor="text1"/>
      <w:sz w:val="19"/>
    </w:rPr>
  </w:style>
  <w:style w:type="paragraph" w:styleId="FootnoteText">
    <w:name w:val="footnote text"/>
    <w:basedOn w:val="Normal"/>
    <w:link w:val="FootnoteTextChar"/>
    <w:uiPriority w:val="4"/>
    <w:rsid w:val="00D12825"/>
    <w:pPr>
      <w:tabs>
        <w:tab w:val="left" w:pos="113"/>
      </w:tabs>
      <w:spacing w:after="40" w:line="180" w:lineRule="atLeast"/>
      <w:ind w:left="96" w:hanging="96"/>
      <w:contextualSpacing/>
    </w:pPr>
    <w:rPr>
      <w:sz w:val="15"/>
    </w:rPr>
  </w:style>
  <w:style w:type="character" w:customStyle="1" w:styleId="FootnoteTextChar">
    <w:name w:val="Footnote Text Char"/>
    <w:basedOn w:val="DefaultParagraphFont"/>
    <w:link w:val="FootnoteText"/>
    <w:uiPriority w:val="4"/>
    <w:rsid w:val="00D12825"/>
    <w:rPr>
      <w:rFonts w:asciiTheme="minorHAnsi" w:hAnsiTheme="minorHAnsi"/>
      <w:color w:val="000000" w:themeColor="text1"/>
      <w:sz w:val="15"/>
    </w:rPr>
  </w:style>
  <w:style w:type="character" w:styleId="FootnoteReference">
    <w:name w:val="footnote reference"/>
    <w:basedOn w:val="DefaultParagraphFont"/>
    <w:uiPriority w:val="4"/>
    <w:rsid w:val="00DD459E"/>
    <w:rPr>
      <w:rFonts w:asciiTheme="minorHAnsi" w:hAnsiTheme="minorHAnsi"/>
      <w:sz w:val="14"/>
      <w:vertAlign w:val="superscript"/>
    </w:rPr>
  </w:style>
  <w:style w:type="numbering" w:customStyle="1" w:styleId="Bullets">
    <w:name w:val="Bullets"/>
    <w:uiPriority w:val="99"/>
    <w:rsid w:val="00D12825"/>
    <w:pPr>
      <w:numPr>
        <w:numId w:val="5"/>
      </w:numPr>
    </w:pPr>
  </w:style>
  <w:style w:type="paragraph" w:customStyle="1" w:styleId="Heading1Numbered">
    <w:name w:val="Heading 1 Numbered"/>
    <w:basedOn w:val="Heading1"/>
    <w:next w:val="Normal"/>
    <w:qFormat/>
    <w:rsid w:val="00CC389F"/>
    <w:pPr>
      <w:numPr>
        <w:ilvl w:val="1"/>
        <w:numId w:val="13"/>
      </w:numPr>
    </w:pPr>
  </w:style>
  <w:style w:type="paragraph" w:styleId="ListBullet">
    <w:name w:val="List Bullet"/>
    <w:basedOn w:val="Normal"/>
    <w:uiPriority w:val="1"/>
    <w:qFormat/>
    <w:rsid w:val="00D12825"/>
    <w:pPr>
      <w:numPr>
        <w:numId w:val="11"/>
      </w:numPr>
      <w:contextualSpacing/>
    </w:pPr>
  </w:style>
  <w:style w:type="paragraph" w:styleId="ListBullet2">
    <w:name w:val="List Bullet 2"/>
    <w:basedOn w:val="Normal"/>
    <w:uiPriority w:val="1"/>
    <w:qFormat/>
    <w:rsid w:val="00D12825"/>
    <w:pPr>
      <w:numPr>
        <w:ilvl w:val="1"/>
        <w:numId w:val="11"/>
      </w:numPr>
      <w:contextualSpacing/>
    </w:pPr>
  </w:style>
  <w:style w:type="paragraph" w:customStyle="1" w:styleId="Heading2Numbered">
    <w:name w:val="Heading 2 Numbered"/>
    <w:basedOn w:val="Heading2"/>
    <w:next w:val="Normal"/>
    <w:qFormat/>
    <w:rsid w:val="00350CB3"/>
    <w:pPr>
      <w:numPr>
        <w:ilvl w:val="2"/>
        <w:numId w:val="13"/>
      </w:numPr>
      <w:spacing w:after="120"/>
      <w:ind w:left="1418"/>
    </w:pPr>
  </w:style>
  <w:style w:type="paragraph" w:customStyle="1" w:styleId="Heading3Numbered">
    <w:name w:val="Heading 3 Numbered"/>
    <w:basedOn w:val="Heading3"/>
    <w:next w:val="Normal"/>
    <w:qFormat/>
    <w:rsid w:val="00CC389F"/>
    <w:pPr>
      <w:numPr>
        <w:ilvl w:val="3"/>
        <w:numId w:val="13"/>
      </w:numPr>
    </w:pPr>
  </w:style>
  <w:style w:type="numbering" w:customStyle="1" w:styleId="NumberedHeadings">
    <w:name w:val="Numbered Headings"/>
    <w:uiPriority w:val="99"/>
    <w:rsid w:val="00CC389F"/>
    <w:pPr>
      <w:numPr>
        <w:numId w:val="6"/>
      </w:numPr>
    </w:pPr>
  </w:style>
  <w:style w:type="numbering" w:customStyle="1" w:styleId="ListNumbers">
    <w:name w:val="List Numbers"/>
    <w:uiPriority w:val="99"/>
    <w:rsid w:val="00B11D27"/>
    <w:pPr>
      <w:numPr>
        <w:numId w:val="7"/>
      </w:numPr>
    </w:pPr>
  </w:style>
  <w:style w:type="paragraph" w:styleId="ListNumber">
    <w:name w:val="List Number"/>
    <w:basedOn w:val="Normal"/>
    <w:uiPriority w:val="2"/>
    <w:qFormat/>
    <w:rsid w:val="0099784A"/>
    <w:pPr>
      <w:numPr>
        <w:numId w:val="10"/>
      </w:numPr>
      <w:contextualSpacing/>
    </w:pPr>
  </w:style>
  <w:style w:type="paragraph" w:styleId="ListNumber2">
    <w:name w:val="List Number 2"/>
    <w:basedOn w:val="Normal"/>
    <w:uiPriority w:val="2"/>
    <w:qFormat/>
    <w:rsid w:val="0099784A"/>
    <w:pPr>
      <w:numPr>
        <w:ilvl w:val="1"/>
        <w:numId w:val="10"/>
      </w:numPr>
      <w:contextualSpacing/>
    </w:pPr>
  </w:style>
  <w:style w:type="paragraph" w:styleId="Header">
    <w:name w:val="header"/>
    <w:basedOn w:val="Normal"/>
    <w:link w:val="HeaderChar"/>
    <w:uiPriority w:val="99"/>
    <w:semiHidden/>
    <w:rsid w:val="00AD2263"/>
    <w:pPr>
      <w:spacing w:after="0" w:line="240" w:lineRule="auto"/>
    </w:pPr>
    <w:rPr>
      <w:sz w:val="14"/>
    </w:rPr>
  </w:style>
  <w:style w:type="character" w:customStyle="1" w:styleId="HeaderChar">
    <w:name w:val="Header Char"/>
    <w:basedOn w:val="DefaultParagraphFont"/>
    <w:link w:val="Header"/>
    <w:uiPriority w:val="99"/>
    <w:semiHidden/>
    <w:rsid w:val="0099784A"/>
    <w:rPr>
      <w:rFonts w:asciiTheme="minorHAnsi" w:hAnsiTheme="minorHAnsi"/>
      <w:color w:val="000000" w:themeColor="text1"/>
      <w:sz w:val="14"/>
    </w:rPr>
  </w:style>
  <w:style w:type="paragraph" w:styleId="Footer">
    <w:name w:val="footer"/>
    <w:basedOn w:val="Normal"/>
    <w:link w:val="FooterChar"/>
    <w:uiPriority w:val="99"/>
    <w:semiHidden/>
    <w:rsid w:val="00807D31"/>
    <w:pPr>
      <w:spacing w:after="0" w:line="240" w:lineRule="auto"/>
    </w:pPr>
    <w:rPr>
      <w:sz w:val="14"/>
    </w:rPr>
  </w:style>
  <w:style w:type="character" w:customStyle="1" w:styleId="FooterChar">
    <w:name w:val="Footer Char"/>
    <w:basedOn w:val="DefaultParagraphFont"/>
    <w:link w:val="Footer"/>
    <w:uiPriority w:val="99"/>
    <w:semiHidden/>
    <w:rsid w:val="00807D31"/>
    <w:rPr>
      <w:rFonts w:asciiTheme="minorHAnsi" w:hAnsiTheme="minorHAnsi"/>
      <w:color w:val="000000" w:themeColor="text1"/>
      <w:sz w:val="14"/>
    </w:rPr>
  </w:style>
  <w:style w:type="paragraph" w:styleId="BalloonText">
    <w:name w:val="Balloon Text"/>
    <w:basedOn w:val="Normal"/>
    <w:link w:val="BalloonTextChar"/>
    <w:uiPriority w:val="99"/>
    <w:semiHidden/>
    <w:unhideWhenUsed/>
    <w:rsid w:val="00AD2263"/>
    <w:rPr>
      <w:rFonts w:ascii="Tahoma" w:hAnsi="Tahoma" w:cs="Tahoma"/>
      <w:sz w:val="16"/>
      <w:szCs w:val="16"/>
    </w:rPr>
  </w:style>
  <w:style w:type="character" w:customStyle="1" w:styleId="BalloonTextChar">
    <w:name w:val="Balloon Text Char"/>
    <w:basedOn w:val="DefaultParagraphFont"/>
    <w:link w:val="BalloonText"/>
    <w:uiPriority w:val="99"/>
    <w:semiHidden/>
    <w:rsid w:val="00AD2263"/>
    <w:rPr>
      <w:rFonts w:ascii="Tahoma" w:hAnsi="Tahoma" w:cs="Tahoma"/>
      <w:color w:val="FFFFFF" w:themeColor="background2"/>
      <w:sz w:val="16"/>
      <w:szCs w:val="16"/>
    </w:rPr>
  </w:style>
  <w:style w:type="table" w:styleId="TableGrid">
    <w:name w:val="Table Grid"/>
    <w:basedOn w:val="TableNormal"/>
    <w:uiPriority w:val="59"/>
    <w:rsid w:val="00AD2263"/>
    <w:rPr>
      <w:rFonts w:ascii="Arial" w:hAnsi="Arial"/>
      <w:sz w:val="18"/>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character" w:customStyle="1" w:styleId="Heading4Char">
    <w:name w:val="Heading 4 Char"/>
    <w:basedOn w:val="DefaultParagraphFont"/>
    <w:link w:val="Heading4"/>
    <w:uiPriority w:val="9"/>
    <w:semiHidden/>
    <w:rsid w:val="0099784A"/>
    <w:rPr>
      <w:rFonts w:asciiTheme="majorHAnsi" w:eastAsiaTheme="majorEastAsia" w:hAnsiTheme="majorHAnsi" w:cstheme="majorBidi"/>
      <w:b/>
      <w:bCs/>
      <w:iCs/>
      <w:color w:val="000000" w:themeColor="text1"/>
      <w:sz w:val="18"/>
    </w:rPr>
  </w:style>
  <w:style w:type="paragraph" w:customStyle="1" w:styleId="Heading4Numbered">
    <w:name w:val="Heading 4 Numbered"/>
    <w:basedOn w:val="Heading4"/>
    <w:next w:val="Normal"/>
    <w:semiHidden/>
    <w:qFormat/>
    <w:rsid w:val="00F07894"/>
  </w:style>
  <w:style w:type="paragraph" w:styleId="TOC1">
    <w:name w:val="toc 1"/>
    <w:basedOn w:val="Normal"/>
    <w:next w:val="Normal"/>
    <w:uiPriority w:val="39"/>
    <w:unhideWhenUsed/>
    <w:rsid w:val="00841B40"/>
    <w:pPr>
      <w:pBdr>
        <w:top w:val="single" w:sz="8" w:space="5" w:color="82C341" w:themeColor="background1"/>
      </w:pBdr>
      <w:tabs>
        <w:tab w:val="left" w:pos="567"/>
        <w:tab w:val="right" w:pos="7825"/>
      </w:tabs>
      <w:spacing w:before="150" w:after="57"/>
      <w:ind w:hanging="567"/>
    </w:pPr>
    <w:rPr>
      <w:rFonts w:asciiTheme="majorHAnsi" w:hAnsiTheme="majorHAnsi"/>
      <w:b/>
    </w:rPr>
  </w:style>
  <w:style w:type="paragraph" w:styleId="TOC2">
    <w:name w:val="toc 2"/>
    <w:basedOn w:val="Normal"/>
    <w:next w:val="Normal"/>
    <w:uiPriority w:val="39"/>
    <w:unhideWhenUsed/>
    <w:rsid w:val="00841B40"/>
    <w:pPr>
      <w:tabs>
        <w:tab w:val="left" w:pos="567"/>
        <w:tab w:val="right" w:pos="7825"/>
      </w:tabs>
      <w:spacing w:after="28"/>
      <w:ind w:hanging="567"/>
    </w:pPr>
    <w:rPr>
      <w:rFonts w:asciiTheme="majorHAnsi" w:hAnsiTheme="majorHAnsi"/>
      <w:color w:val="231F20"/>
    </w:rPr>
  </w:style>
  <w:style w:type="paragraph" w:customStyle="1" w:styleId="TableHeading">
    <w:name w:val="Table Heading"/>
    <w:basedOn w:val="Normal"/>
    <w:qFormat/>
    <w:rsid w:val="002C1573"/>
    <w:pPr>
      <w:spacing w:before="80" w:after="80" w:line="220" w:lineRule="atLeast"/>
    </w:pPr>
    <w:rPr>
      <w:rFonts w:asciiTheme="majorHAnsi" w:hAnsiTheme="majorHAnsi"/>
      <w:bCs/>
      <w:color w:val="FFFFFF"/>
      <w:sz w:val="17"/>
    </w:rPr>
  </w:style>
  <w:style w:type="paragraph" w:customStyle="1" w:styleId="TableText">
    <w:name w:val="Table Text"/>
    <w:basedOn w:val="TableHeading"/>
    <w:qFormat/>
    <w:rsid w:val="002C1573"/>
    <w:pPr>
      <w:spacing w:before="70" w:after="70"/>
    </w:pPr>
    <w:rPr>
      <w:rFonts w:asciiTheme="minorHAnsi" w:hAnsiTheme="minorHAnsi"/>
      <w:color w:val="000000" w:themeColor="text1"/>
    </w:rPr>
  </w:style>
  <w:style w:type="table" w:styleId="LightList">
    <w:name w:val="Light List"/>
    <w:basedOn w:val="TableNormal"/>
    <w:uiPriority w:val="61"/>
    <w:rsid w:val="00AD2263"/>
    <w:rPr>
      <w:rFonts w:ascii="Arial" w:hAnsi="Arial"/>
      <w:sz w:val="18"/>
    </w:rPr>
    <w:tblPr>
      <w:tblStyleRowBandSize w:val="1"/>
      <w:tblStyleColBandSize w:val="1"/>
      <w:tblInd w:w="85"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D2263"/>
    <w:rPr>
      <w:rFonts w:ascii="Arial" w:hAnsi="Arial"/>
      <w:sz w:val="18"/>
    </w:rPr>
    <w:tblPr>
      <w:tblStyleRowBandSize w:val="1"/>
      <w:tblStyleColBandSize w:val="1"/>
      <w:tblInd w:w="85" w:type="dxa"/>
      <w:tblBorders>
        <w:top w:val="single" w:sz="8" w:space="0" w:color="82C341" w:themeColor="accent1"/>
        <w:left w:val="single" w:sz="8" w:space="0" w:color="82C341" w:themeColor="accent1"/>
        <w:bottom w:val="single" w:sz="8" w:space="0" w:color="82C341" w:themeColor="accent1"/>
        <w:right w:val="single" w:sz="8" w:space="0" w:color="82C341" w:themeColor="accent1"/>
      </w:tblBorders>
      <w:tblCellMar>
        <w:top w:w="85" w:type="dxa"/>
        <w:left w:w="85" w:type="dxa"/>
        <w:bottom w:w="85" w:type="dxa"/>
        <w:right w:w="85" w:type="dxa"/>
      </w:tblCellMar>
    </w:tblPr>
    <w:tblStylePr w:type="firstRow">
      <w:pPr>
        <w:spacing w:before="0" w:after="0" w:line="240" w:lineRule="auto"/>
      </w:pPr>
      <w:rPr>
        <w:b/>
        <w:bCs/>
        <w:color w:val="000000" w:themeColor="text1"/>
      </w:rPr>
      <w:tblPr/>
      <w:tcPr>
        <w:shd w:val="clear" w:color="auto" w:fill="82C341" w:themeFill="accent1"/>
      </w:tcPr>
    </w:tblStylePr>
    <w:tblStylePr w:type="lastRow">
      <w:pPr>
        <w:spacing w:before="0" w:after="0" w:line="240" w:lineRule="auto"/>
      </w:pPr>
      <w:rPr>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tcBorders>
      </w:tcPr>
    </w:tblStylePr>
    <w:tblStylePr w:type="firstCol">
      <w:rPr>
        <w:b/>
        <w:bCs/>
      </w:rPr>
    </w:tblStylePr>
    <w:tblStylePr w:type="lastCol">
      <w:rPr>
        <w:b/>
        <w:bCs/>
      </w:r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style>
  <w:style w:type="table" w:styleId="LightList-Accent2">
    <w:name w:val="Light List Accent 2"/>
    <w:basedOn w:val="TableNormal"/>
    <w:uiPriority w:val="61"/>
    <w:rsid w:val="00AD2263"/>
    <w:rPr>
      <w:rFonts w:ascii="Arial" w:hAnsi="Arial"/>
      <w:sz w:val="18"/>
    </w:rPr>
    <w:tblPr>
      <w:tblStyleRowBandSize w:val="1"/>
      <w:tblStyleColBandSize w:val="1"/>
      <w:tblInd w:w="85" w:type="dxa"/>
      <w:tblBorders>
        <w:top w:val="single" w:sz="8" w:space="0" w:color="FFFFFF" w:themeColor="background2" w:themeTint="BF"/>
        <w:left w:val="single" w:sz="8" w:space="0" w:color="FFFFFF" w:themeColor="background2" w:themeTint="BF"/>
        <w:bottom w:val="single" w:sz="8" w:space="0" w:color="FFFFFF" w:themeColor="background2" w:themeTint="BF"/>
        <w:right w:val="single" w:sz="8" w:space="0" w:color="FFFFFF" w:themeColor="background2" w:themeTint="BF"/>
        <w:insideH w:val="single" w:sz="8" w:space="0" w:color="FFFFFF" w:themeColor="background2" w:themeTint="BF"/>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FFFFFF" w:themeFill="background2" w:themeFillTint="BF"/>
      </w:tcPr>
    </w:tblStylePr>
    <w:tblStylePr w:type="lastRow">
      <w:pPr>
        <w:spacing w:before="0" w:after="0" w:line="240" w:lineRule="auto"/>
      </w:pPr>
      <w:rPr>
        <w:b/>
        <w:bCs/>
      </w:rPr>
      <w:tblPr/>
      <w:tcPr>
        <w:tcBorders>
          <w:top w:val="double" w:sz="6" w:space="0" w:color="000000" w:themeColor="accent2"/>
          <w:left w:val="single" w:sz="8" w:space="0" w:color="000000" w:themeColor="accent2"/>
          <w:bottom w:val="single" w:sz="8" w:space="0" w:color="000000" w:themeColor="accent2"/>
          <w:right w:val="single" w:sz="8" w:space="0" w:color="000000" w:themeColor="accent2"/>
        </w:tcBorders>
      </w:tcPr>
    </w:tblStylePr>
    <w:tblStylePr w:type="firstCol">
      <w:rPr>
        <w:b/>
        <w:bCs/>
      </w:rPr>
    </w:tblStylePr>
    <w:tblStylePr w:type="lastCol">
      <w:rPr>
        <w:b/>
        <w:bCs/>
      </w:rPr>
    </w:tblStylePr>
    <w:tblStylePr w:type="band1Vert">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tblStylePr w:type="band1Horz">
      <w:tblPr/>
      <w:tcPr>
        <w:tcBorders>
          <w:top w:val="single" w:sz="8" w:space="0" w:color="FFFFFF" w:themeColor="background2" w:themeTint="BF"/>
          <w:left w:val="single" w:sz="8" w:space="0" w:color="FFFFFF" w:themeColor="background2" w:themeTint="BF"/>
          <w:bottom w:val="single" w:sz="8" w:space="0" w:color="FFFFFF" w:themeColor="background2" w:themeTint="BF"/>
          <w:right w:val="single" w:sz="8" w:space="0" w:color="FFFFFF" w:themeColor="background2" w:themeTint="BF"/>
          <w:insideH w:val="nil"/>
          <w:insideV w:val="nil"/>
          <w:tl2br w:val="nil"/>
          <w:tr2bl w:val="nil"/>
        </w:tcBorders>
      </w:tcPr>
    </w:tblStylePr>
  </w:style>
  <w:style w:type="table" w:styleId="LightList-Accent3">
    <w:name w:val="Light List Accent 3"/>
    <w:basedOn w:val="TableNormal"/>
    <w:uiPriority w:val="61"/>
    <w:rsid w:val="00AD2263"/>
    <w:rPr>
      <w:rFonts w:ascii="Arial" w:hAnsi="Arial"/>
      <w:sz w:val="18"/>
    </w:rPr>
    <w:tblPr>
      <w:tblStyleRowBandSize w:val="1"/>
      <w:tblStyleColBandSize w:val="1"/>
      <w:tblInd w:w="85" w:type="dxa"/>
      <w:tblBorders>
        <w:top w:val="single" w:sz="8" w:space="0" w:color="BCBEC0" w:themeColor="accent3"/>
        <w:left w:val="single" w:sz="8" w:space="0" w:color="BCBEC0" w:themeColor="accent3"/>
        <w:bottom w:val="single" w:sz="8" w:space="0" w:color="BCBEC0" w:themeColor="accent3"/>
        <w:right w:val="single" w:sz="8" w:space="0" w:color="BCBEC0" w:themeColor="accent3"/>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BCBEC0" w:themeFill="accent3"/>
      </w:tcPr>
    </w:tblStylePr>
    <w:tblStylePr w:type="lastRow">
      <w:pPr>
        <w:spacing w:before="0" w:after="0" w:line="240" w:lineRule="auto"/>
      </w:pPr>
      <w:rPr>
        <w:b/>
        <w:bCs/>
      </w:rPr>
      <w:tblPr/>
      <w:tcPr>
        <w:tcBorders>
          <w:top w:val="double" w:sz="6" w:space="0" w:color="BCBEC0" w:themeColor="accent3"/>
          <w:left w:val="single" w:sz="8" w:space="0" w:color="BCBEC0" w:themeColor="accent3"/>
          <w:bottom w:val="single" w:sz="8" w:space="0" w:color="BCBEC0" w:themeColor="accent3"/>
          <w:right w:val="single" w:sz="8" w:space="0" w:color="BCBEC0" w:themeColor="accent3"/>
        </w:tcBorders>
      </w:tcPr>
    </w:tblStylePr>
    <w:tblStylePr w:type="firstCol">
      <w:rPr>
        <w:b/>
        <w:bCs/>
      </w:rPr>
    </w:tblStylePr>
    <w:tblStylePr w:type="lastCol">
      <w:rPr>
        <w:b/>
        <w:bCs/>
      </w:rPr>
    </w:tblStylePr>
    <w:tblStylePr w:type="band1Vert">
      <w:tblPr/>
      <w:tcPr>
        <w:tcBorders>
          <w:top w:val="single" w:sz="8" w:space="0" w:color="BCBEC0" w:themeColor="accent3"/>
          <w:left w:val="single" w:sz="8" w:space="0" w:color="BCBEC0" w:themeColor="accent3"/>
          <w:bottom w:val="single" w:sz="8" w:space="0" w:color="BCBEC0" w:themeColor="accent3"/>
          <w:right w:val="single" w:sz="8" w:space="0" w:color="BCBEC0" w:themeColor="accent3"/>
        </w:tcBorders>
      </w:tcPr>
    </w:tblStylePr>
    <w:tblStylePr w:type="band1Horz">
      <w:tblPr/>
      <w:tcPr>
        <w:tcBorders>
          <w:top w:val="single" w:sz="8" w:space="0" w:color="BCBEC0" w:themeColor="accent3"/>
          <w:left w:val="single" w:sz="8" w:space="0" w:color="BCBEC0" w:themeColor="accent3"/>
          <w:bottom w:val="single" w:sz="8" w:space="0" w:color="BCBEC0" w:themeColor="accent3"/>
          <w:right w:val="single" w:sz="8" w:space="0" w:color="BCBEC0" w:themeColor="accent3"/>
        </w:tcBorders>
      </w:tcPr>
    </w:tblStylePr>
  </w:style>
  <w:style w:type="table" w:styleId="LightList-Accent4">
    <w:name w:val="Light List Accent 4"/>
    <w:basedOn w:val="TableNormal"/>
    <w:uiPriority w:val="61"/>
    <w:rsid w:val="00AD2263"/>
    <w:rPr>
      <w:rFonts w:ascii="Arial" w:hAnsi="Arial"/>
      <w:sz w:val="18"/>
    </w:rPr>
    <w:tblPr>
      <w:tblStyleRowBandSize w:val="1"/>
      <w:tblStyleColBandSize w:val="1"/>
      <w:tblInd w:w="85" w:type="dxa"/>
      <w:tblBorders>
        <w:top w:val="single" w:sz="8" w:space="0" w:color="6AA336" w:themeColor="accent4"/>
        <w:left w:val="single" w:sz="8" w:space="0" w:color="6AA336" w:themeColor="accent4"/>
        <w:bottom w:val="single" w:sz="8" w:space="0" w:color="6AA336" w:themeColor="accent4"/>
        <w:right w:val="single" w:sz="8" w:space="0" w:color="6AA336" w:themeColor="accent4"/>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6AA336" w:themeFill="accent4"/>
      </w:tcPr>
    </w:tblStylePr>
    <w:tblStylePr w:type="lastRow">
      <w:pPr>
        <w:spacing w:before="0" w:after="0" w:line="240" w:lineRule="auto"/>
      </w:pPr>
      <w:rPr>
        <w:b/>
        <w:bCs/>
      </w:rPr>
      <w:tblPr/>
      <w:tcPr>
        <w:tcBorders>
          <w:top w:val="double" w:sz="6" w:space="0" w:color="6AA336" w:themeColor="accent4"/>
          <w:left w:val="single" w:sz="8" w:space="0" w:color="6AA336" w:themeColor="accent4"/>
          <w:bottom w:val="single" w:sz="8" w:space="0" w:color="6AA336" w:themeColor="accent4"/>
          <w:right w:val="single" w:sz="8" w:space="0" w:color="6AA336" w:themeColor="accent4"/>
        </w:tcBorders>
      </w:tcPr>
    </w:tblStylePr>
    <w:tblStylePr w:type="firstCol">
      <w:rPr>
        <w:b/>
        <w:bCs/>
      </w:rPr>
    </w:tblStylePr>
    <w:tblStylePr w:type="lastCol">
      <w:rPr>
        <w:b/>
        <w:bCs/>
      </w:rPr>
    </w:tblStylePr>
    <w:tblStylePr w:type="band1Vert">
      <w:tblPr/>
      <w:tcPr>
        <w:tcBorders>
          <w:top w:val="single" w:sz="8" w:space="0" w:color="6AA336" w:themeColor="accent4"/>
          <w:left w:val="single" w:sz="8" w:space="0" w:color="6AA336" w:themeColor="accent4"/>
          <w:bottom w:val="single" w:sz="8" w:space="0" w:color="6AA336" w:themeColor="accent4"/>
          <w:right w:val="single" w:sz="8" w:space="0" w:color="6AA336" w:themeColor="accent4"/>
        </w:tcBorders>
      </w:tcPr>
    </w:tblStylePr>
    <w:tblStylePr w:type="band1Horz">
      <w:tblPr/>
      <w:tcPr>
        <w:tcBorders>
          <w:top w:val="single" w:sz="8" w:space="0" w:color="6AA336" w:themeColor="accent4"/>
          <w:left w:val="single" w:sz="8" w:space="0" w:color="6AA336" w:themeColor="accent4"/>
          <w:bottom w:val="single" w:sz="8" w:space="0" w:color="6AA336" w:themeColor="accent4"/>
          <w:right w:val="single" w:sz="8" w:space="0" w:color="6AA336" w:themeColor="accent4"/>
        </w:tcBorders>
      </w:tcPr>
    </w:tblStylePr>
  </w:style>
  <w:style w:type="table" w:styleId="LightList-Accent5">
    <w:name w:val="Light List Accent 5"/>
    <w:basedOn w:val="TableNormal"/>
    <w:uiPriority w:val="61"/>
    <w:rsid w:val="00AD2263"/>
    <w:rPr>
      <w:rFonts w:ascii="Arial" w:hAnsi="Arial"/>
      <w:sz w:val="18"/>
    </w:rPr>
    <w:tblPr>
      <w:tblStyleRowBandSize w:val="1"/>
      <w:tblStyleColBandSize w:val="1"/>
      <w:tblInd w:w="85" w:type="dxa"/>
      <w:tblBorders>
        <w:top w:val="single" w:sz="8" w:space="0" w:color="A7D278" w:themeColor="accent5"/>
        <w:left w:val="single" w:sz="8" w:space="0" w:color="A7D278" w:themeColor="accent5"/>
        <w:bottom w:val="single" w:sz="8" w:space="0" w:color="A7D278" w:themeColor="accent5"/>
        <w:right w:val="single" w:sz="8" w:space="0" w:color="A7D278" w:themeColor="accent5"/>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A7D278" w:themeFill="accent5"/>
      </w:tcPr>
    </w:tblStylePr>
    <w:tblStylePr w:type="lastRow">
      <w:pPr>
        <w:spacing w:before="0" w:after="0" w:line="240" w:lineRule="auto"/>
      </w:pPr>
      <w:rPr>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tcBorders>
      </w:tcPr>
    </w:tblStylePr>
    <w:tblStylePr w:type="firstCol">
      <w:rPr>
        <w:b/>
        <w:bCs/>
      </w:rPr>
    </w:tblStylePr>
    <w:tblStylePr w:type="lastCol">
      <w:rPr>
        <w:b/>
        <w:bCs/>
      </w:r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style>
  <w:style w:type="table" w:styleId="MediumShading1-Accent1">
    <w:name w:val="Medium Shading 1 Accent 1"/>
    <w:basedOn w:val="TableNormal"/>
    <w:uiPriority w:val="63"/>
    <w:rsid w:val="00AD2263"/>
    <w:rPr>
      <w:rFonts w:ascii="Arial" w:hAnsi="Arial"/>
      <w:sz w:val="18"/>
    </w:rPr>
    <w:tblPr>
      <w:tblStyleRowBandSize w:val="1"/>
      <w:tblStyleColBandSize w:val="1"/>
      <w:tblInd w:w="85" w:type="dxa"/>
      <w:tblCellMar>
        <w:top w:w="85" w:type="dxa"/>
        <w:left w:w="85" w:type="dxa"/>
        <w:bottom w:w="85" w:type="dxa"/>
        <w:right w:w="85" w:type="dxa"/>
      </w:tblCellMar>
    </w:tblPr>
    <w:tblStylePr w:type="firstRow">
      <w:pPr>
        <w:spacing w:before="0" w:after="0" w:line="240" w:lineRule="auto"/>
      </w:pPr>
      <w:rPr>
        <w:b/>
        <w:bCs/>
        <w:color w:val="000000" w:themeColor="text1"/>
      </w:rPr>
      <w:tblPr/>
      <w:tcPr>
        <w:tcBorders>
          <w:top w:val="nil"/>
          <w:left w:val="nil"/>
          <w:bottom w:val="nil"/>
          <w:right w:val="nil"/>
          <w:insideH w:val="nil"/>
          <w:insideV w:val="nil"/>
        </w:tcBorders>
        <w:shd w:val="clear" w:color="auto" w:fill="82C341" w:themeFill="accent1"/>
      </w:tcPr>
    </w:tblStylePr>
    <w:tblStylePr w:type="lastRow">
      <w:pPr>
        <w:spacing w:before="0" w:after="0" w:line="240" w:lineRule="auto"/>
      </w:pPr>
      <w:rPr>
        <w:b/>
        <w:bCs/>
      </w:rPr>
      <w:tblPr/>
      <w:tcPr>
        <w:tcBorders>
          <w:top w:val="double" w:sz="6"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0CF" w:themeFill="accent1" w:themeFillTint="3F"/>
      </w:tcPr>
    </w:tblStylePr>
    <w:tblStylePr w:type="band1Horz">
      <w:tblPr/>
      <w:tcPr>
        <w:tcBorders>
          <w:insideH w:val="nil"/>
          <w:insideV w:val="nil"/>
        </w:tcBorders>
        <w:shd w:val="clear" w:color="auto" w:fill="DFF0CF" w:themeFill="accent1"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AD2263"/>
    <w:rPr>
      <w:rFonts w:ascii="Arial" w:hAnsi="Arial"/>
      <w:sz w:val="18"/>
    </w:rPr>
    <w:tblPr>
      <w:tblStyleRowBandSize w:val="1"/>
      <w:tblStyleColBandSize w:val="1"/>
      <w:tblInd w:w="85" w:type="dxa"/>
      <w:tblBorders>
        <w:top w:val="single" w:sz="8" w:space="0" w:color="CBE3AE" w:themeColor="accent6"/>
        <w:left w:val="single" w:sz="8" w:space="0" w:color="CBE3AE" w:themeColor="accent6"/>
        <w:bottom w:val="single" w:sz="8" w:space="0" w:color="CBE3AE" w:themeColor="accent6"/>
        <w:right w:val="single" w:sz="8" w:space="0" w:color="CBE3AE" w:themeColor="accent6"/>
      </w:tblBorders>
      <w:tblCellMar>
        <w:top w:w="85" w:type="dxa"/>
        <w:left w:w="85" w:type="dxa"/>
        <w:bottom w:w="85" w:type="dxa"/>
        <w:right w:w="85" w:type="dxa"/>
      </w:tblCellMar>
    </w:tblPr>
    <w:tblStylePr w:type="firstRow">
      <w:pPr>
        <w:spacing w:before="0" w:after="0" w:line="240" w:lineRule="auto"/>
      </w:pPr>
      <w:rPr>
        <w:b/>
        <w:bCs/>
        <w:color w:val="FFFFFF" w:themeColor="background2"/>
      </w:rPr>
      <w:tblPr/>
      <w:tcPr>
        <w:shd w:val="clear" w:color="auto" w:fill="CBE3AE" w:themeFill="accent6"/>
      </w:tcPr>
    </w:tblStylePr>
    <w:tblStylePr w:type="lastRow">
      <w:pPr>
        <w:spacing w:before="0" w:after="0" w:line="240" w:lineRule="auto"/>
      </w:pPr>
      <w:rPr>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tcBorders>
      </w:tcPr>
    </w:tblStylePr>
    <w:tblStylePr w:type="firstCol">
      <w:rPr>
        <w:b/>
        <w:bCs/>
      </w:rPr>
    </w:tblStylePr>
    <w:tblStylePr w:type="lastCol">
      <w:rPr>
        <w:b/>
        <w:bCs/>
      </w:r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style>
  <w:style w:type="table" w:styleId="MediumGrid2-Accent1">
    <w:name w:val="Medium Grid 2 Accent 1"/>
    <w:basedOn w:val="TableNormal"/>
    <w:uiPriority w:val="68"/>
    <w:rsid w:val="00AD2263"/>
    <w:rPr>
      <w:rFonts w:ascii="Arial" w:eastAsiaTheme="majorEastAsia" w:hAnsi="Arial" w:cstheme="majorBidi"/>
      <w:color w:val="000000" w:themeColor="text1"/>
      <w:sz w:val="18"/>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cPr>
      <w:shd w:val="clear" w:color="auto" w:fill="DFF0CF" w:themeFill="accent1" w:themeFillTint="3F"/>
    </w:tcPr>
    <w:tblStylePr w:type="firstRow">
      <w:rPr>
        <w:b/>
        <w:bCs/>
        <w:color w:val="000000" w:themeColor="text1"/>
      </w:rPr>
      <w:tblPr/>
      <w:tcPr>
        <w:shd w:val="clear" w:color="auto" w:fill="F2F9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82C341" w:themeFill="background1"/>
      </w:tcPr>
    </w:tblStylePr>
    <w:tblStylePr w:type="firstCol">
      <w:rPr>
        <w:b/>
        <w:bCs/>
        <w:color w:val="000000" w:themeColor="text1"/>
      </w:rPr>
      <w:tblPr/>
      <w:tcPr>
        <w:tcBorders>
          <w:top w:val="nil"/>
          <w:left w:val="nil"/>
          <w:bottom w:val="nil"/>
          <w:right w:val="nil"/>
          <w:insideH w:val="nil"/>
          <w:insideV w:val="nil"/>
        </w:tcBorders>
        <w:shd w:val="clear" w:color="auto" w:fill="82C341"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3D9" w:themeFill="accent1" w:themeFillTint="33"/>
      </w:tcPr>
    </w:tblStylePr>
    <w:tblStylePr w:type="band1Vert">
      <w:tblPr/>
      <w:tcPr>
        <w:shd w:val="clear" w:color="auto" w:fill="C0E1A0" w:themeFill="accent1" w:themeFillTint="7F"/>
      </w:tcPr>
    </w:tblStylePr>
    <w:tblStylePr w:type="band1Horz">
      <w:tblPr/>
      <w:tcPr>
        <w:shd w:val="clear" w:color="auto" w:fill="A8ABAE" w:themeFill="text2" w:themeFillShade="E6"/>
      </w:tcPr>
    </w:tblStylePr>
    <w:tblStylePr w:type="band2Horz">
      <w:tblPr/>
      <w:tcPr>
        <w:shd w:val="clear" w:color="auto" w:fill="BCBEC0" w:themeFill="text2"/>
      </w:tcPr>
    </w:tblStylePr>
    <w:tblStylePr w:type="nwCell">
      <w:tblPr/>
      <w:tcPr>
        <w:shd w:val="clear" w:color="auto" w:fill="82C341" w:themeFill="background1"/>
      </w:tcPr>
    </w:tblStylePr>
  </w:style>
  <w:style w:type="paragraph" w:styleId="Quote">
    <w:name w:val="Quote"/>
    <w:basedOn w:val="Normal"/>
    <w:next w:val="Normal"/>
    <w:link w:val="QuoteChar"/>
    <w:uiPriority w:val="29"/>
    <w:semiHidden/>
    <w:rsid w:val="00AD226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D2263"/>
    <w:rPr>
      <w:rFonts w:asciiTheme="minorHAnsi" w:hAnsiTheme="minorHAnsi"/>
      <w:i/>
      <w:iCs/>
      <w:color w:val="404040" w:themeColor="text1" w:themeTint="BF"/>
      <w:sz w:val="18"/>
    </w:rPr>
  </w:style>
  <w:style w:type="table" w:customStyle="1" w:styleId="LayoutGrid">
    <w:name w:val="Layout Grid"/>
    <w:basedOn w:val="TableNormal"/>
    <w:uiPriority w:val="99"/>
    <w:rsid w:val="00586D62"/>
    <w:rPr>
      <w:rFonts w:asciiTheme="minorHAnsi" w:hAnsiTheme="minorHAnsi"/>
      <w:sz w:val="18"/>
    </w:rPr>
    <w:tblPr>
      <w:tblCellMar>
        <w:left w:w="0" w:type="dxa"/>
        <w:right w:w="0" w:type="dxa"/>
      </w:tblCellMar>
    </w:tblPr>
  </w:style>
  <w:style w:type="character" w:styleId="PlaceholderText">
    <w:name w:val="Placeholder Text"/>
    <w:basedOn w:val="DefaultParagraphFont"/>
    <w:uiPriority w:val="99"/>
    <w:semiHidden/>
    <w:rsid w:val="0045125A"/>
    <w:rPr>
      <w:color w:val="808080"/>
    </w:rPr>
  </w:style>
  <w:style w:type="paragraph" w:customStyle="1" w:styleId="TableBullet">
    <w:name w:val="Table Bullet"/>
    <w:basedOn w:val="TableText"/>
    <w:qFormat/>
    <w:rsid w:val="00D12825"/>
    <w:pPr>
      <w:numPr>
        <w:numId w:val="12"/>
      </w:numPr>
    </w:pPr>
  </w:style>
  <w:style w:type="numbering" w:customStyle="1" w:styleId="TableBulletList">
    <w:name w:val="TableBullet List"/>
    <w:uiPriority w:val="99"/>
    <w:rsid w:val="00D12825"/>
    <w:pPr>
      <w:numPr>
        <w:numId w:val="8"/>
      </w:numPr>
    </w:pPr>
  </w:style>
  <w:style w:type="paragraph" w:customStyle="1" w:styleId="FooterDetails">
    <w:name w:val="Footer Details"/>
    <w:basedOn w:val="Normal"/>
    <w:rsid w:val="00807D31"/>
    <w:pPr>
      <w:spacing w:after="0" w:line="240" w:lineRule="auto"/>
    </w:pPr>
    <w:rPr>
      <w:rFonts w:asciiTheme="majorHAnsi" w:hAnsiTheme="majorHAnsi"/>
      <w:sz w:val="15"/>
    </w:rPr>
  </w:style>
  <w:style w:type="paragraph" w:styleId="TOCHeading">
    <w:name w:val="TOC Heading"/>
    <w:basedOn w:val="Heading1"/>
    <w:next w:val="Normal"/>
    <w:uiPriority w:val="39"/>
    <w:rsid w:val="00E369F1"/>
    <w:pPr>
      <w:spacing w:before="0" w:after="400" w:line="240" w:lineRule="auto"/>
      <w:outlineLvl w:val="9"/>
    </w:pPr>
    <w:rPr>
      <w:b/>
      <w:color w:val="82C341" w:themeColor="background1"/>
    </w:rPr>
  </w:style>
  <w:style w:type="character" w:customStyle="1" w:styleId="Heading5Char">
    <w:name w:val="Heading 5 Char"/>
    <w:basedOn w:val="DefaultParagraphFont"/>
    <w:link w:val="Heading5"/>
    <w:uiPriority w:val="9"/>
    <w:semiHidden/>
    <w:rsid w:val="00AD2263"/>
    <w:rPr>
      <w:rFonts w:asciiTheme="majorHAnsi" w:eastAsiaTheme="majorEastAsia" w:hAnsiTheme="majorHAnsi" w:cstheme="majorBidi"/>
      <w:color w:val="40621F" w:themeColor="accent1" w:themeShade="7F"/>
      <w:sz w:val="18"/>
    </w:rPr>
  </w:style>
  <w:style w:type="character" w:customStyle="1" w:styleId="Heading6Char">
    <w:name w:val="Heading 6 Char"/>
    <w:basedOn w:val="DefaultParagraphFont"/>
    <w:link w:val="Heading6"/>
    <w:uiPriority w:val="9"/>
    <w:semiHidden/>
    <w:rsid w:val="00AD2263"/>
    <w:rPr>
      <w:rFonts w:asciiTheme="majorHAnsi" w:eastAsiaTheme="majorEastAsia" w:hAnsiTheme="majorHAnsi" w:cstheme="majorBidi"/>
      <w:i/>
      <w:iCs/>
      <w:color w:val="40621F" w:themeColor="accent1" w:themeShade="7F"/>
      <w:sz w:val="18"/>
    </w:rPr>
  </w:style>
  <w:style w:type="character" w:customStyle="1" w:styleId="Heading7Char">
    <w:name w:val="Heading 7 Char"/>
    <w:basedOn w:val="DefaultParagraphFont"/>
    <w:link w:val="Heading7"/>
    <w:uiPriority w:val="9"/>
    <w:semiHidden/>
    <w:rsid w:val="00AD2263"/>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AD2263"/>
    <w:rPr>
      <w:rFonts w:asciiTheme="majorHAnsi" w:eastAsiaTheme="majorEastAsia" w:hAnsiTheme="majorHAnsi" w:cstheme="majorBidi"/>
      <w:color w:val="404040" w:themeColor="text1" w:themeTint="BF"/>
      <w:sz w:val="18"/>
    </w:rPr>
  </w:style>
  <w:style w:type="character" w:customStyle="1" w:styleId="Heading9Char">
    <w:name w:val="Heading 9 Char"/>
    <w:basedOn w:val="DefaultParagraphFont"/>
    <w:link w:val="Heading9"/>
    <w:uiPriority w:val="9"/>
    <w:semiHidden/>
    <w:rsid w:val="00AD2263"/>
    <w:rPr>
      <w:rFonts w:asciiTheme="majorHAnsi" w:eastAsiaTheme="majorEastAsia" w:hAnsiTheme="majorHAnsi" w:cstheme="majorBidi"/>
      <w:i/>
      <w:iCs/>
      <w:color w:val="404040" w:themeColor="text1" w:themeTint="BF"/>
      <w:sz w:val="18"/>
    </w:rPr>
  </w:style>
  <w:style w:type="paragraph" w:styleId="Index1">
    <w:name w:val="index 1"/>
    <w:basedOn w:val="Normal"/>
    <w:next w:val="Normal"/>
    <w:autoRedefine/>
    <w:uiPriority w:val="99"/>
    <w:semiHidden/>
    <w:unhideWhenUsed/>
    <w:rsid w:val="00AD2263"/>
    <w:pPr>
      <w:spacing w:after="0"/>
      <w:ind w:left="200" w:hanging="200"/>
    </w:pPr>
  </w:style>
  <w:style w:type="paragraph" w:styleId="Index2">
    <w:name w:val="index 2"/>
    <w:basedOn w:val="Normal"/>
    <w:next w:val="Normal"/>
    <w:autoRedefine/>
    <w:uiPriority w:val="99"/>
    <w:semiHidden/>
    <w:unhideWhenUsed/>
    <w:rsid w:val="00AD2263"/>
    <w:pPr>
      <w:spacing w:after="0"/>
      <w:ind w:left="400" w:hanging="200"/>
    </w:pPr>
  </w:style>
  <w:style w:type="paragraph" w:styleId="Index3">
    <w:name w:val="index 3"/>
    <w:basedOn w:val="Normal"/>
    <w:next w:val="Normal"/>
    <w:autoRedefine/>
    <w:uiPriority w:val="99"/>
    <w:semiHidden/>
    <w:unhideWhenUsed/>
    <w:rsid w:val="00AD2263"/>
    <w:pPr>
      <w:spacing w:after="0"/>
      <w:ind w:left="600" w:hanging="200"/>
    </w:pPr>
  </w:style>
  <w:style w:type="paragraph" w:styleId="Index4">
    <w:name w:val="index 4"/>
    <w:basedOn w:val="Normal"/>
    <w:next w:val="Normal"/>
    <w:autoRedefine/>
    <w:uiPriority w:val="99"/>
    <w:semiHidden/>
    <w:unhideWhenUsed/>
    <w:rsid w:val="00AD2263"/>
    <w:pPr>
      <w:spacing w:after="0"/>
      <w:ind w:left="800" w:hanging="200"/>
    </w:pPr>
  </w:style>
  <w:style w:type="paragraph" w:styleId="Index5">
    <w:name w:val="index 5"/>
    <w:basedOn w:val="Normal"/>
    <w:next w:val="Normal"/>
    <w:autoRedefine/>
    <w:uiPriority w:val="99"/>
    <w:semiHidden/>
    <w:unhideWhenUsed/>
    <w:rsid w:val="00AD2263"/>
    <w:pPr>
      <w:spacing w:after="0"/>
      <w:ind w:left="1000" w:hanging="200"/>
    </w:pPr>
  </w:style>
  <w:style w:type="paragraph" w:styleId="Index6">
    <w:name w:val="index 6"/>
    <w:basedOn w:val="Normal"/>
    <w:next w:val="Normal"/>
    <w:autoRedefine/>
    <w:uiPriority w:val="99"/>
    <w:semiHidden/>
    <w:unhideWhenUsed/>
    <w:rsid w:val="00AD2263"/>
    <w:pPr>
      <w:spacing w:after="0"/>
      <w:ind w:left="1200" w:hanging="200"/>
    </w:pPr>
  </w:style>
  <w:style w:type="paragraph" w:styleId="Index7">
    <w:name w:val="index 7"/>
    <w:basedOn w:val="Normal"/>
    <w:next w:val="Normal"/>
    <w:autoRedefine/>
    <w:uiPriority w:val="99"/>
    <w:semiHidden/>
    <w:unhideWhenUsed/>
    <w:rsid w:val="00AD2263"/>
    <w:pPr>
      <w:spacing w:after="0"/>
      <w:ind w:left="1400" w:hanging="200"/>
    </w:pPr>
  </w:style>
  <w:style w:type="paragraph" w:styleId="Index8">
    <w:name w:val="index 8"/>
    <w:basedOn w:val="Normal"/>
    <w:next w:val="Normal"/>
    <w:autoRedefine/>
    <w:uiPriority w:val="99"/>
    <w:semiHidden/>
    <w:unhideWhenUsed/>
    <w:rsid w:val="00AD2263"/>
    <w:pPr>
      <w:spacing w:after="0"/>
      <w:ind w:left="1600" w:hanging="200"/>
    </w:pPr>
  </w:style>
  <w:style w:type="paragraph" w:styleId="Index9">
    <w:name w:val="index 9"/>
    <w:basedOn w:val="Normal"/>
    <w:next w:val="Normal"/>
    <w:autoRedefine/>
    <w:uiPriority w:val="99"/>
    <w:semiHidden/>
    <w:unhideWhenUsed/>
    <w:rsid w:val="00AD2263"/>
    <w:pPr>
      <w:spacing w:after="0"/>
      <w:ind w:left="1800" w:hanging="200"/>
    </w:pPr>
  </w:style>
  <w:style w:type="paragraph" w:styleId="TOC4">
    <w:name w:val="toc 4"/>
    <w:basedOn w:val="Normal"/>
    <w:next w:val="Normal"/>
    <w:autoRedefine/>
    <w:uiPriority w:val="39"/>
    <w:semiHidden/>
    <w:unhideWhenUsed/>
    <w:rsid w:val="00AD2263"/>
    <w:pPr>
      <w:spacing w:after="100"/>
      <w:ind w:left="540"/>
    </w:pPr>
  </w:style>
  <w:style w:type="paragraph" w:styleId="TOC5">
    <w:name w:val="toc 5"/>
    <w:basedOn w:val="Normal"/>
    <w:next w:val="Normal"/>
    <w:autoRedefine/>
    <w:uiPriority w:val="39"/>
    <w:semiHidden/>
    <w:unhideWhenUsed/>
    <w:rsid w:val="00AD2263"/>
    <w:pPr>
      <w:spacing w:after="100"/>
      <w:ind w:left="720"/>
    </w:pPr>
  </w:style>
  <w:style w:type="paragraph" w:styleId="TOC6">
    <w:name w:val="toc 6"/>
    <w:basedOn w:val="Normal"/>
    <w:next w:val="Normal"/>
    <w:autoRedefine/>
    <w:uiPriority w:val="39"/>
    <w:semiHidden/>
    <w:unhideWhenUsed/>
    <w:rsid w:val="00AD2263"/>
    <w:pPr>
      <w:spacing w:after="100"/>
      <w:ind w:left="900"/>
    </w:pPr>
  </w:style>
  <w:style w:type="paragraph" w:styleId="TOC7">
    <w:name w:val="toc 7"/>
    <w:basedOn w:val="Normal"/>
    <w:next w:val="Normal"/>
    <w:autoRedefine/>
    <w:uiPriority w:val="39"/>
    <w:semiHidden/>
    <w:unhideWhenUsed/>
    <w:rsid w:val="00AD2263"/>
    <w:pPr>
      <w:spacing w:after="100"/>
      <w:ind w:left="1080"/>
    </w:pPr>
  </w:style>
  <w:style w:type="paragraph" w:styleId="TOC8">
    <w:name w:val="toc 8"/>
    <w:basedOn w:val="Normal"/>
    <w:next w:val="Normal"/>
    <w:autoRedefine/>
    <w:uiPriority w:val="39"/>
    <w:semiHidden/>
    <w:unhideWhenUsed/>
    <w:rsid w:val="00AD2263"/>
    <w:pPr>
      <w:spacing w:after="100"/>
      <w:ind w:left="1260"/>
    </w:pPr>
  </w:style>
  <w:style w:type="paragraph" w:styleId="TOC9">
    <w:name w:val="toc 9"/>
    <w:basedOn w:val="Normal"/>
    <w:next w:val="Normal"/>
    <w:autoRedefine/>
    <w:uiPriority w:val="39"/>
    <w:semiHidden/>
    <w:unhideWhenUsed/>
    <w:rsid w:val="00AD2263"/>
    <w:pPr>
      <w:spacing w:after="100"/>
      <w:ind w:left="1440"/>
    </w:pPr>
  </w:style>
  <w:style w:type="paragraph" w:styleId="NormalIndent">
    <w:name w:val="Normal Indent"/>
    <w:basedOn w:val="Normal"/>
    <w:uiPriority w:val="99"/>
    <w:semiHidden/>
    <w:unhideWhenUsed/>
    <w:rsid w:val="00AD2263"/>
    <w:pPr>
      <w:ind w:left="720"/>
    </w:pPr>
  </w:style>
  <w:style w:type="paragraph" w:styleId="IndexHeading">
    <w:name w:val="index heading"/>
    <w:basedOn w:val="Normal"/>
    <w:next w:val="Index1"/>
    <w:uiPriority w:val="99"/>
    <w:semiHidden/>
    <w:unhideWhenUsed/>
    <w:rsid w:val="00AD2263"/>
    <w:rPr>
      <w:rFonts w:asciiTheme="majorHAnsi" w:eastAsiaTheme="majorEastAsia" w:hAnsiTheme="majorHAnsi" w:cstheme="majorBidi"/>
      <w:b/>
      <w:bCs/>
    </w:rPr>
  </w:style>
  <w:style w:type="paragraph" w:styleId="TableofFigures">
    <w:name w:val="table of figures"/>
    <w:basedOn w:val="Normal"/>
    <w:next w:val="Normal"/>
    <w:uiPriority w:val="99"/>
    <w:unhideWhenUsed/>
    <w:rsid w:val="00AD2263"/>
    <w:pPr>
      <w:spacing w:after="0"/>
    </w:pPr>
  </w:style>
  <w:style w:type="paragraph" w:styleId="EnvelopeAddress">
    <w:name w:val="envelope address"/>
    <w:basedOn w:val="Normal"/>
    <w:uiPriority w:val="99"/>
    <w:semiHidden/>
    <w:unhideWhenUsed/>
    <w:rsid w:val="00AD226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D2263"/>
    <w:pPr>
      <w:spacing w:after="0"/>
    </w:pPr>
    <w:rPr>
      <w:rFonts w:asciiTheme="majorHAnsi" w:eastAsiaTheme="majorEastAsia" w:hAnsiTheme="majorHAnsi" w:cstheme="majorBidi"/>
    </w:rPr>
  </w:style>
  <w:style w:type="character" w:styleId="EndnoteReference">
    <w:name w:val="endnote reference"/>
    <w:basedOn w:val="DefaultParagraphFont"/>
    <w:uiPriority w:val="99"/>
    <w:semiHidden/>
    <w:unhideWhenUsed/>
    <w:rsid w:val="00AD2263"/>
    <w:rPr>
      <w:vertAlign w:val="superscript"/>
    </w:rPr>
  </w:style>
  <w:style w:type="paragraph" w:styleId="EndnoteText">
    <w:name w:val="endnote text"/>
    <w:basedOn w:val="Normal"/>
    <w:link w:val="EndnoteTextChar"/>
    <w:uiPriority w:val="99"/>
    <w:semiHidden/>
    <w:unhideWhenUsed/>
    <w:rsid w:val="00AD2263"/>
    <w:pPr>
      <w:spacing w:after="0"/>
    </w:pPr>
  </w:style>
  <w:style w:type="character" w:customStyle="1" w:styleId="EndnoteTextChar">
    <w:name w:val="Endnote Text Char"/>
    <w:basedOn w:val="DefaultParagraphFont"/>
    <w:link w:val="EndnoteText"/>
    <w:uiPriority w:val="99"/>
    <w:semiHidden/>
    <w:rsid w:val="00AD2263"/>
    <w:rPr>
      <w:rFonts w:asciiTheme="minorHAnsi" w:hAnsiTheme="minorHAnsi"/>
      <w:color w:val="FFFFFF" w:themeColor="background2"/>
      <w:sz w:val="18"/>
    </w:rPr>
  </w:style>
  <w:style w:type="paragraph" w:styleId="TableofAuthorities">
    <w:name w:val="table of authorities"/>
    <w:basedOn w:val="Normal"/>
    <w:next w:val="Normal"/>
    <w:uiPriority w:val="99"/>
    <w:semiHidden/>
    <w:unhideWhenUsed/>
    <w:rsid w:val="00AD2263"/>
    <w:pPr>
      <w:spacing w:after="0"/>
      <w:ind w:left="200" w:hanging="200"/>
    </w:pPr>
  </w:style>
  <w:style w:type="paragraph" w:styleId="MacroText">
    <w:name w:val="macro"/>
    <w:link w:val="MacroTextChar"/>
    <w:uiPriority w:val="99"/>
    <w:semiHidden/>
    <w:unhideWhenUsed/>
    <w:rsid w:val="00AD226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18"/>
      <w:szCs w:val="18"/>
    </w:rPr>
  </w:style>
  <w:style w:type="character" w:customStyle="1" w:styleId="MacroTextChar">
    <w:name w:val="Macro Text Char"/>
    <w:basedOn w:val="DefaultParagraphFont"/>
    <w:link w:val="MacroText"/>
    <w:uiPriority w:val="99"/>
    <w:semiHidden/>
    <w:rsid w:val="00AD2263"/>
    <w:rPr>
      <w:rFonts w:ascii="Consolas" w:hAnsi="Consolas" w:cs="Consolas"/>
      <w:sz w:val="18"/>
      <w:szCs w:val="18"/>
    </w:rPr>
  </w:style>
  <w:style w:type="paragraph" w:styleId="TOAHeading">
    <w:name w:val="toa heading"/>
    <w:basedOn w:val="Normal"/>
    <w:next w:val="Normal"/>
    <w:uiPriority w:val="99"/>
    <w:semiHidden/>
    <w:unhideWhenUsed/>
    <w:rsid w:val="00AD2263"/>
    <w:pPr>
      <w:spacing w:before="120"/>
    </w:pPr>
    <w:rPr>
      <w:rFonts w:asciiTheme="majorHAnsi" w:eastAsiaTheme="majorEastAsia" w:hAnsiTheme="majorHAnsi" w:cstheme="majorBidi"/>
      <w:b/>
      <w:bCs/>
      <w:sz w:val="24"/>
      <w:szCs w:val="24"/>
    </w:rPr>
  </w:style>
  <w:style w:type="paragraph" w:styleId="List">
    <w:name w:val="List"/>
    <w:basedOn w:val="Normal"/>
    <w:uiPriority w:val="99"/>
    <w:semiHidden/>
    <w:rsid w:val="00B86744"/>
    <w:pPr>
      <w:numPr>
        <w:numId w:val="9"/>
      </w:numPr>
      <w:contextualSpacing/>
    </w:pPr>
  </w:style>
  <w:style w:type="paragraph" w:styleId="List3">
    <w:name w:val="List 3"/>
    <w:basedOn w:val="Normal"/>
    <w:uiPriority w:val="99"/>
    <w:semiHidden/>
    <w:unhideWhenUsed/>
    <w:rsid w:val="00AD2263"/>
    <w:pPr>
      <w:ind w:left="849" w:hanging="283"/>
      <w:contextualSpacing/>
    </w:pPr>
  </w:style>
  <w:style w:type="paragraph" w:styleId="List4">
    <w:name w:val="List 4"/>
    <w:basedOn w:val="Normal"/>
    <w:uiPriority w:val="99"/>
    <w:semiHidden/>
    <w:unhideWhenUsed/>
    <w:rsid w:val="00AD2263"/>
    <w:pPr>
      <w:ind w:left="1132" w:hanging="283"/>
      <w:contextualSpacing/>
    </w:pPr>
  </w:style>
  <w:style w:type="paragraph" w:styleId="List5">
    <w:name w:val="List 5"/>
    <w:basedOn w:val="Normal"/>
    <w:uiPriority w:val="99"/>
    <w:semiHidden/>
    <w:unhideWhenUsed/>
    <w:rsid w:val="00AD2263"/>
    <w:pPr>
      <w:ind w:left="1415" w:hanging="283"/>
      <w:contextualSpacing/>
    </w:pPr>
  </w:style>
  <w:style w:type="paragraph" w:styleId="ListBullet4">
    <w:name w:val="List Bullet 4"/>
    <w:basedOn w:val="Normal"/>
    <w:uiPriority w:val="99"/>
    <w:semiHidden/>
    <w:unhideWhenUsed/>
    <w:rsid w:val="00AD2263"/>
    <w:pPr>
      <w:numPr>
        <w:numId w:val="1"/>
      </w:numPr>
      <w:contextualSpacing/>
    </w:pPr>
  </w:style>
  <w:style w:type="paragraph" w:styleId="ListBullet5">
    <w:name w:val="List Bullet 5"/>
    <w:basedOn w:val="Normal"/>
    <w:uiPriority w:val="99"/>
    <w:semiHidden/>
    <w:unhideWhenUsed/>
    <w:rsid w:val="00AD2263"/>
    <w:pPr>
      <w:numPr>
        <w:numId w:val="2"/>
      </w:numPr>
      <w:contextualSpacing/>
    </w:pPr>
  </w:style>
  <w:style w:type="paragraph" w:styleId="ListNumber4">
    <w:name w:val="List Number 4"/>
    <w:basedOn w:val="Normal"/>
    <w:uiPriority w:val="99"/>
    <w:semiHidden/>
    <w:unhideWhenUsed/>
    <w:rsid w:val="00AD2263"/>
    <w:pPr>
      <w:numPr>
        <w:numId w:val="3"/>
      </w:numPr>
      <w:contextualSpacing/>
    </w:pPr>
  </w:style>
  <w:style w:type="paragraph" w:styleId="ListNumber5">
    <w:name w:val="List Number 5"/>
    <w:basedOn w:val="Normal"/>
    <w:uiPriority w:val="99"/>
    <w:semiHidden/>
    <w:unhideWhenUsed/>
    <w:rsid w:val="00AD2263"/>
    <w:pPr>
      <w:numPr>
        <w:numId w:val="4"/>
      </w:numPr>
      <w:contextualSpacing/>
    </w:pPr>
  </w:style>
  <w:style w:type="paragraph" w:styleId="Title">
    <w:name w:val="Title"/>
    <w:basedOn w:val="Normal"/>
    <w:next w:val="Normal"/>
    <w:link w:val="TitleChar"/>
    <w:uiPriority w:val="10"/>
    <w:semiHidden/>
    <w:unhideWhenUsed/>
    <w:qFormat/>
    <w:rsid w:val="00AD2263"/>
    <w:pPr>
      <w:pBdr>
        <w:bottom w:val="single" w:sz="8" w:space="4" w:color="82C341" w:themeColor="accent1"/>
      </w:pBdr>
      <w:spacing w:after="300"/>
      <w:contextualSpacing/>
    </w:pPr>
    <w:rPr>
      <w:rFonts w:asciiTheme="majorHAnsi" w:eastAsiaTheme="majorEastAsia" w:hAnsiTheme="majorHAnsi" w:cstheme="majorBidi"/>
      <w:color w:val="8A8E91" w:themeColor="text2" w:themeShade="BF"/>
      <w:spacing w:val="5"/>
      <w:kern w:val="28"/>
      <w:sz w:val="52"/>
      <w:szCs w:val="52"/>
    </w:rPr>
  </w:style>
  <w:style w:type="character" w:customStyle="1" w:styleId="TitleChar">
    <w:name w:val="Title Char"/>
    <w:basedOn w:val="DefaultParagraphFont"/>
    <w:link w:val="Title"/>
    <w:uiPriority w:val="10"/>
    <w:semiHidden/>
    <w:rsid w:val="00AD2263"/>
    <w:rPr>
      <w:rFonts w:asciiTheme="majorHAnsi" w:eastAsiaTheme="majorEastAsia" w:hAnsiTheme="majorHAnsi" w:cstheme="majorBidi"/>
      <w:color w:val="8A8E91" w:themeColor="text2" w:themeShade="BF"/>
      <w:spacing w:val="5"/>
      <w:kern w:val="28"/>
      <w:sz w:val="52"/>
      <w:szCs w:val="52"/>
    </w:rPr>
  </w:style>
  <w:style w:type="paragraph" w:styleId="Closing">
    <w:name w:val="Closing"/>
    <w:basedOn w:val="Normal"/>
    <w:link w:val="ClosingChar"/>
    <w:uiPriority w:val="99"/>
    <w:semiHidden/>
    <w:unhideWhenUsed/>
    <w:rsid w:val="00AD2263"/>
    <w:pPr>
      <w:spacing w:after="0"/>
      <w:ind w:left="4252"/>
    </w:pPr>
  </w:style>
  <w:style w:type="character" w:customStyle="1" w:styleId="ClosingChar">
    <w:name w:val="Closing Char"/>
    <w:basedOn w:val="DefaultParagraphFont"/>
    <w:link w:val="Closing"/>
    <w:uiPriority w:val="99"/>
    <w:semiHidden/>
    <w:rsid w:val="00AD2263"/>
    <w:rPr>
      <w:rFonts w:asciiTheme="minorHAnsi" w:hAnsiTheme="minorHAnsi"/>
      <w:color w:val="FFFFFF" w:themeColor="background2"/>
      <w:sz w:val="18"/>
    </w:rPr>
  </w:style>
  <w:style w:type="paragraph" w:styleId="Signature">
    <w:name w:val="Signature"/>
    <w:basedOn w:val="Normal"/>
    <w:link w:val="SignatureChar"/>
    <w:uiPriority w:val="99"/>
    <w:semiHidden/>
    <w:unhideWhenUsed/>
    <w:rsid w:val="00AD2263"/>
    <w:pPr>
      <w:spacing w:after="0"/>
      <w:ind w:left="4252"/>
    </w:pPr>
  </w:style>
  <w:style w:type="character" w:customStyle="1" w:styleId="SignatureChar">
    <w:name w:val="Signature Char"/>
    <w:basedOn w:val="DefaultParagraphFont"/>
    <w:link w:val="Signature"/>
    <w:uiPriority w:val="99"/>
    <w:semiHidden/>
    <w:rsid w:val="00AD2263"/>
    <w:rPr>
      <w:rFonts w:asciiTheme="minorHAnsi" w:hAnsiTheme="minorHAnsi"/>
      <w:color w:val="FFFFFF" w:themeColor="background2"/>
      <w:sz w:val="18"/>
    </w:rPr>
  </w:style>
  <w:style w:type="paragraph" w:styleId="BodyTextIndent">
    <w:name w:val="Body Text Indent"/>
    <w:basedOn w:val="Normal"/>
    <w:link w:val="BodyTextIndentChar"/>
    <w:uiPriority w:val="99"/>
    <w:semiHidden/>
    <w:unhideWhenUsed/>
    <w:rsid w:val="00AD2263"/>
    <w:pPr>
      <w:ind w:left="283"/>
    </w:pPr>
  </w:style>
  <w:style w:type="character" w:customStyle="1" w:styleId="BodyTextIndentChar">
    <w:name w:val="Body Text Indent Char"/>
    <w:basedOn w:val="DefaultParagraphFont"/>
    <w:link w:val="BodyTextIndent"/>
    <w:uiPriority w:val="99"/>
    <w:semiHidden/>
    <w:rsid w:val="00AD2263"/>
    <w:rPr>
      <w:rFonts w:asciiTheme="minorHAnsi" w:hAnsiTheme="minorHAnsi"/>
      <w:color w:val="FFFFFF" w:themeColor="background2"/>
      <w:sz w:val="18"/>
    </w:rPr>
  </w:style>
  <w:style w:type="paragraph" w:styleId="ListContinue">
    <w:name w:val="List Continue"/>
    <w:basedOn w:val="Normal"/>
    <w:uiPriority w:val="99"/>
    <w:semiHidden/>
    <w:unhideWhenUsed/>
    <w:rsid w:val="00AD2263"/>
    <w:pPr>
      <w:ind w:left="283"/>
      <w:contextualSpacing/>
    </w:pPr>
  </w:style>
  <w:style w:type="paragraph" w:styleId="ListContinue2">
    <w:name w:val="List Continue 2"/>
    <w:basedOn w:val="Normal"/>
    <w:uiPriority w:val="99"/>
    <w:semiHidden/>
    <w:unhideWhenUsed/>
    <w:rsid w:val="00AD2263"/>
    <w:pPr>
      <w:ind w:left="566"/>
      <w:contextualSpacing/>
    </w:pPr>
  </w:style>
  <w:style w:type="paragraph" w:styleId="ListContinue3">
    <w:name w:val="List Continue 3"/>
    <w:basedOn w:val="Normal"/>
    <w:uiPriority w:val="99"/>
    <w:semiHidden/>
    <w:unhideWhenUsed/>
    <w:rsid w:val="00AD2263"/>
    <w:pPr>
      <w:ind w:left="849"/>
      <w:contextualSpacing/>
    </w:pPr>
  </w:style>
  <w:style w:type="paragraph" w:styleId="ListContinue4">
    <w:name w:val="List Continue 4"/>
    <w:basedOn w:val="Normal"/>
    <w:uiPriority w:val="99"/>
    <w:semiHidden/>
    <w:unhideWhenUsed/>
    <w:rsid w:val="00AD2263"/>
    <w:pPr>
      <w:ind w:left="1132"/>
      <w:contextualSpacing/>
    </w:pPr>
  </w:style>
  <w:style w:type="paragraph" w:styleId="ListContinue5">
    <w:name w:val="List Continue 5"/>
    <w:basedOn w:val="Normal"/>
    <w:uiPriority w:val="99"/>
    <w:semiHidden/>
    <w:unhideWhenUsed/>
    <w:rsid w:val="00AD2263"/>
    <w:pPr>
      <w:ind w:left="1415"/>
      <w:contextualSpacing/>
    </w:pPr>
  </w:style>
  <w:style w:type="paragraph" w:styleId="MessageHeader">
    <w:name w:val="Message Header"/>
    <w:basedOn w:val="Normal"/>
    <w:link w:val="MessageHeaderChar"/>
    <w:uiPriority w:val="99"/>
    <w:semiHidden/>
    <w:unhideWhenUsed/>
    <w:rsid w:val="00AD226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D2263"/>
    <w:rPr>
      <w:rFonts w:asciiTheme="majorHAnsi" w:eastAsiaTheme="majorEastAsia" w:hAnsiTheme="majorHAnsi" w:cstheme="majorBidi"/>
      <w:color w:val="FFFFFF" w:themeColor="background2"/>
      <w:sz w:val="24"/>
      <w:szCs w:val="24"/>
      <w:shd w:val="pct20" w:color="auto" w:fill="auto"/>
    </w:rPr>
  </w:style>
  <w:style w:type="paragraph" w:styleId="Subtitle">
    <w:name w:val="Subtitle"/>
    <w:basedOn w:val="Normal"/>
    <w:next w:val="Normal"/>
    <w:link w:val="SubtitleChar"/>
    <w:uiPriority w:val="11"/>
    <w:semiHidden/>
    <w:unhideWhenUsed/>
    <w:qFormat/>
    <w:rsid w:val="00AD2263"/>
    <w:pPr>
      <w:numPr>
        <w:ilvl w:val="1"/>
      </w:numPr>
    </w:pPr>
    <w:rPr>
      <w:rFonts w:asciiTheme="majorHAnsi" w:eastAsiaTheme="majorEastAsia" w:hAnsiTheme="majorHAnsi" w:cstheme="majorBidi"/>
      <w:i/>
      <w:iCs/>
      <w:color w:val="82C341" w:themeColor="accent1"/>
      <w:spacing w:val="15"/>
      <w:sz w:val="24"/>
      <w:szCs w:val="24"/>
    </w:rPr>
  </w:style>
  <w:style w:type="character" w:customStyle="1" w:styleId="SubtitleChar">
    <w:name w:val="Subtitle Char"/>
    <w:basedOn w:val="DefaultParagraphFont"/>
    <w:link w:val="Subtitle"/>
    <w:uiPriority w:val="11"/>
    <w:semiHidden/>
    <w:rsid w:val="00AD2263"/>
    <w:rPr>
      <w:rFonts w:asciiTheme="majorHAnsi" w:eastAsiaTheme="majorEastAsia" w:hAnsiTheme="majorHAnsi" w:cstheme="majorBidi"/>
      <w:i/>
      <w:iCs/>
      <w:color w:val="82C341" w:themeColor="accent1"/>
      <w:spacing w:val="15"/>
      <w:sz w:val="24"/>
      <w:szCs w:val="24"/>
    </w:rPr>
  </w:style>
  <w:style w:type="paragraph" w:styleId="Salutation">
    <w:name w:val="Salutation"/>
    <w:basedOn w:val="Normal"/>
    <w:next w:val="Normal"/>
    <w:link w:val="SalutationChar"/>
    <w:uiPriority w:val="99"/>
    <w:semiHidden/>
    <w:unhideWhenUsed/>
    <w:rsid w:val="00AD2263"/>
  </w:style>
  <w:style w:type="character" w:customStyle="1" w:styleId="SalutationChar">
    <w:name w:val="Salutation Char"/>
    <w:basedOn w:val="DefaultParagraphFont"/>
    <w:link w:val="Salutation"/>
    <w:uiPriority w:val="99"/>
    <w:semiHidden/>
    <w:rsid w:val="00AD2263"/>
    <w:rPr>
      <w:rFonts w:asciiTheme="minorHAnsi" w:hAnsiTheme="minorHAnsi"/>
      <w:color w:val="FFFFFF" w:themeColor="background2"/>
      <w:sz w:val="18"/>
    </w:rPr>
  </w:style>
  <w:style w:type="paragraph" w:styleId="Date">
    <w:name w:val="Date"/>
    <w:basedOn w:val="Normal"/>
    <w:next w:val="Normal"/>
    <w:link w:val="DateChar"/>
    <w:uiPriority w:val="99"/>
    <w:semiHidden/>
    <w:unhideWhenUsed/>
    <w:rsid w:val="00AD2263"/>
  </w:style>
  <w:style w:type="character" w:customStyle="1" w:styleId="DateChar">
    <w:name w:val="Date Char"/>
    <w:basedOn w:val="DefaultParagraphFont"/>
    <w:link w:val="Date"/>
    <w:uiPriority w:val="99"/>
    <w:semiHidden/>
    <w:rsid w:val="00AD2263"/>
    <w:rPr>
      <w:rFonts w:asciiTheme="minorHAnsi" w:hAnsiTheme="minorHAnsi"/>
      <w:color w:val="FFFFFF" w:themeColor="background2"/>
      <w:sz w:val="18"/>
    </w:rPr>
  </w:style>
  <w:style w:type="paragraph" w:styleId="BodyTextFirstIndent">
    <w:name w:val="Body Text First Indent"/>
    <w:basedOn w:val="Normal"/>
    <w:link w:val="BodyTextFirstIndentChar"/>
    <w:uiPriority w:val="99"/>
    <w:semiHidden/>
    <w:unhideWhenUsed/>
    <w:rsid w:val="008A02E3"/>
    <w:pPr>
      <w:ind w:firstLine="360"/>
    </w:pPr>
  </w:style>
  <w:style w:type="character" w:customStyle="1" w:styleId="BodyTextFirstIndentChar">
    <w:name w:val="Body Text First Indent Char"/>
    <w:basedOn w:val="DefaultParagraphFont"/>
    <w:link w:val="BodyTextFirstIndent"/>
    <w:uiPriority w:val="99"/>
    <w:semiHidden/>
    <w:rsid w:val="008A02E3"/>
    <w:rPr>
      <w:rFonts w:asciiTheme="minorHAnsi" w:hAnsiTheme="minorHAnsi"/>
      <w:color w:val="FFFFFF" w:themeColor="background2"/>
      <w:sz w:val="18"/>
    </w:rPr>
  </w:style>
  <w:style w:type="paragraph" w:styleId="BodyTextFirstIndent2">
    <w:name w:val="Body Text First Indent 2"/>
    <w:basedOn w:val="BodyTextIndent"/>
    <w:link w:val="BodyTextFirstIndent2Char"/>
    <w:uiPriority w:val="99"/>
    <w:semiHidden/>
    <w:unhideWhenUsed/>
    <w:rsid w:val="00AD2263"/>
    <w:pPr>
      <w:ind w:left="360" w:firstLine="360"/>
    </w:pPr>
  </w:style>
  <w:style w:type="character" w:customStyle="1" w:styleId="BodyTextFirstIndent2Char">
    <w:name w:val="Body Text First Indent 2 Char"/>
    <w:basedOn w:val="BodyTextIndentChar"/>
    <w:link w:val="BodyTextFirstIndent2"/>
    <w:uiPriority w:val="99"/>
    <w:semiHidden/>
    <w:rsid w:val="00AD2263"/>
    <w:rPr>
      <w:rFonts w:asciiTheme="minorHAnsi" w:hAnsiTheme="minorHAnsi"/>
      <w:color w:val="FFFFFF" w:themeColor="background2"/>
      <w:sz w:val="18"/>
    </w:rPr>
  </w:style>
  <w:style w:type="paragraph" w:styleId="BodyText2">
    <w:name w:val="Body Text 2"/>
    <w:basedOn w:val="Normal"/>
    <w:link w:val="BodyText2Char"/>
    <w:uiPriority w:val="99"/>
    <w:semiHidden/>
    <w:unhideWhenUsed/>
    <w:rsid w:val="00AD2263"/>
    <w:pPr>
      <w:spacing w:line="480" w:lineRule="auto"/>
    </w:pPr>
  </w:style>
  <w:style w:type="character" w:customStyle="1" w:styleId="BodyText2Char">
    <w:name w:val="Body Text 2 Char"/>
    <w:basedOn w:val="DefaultParagraphFont"/>
    <w:link w:val="BodyText2"/>
    <w:uiPriority w:val="99"/>
    <w:semiHidden/>
    <w:rsid w:val="00AD2263"/>
    <w:rPr>
      <w:rFonts w:asciiTheme="minorHAnsi" w:hAnsiTheme="minorHAnsi"/>
      <w:color w:val="FFFFFF" w:themeColor="background2"/>
      <w:sz w:val="18"/>
    </w:rPr>
  </w:style>
  <w:style w:type="paragraph" w:styleId="BodyText3">
    <w:name w:val="Body Text 3"/>
    <w:basedOn w:val="Normal"/>
    <w:link w:val="BodyText3Char"/>
    <w:uiPriority w:val="99"/>
    <w:semiHidden/>
    <w:unhideWhenUsed/>
    <w:rsid w:val="00AD2263"/>
    <w:rPr>
      <w:sz w:val="16"/>
      <w:szCs w:val="16"/>
    </w:rPr>
  </w:style>
  <w:style w:type="character" w:customStyle="1" w:styleId="BodyText3Char">
    <w:name w:val="Body Text 3 Char"/>
    <w:basedOn w:val="DefaultParagraphFont"/>
    <w:link w:val="BodyText3"/>
    <w:uiPriority w:val="99"/>
    <w:semiHidden/>
    <w:rsid w:val="00AD2263"/>
    <w:rPr>
      <w:rFonts w:asciiTheme="minorHAnsi" w:hAnsiTheme="minorHAnsi"/>
      <w:color w:val="FFFFFF" w:themeColor="background2"/>
      <w:sz w:val="16"/>
      <w:szCs w:val="16"/>
    </w:rPr>
  </w:style>
  <w:style w:type="paragraph" w:styleId="BodyTextIndent2">
    <w:name w:val="Body Text Indent 2"/>
    <w:basedOn w:val="Normal"/>
    <w:link w:val="BodyTextIndent2Char"/>
    <w:uiPriority w:val="99"/>
    <w:semiHidden/>
    <w:unhideWhenUsed/>
    <w:rsid w:val="00AD2263"/>
    <w:pPr>
      <w:spacing w:line="480" w:lineRule="auto"/>
      <w:ind w:left="283"/>
    </w:pPr>
  </w:style>
  <w:style w:type="character" w:customStyle="1" w:styleId="BodyTextIndent2Char">
    <w:name w:val="Body Text Indent 2 Char"/>
    <w:basedOn w:val="DefaultParagraphFont"/>
    <w:link w:val="BodyTextIndent2"/>
    <w:uiPriority w:val="99"/>
    <w:semiHidden/>
    <w:rsid w:val="00AD2263"/>
    <w:rPr>
      <w:rFonts w:asciiTheme="minorHAnsi" w:hAnsiTheme="minorHAnsi"/>
      <w:color w:val="FFFFFF" w:themeColor="background2"/>
      <w:sz w:val="18"/>
    </w:rPr>
  </w:style>
  <w:style w:type="paragraph" w:styleId="BodyTextIndent3">
    <w:name w:val="Body Text Indent 3"/>
    <w:basedOn w:val="Normal"/>
    <w:link w:val="BodyTextIndent3Char"/>
    <w:uiPriority w:val="99"/>
    <w:semiHidden/>
    <w:unhideWhenUsed/>
    <w:rsid w:val="00AD2263"/>
    <w:pPr>
      <w:ind w:left="283"/>
    </w:pPr>
    <w:rPr>
      <w:sz w:val="16"/>
      <w:szCs w:val="16"/>
    </w:rPr>
  </w:style>
  <w:style w:type="character" w:customStyle="1" w:styleId="BodyTextIndent3Char">
    <w:name w:val="Body Text Indent 3 Char"/>
    <w:basedOn w:val="DefaultParagraphFont"/>
    <w:link w:val="BodyTextIndent3"/>
    <w:uiPriority w:val="99"/>
    <w:semiHidden/>
    <w:rsid w:val="00AD2263"/>
    <w:rPr>
      <w:rFonts w:asciiTheme="minorHAnsi" w:hAnsiTheme="minorHAnsi"/>
      <w:color w:val="FFFFFF" w:themeColor="background2"/>
      <w:sz w:val="16"/>
      <w:szCs w:val="16"/>
    </w:rPr>
  </w:style>
  <w:style w:type="paragraph" w:styleId="BlockText">
    <w:name w:val="Block Text"/>
    <w:basedOn w:val="Normal"/>
    <w:uiPriority w:val="99"/>
    <w:semiHidden/>
    <w:unhideWhenUsed/>
    <w:rsid w:val="00AD2263"/>
    <w:pPr>
      <w:pBdr>
        <w:top w:val="single" w:sz="2" w:space="10" w:color="82C341" w:themeColor="accent1" w:shadow="1" w:frame="1"/>
        <w:left w:val="single" w:sz="2" w:space="10" w:color="82C341" w:themeColor="accent1" w:shadow="1" w:frame="1"/>
        <w:bottom w:val="single" w:sz="2" w:space="10" w:color="82C341" w:themeColor="accent1" w:shadow="1" w:frame="1"/>
        <w:right w:val="single" w:sz="2" w:space="10" w:color="82C341" w:themeColor="accent1" w:shadow="1" w:frame="1"/>
      </w:pBdr>
      <w:ind w:left="1152" w:right="1152"/>
    </w:pPr>
    <w:rPr>
      <w:rFonts w:eastAsiaTheme="minorEastAsia" w:cstheme="minorBidi"/>
      <w:i/>
      <w:iCs/>
      <w:color w:val="82C341" w:themeColor="accent1"/>
    </w:rPr>
  </w:style>
  <w:style w:type="paragraph" w:styleId="DocumentMap">
    <w:name w:val="Document Map"/>
    <w:basedOn w:val="Normal"/>
    <w:link w:val="DocumentMapChar"/>
    <w:semiHidden/>
    <w:rsid w:val="00AD2263"/>
    <w:pPr>
      <w:shd w:val="clear" w:color="auto" w:fill="000080"/>
      <w:spacing w:after="0"/>
    </w:pPr>
    <w:rPr>
      <w:rFonts w:ascii="Tahoma" w:eastAsia="Times New Roman" w:hAnsi="Tahoma" w:cs="Tahoma"/>
      <w:sz w:val="24"/>
      <w:szCs w:val="24"/>
      <w:lang w:eastAsia="en-AU"/>
    </w:rPr>
  </w:style>
  <w:style w:type="character" w:customStyle="1" w:styleId="DocumentMapChar">
    <w:name w:val="Document Map Char"/>
    <w:basedOn w:val="DefaultParagraphFont"/>
    <w:link w:val="DocumentMap"/>
    <w:semiHidden/>
    <w:rsid w:val="00AD2263"/>
    <w:rPr>
      <w:rFonts w:ascii="Tahoma" w:eastAsia="Times New Roman" w:hAnsi="Tahoma" w:cs="Tahoma"/>
      <w:color w:val="FFFFFF" w:themeColor="background2"/>
      <w:sz w:val="24"/>
      <w:szCs w:val="24"/>
      <w:shd w:val="clear" w:color="auto" w:fill="000080"/>
      <w:lang w:eastAsia="en-AU"/>
    </w:rPr>
  </w:style>
  <w:style w:type="paragraph" w:styleId="E-mailSignature">
    <w:name w:val="E-mail Signature"/>
    <w:basedOn w:val="Normal"/>
    <w:link w:val="E-mailSignatureChar"/>
    <w:uiPriority w:val="99"/>
    <w:semiHidden/>
    <w:unhideWhenUsed/>
    <w:rsid w:val="00AD2263"/>
    <w:pPr>
      <w:spacing w:after="0"/>
    </w:pPr>
  </w:style>
  <w:style w:type="character" w:customStyle="1" w:styleId="E-mailSignatureChar">
    <w:name w:val="E-mail Signature Char"/>
    <w:basedOn w:val="DefaultParagraphFont"/>
    <w:link w:val="E-mailSignature"/>
    <w:uiPriority w:val="99"/>
    <w:semiHidden/>
    <w:rsid w:val="00AD2263"/>
    <w:rPr>
      <w:rFonts w:asciiTheme="minorHAnsi" w:hAnsiTheme="minorHAnsi"/>
      <w:color w:val="FFFFFF" w:themeColor="background2"/>
      <w:sz w:val="18"/>
    </w:rPr>
  </w:style>
  <w:style w:type="paragraph" w:styleId="HTMLAddress">
    <w:name w:val="HTML Address"/>
    <w:basedOn w:val="Normal"/>
    <w:link w:val="HTMLAddressChar"/>
    <w:uiPriority w:val="99"/>
    <w:semiHidden/>
    <w:unhideWhenUsed/>
    <w:rsid w:val="00AD2263"/>
    <w:pPr>
      <w:spacing w:after="0"/>
    </w:pPr>
    <w:rPr>
      <w:i/>
      <w:iCs/>
    </w:rPr>
  </w:style>
  <w:style w:type="character" w:customStyle="1" w:styleId="HTMLAddressChar">
    <w:name w:val="HTML Address Char"/>
    <w:basedOn w:val="DefaultParagraphFont"/>
    <w:link w:val="HTMLAddress"/>
    <w:uiPriority w:val="99"/>
    <w:semiHidden/>
    <w:rsid w:val="00AD2263"/>
    <w:rPr>
      <w:rFonts w:asciiTheme="minorHAnsi" w:hAnsiTheme="minorHAnsi"/>
      <w:i/>
      <w:iCs/>
      <w:color w:val="FFFFFF" w:themeColor="background2"/>
      <w:sz w:val="18"/>
    </w:rPr>
  </w:style>
  <w:style w:type="paragraph" w:styleId="HTMLPreformatted">
    <w:name w:val="HTML Preformatted"/>
    <w:basedOn w:val="Normal"/>
    <w:link w:val="HTMLPreformattedChar"/>
    <w:uiPriority w:val="99"/>
    <w:semiHidden/>
    <w:unhideWhenUsed/>
    <w:rsid w:val="00AD2263"/>
    <w:pPr>
      <w:spacing w:after="0"/>
    </w:pPr>
    <w:rPr>
      <w:rFonts w:ascii="Consolas" w:hAnsi="Consolas" w:cs="Consolas"/>
    </w:rPr>
  </w:style>
  <w:style w:type="character" w:customStyle="1" w:styleId="HTMLPreformattedChar">
    <w:name w:val="HTML Preformatted Char"/>
    <w:basedOn w:val="DefaultParagraphFont"/>
    <w:link w:val="HTMLPreformatted"/>
    <w:uiPriority w:val="99"/>
    <w:semiHidden/>
    <w:rsid w:val="00AD2263"/>
    <w:rPr>
      <w:rFonts w:ascii="Consolas" w:hAnsi="Consolas" w:cs="Consolas"/>
      <w:color w:val="FFFFFF" w:themeColor="background2"/>
      <w:sz w:val="18"/>
    </w:rPr>
  </w:style>
  <w:style w:type="paragraph" w:styleId="CommentSubject">
    <w:name w:val="annotation subject"/>
    <w:basedOn w:val="Normal"/>
    <w:next w:val="Normal"/>
    <w:link w:val="CommentSubjectChar"/>
    <w:uiPriority w:val="99"/>
    <w:semiHidden/>
    <w:unhideWhenUsed/>
    <w:rsid w:val="00171BB3"/>
    <w:pPr>
      <w:spacing w:after="120"/>
    </w:pPr>
    <w:rPr>
      <w:rFonts w:ascii="Arial" w:eastAsia="Times New Roman" w:hAnsi="Arial"/>
      <w:b/>
      <w:bCs/>
      <w:lang w:eastAsia="en-AU"/>
    </w:rPr>
  </w:style>
  <w:style w:type="character" w:customStyle="1" w:styleId="CommentSubjectChar">
    <w:name w:val="Comment Subject Char"/>
    <w:basedOn w:val="DefaultParagraphFont"/>
    <w:link w:val="CommentSubject"/>
    <w:uiPriority w:val="99"/>
    <w:semiHidden/>
    <w:rsid w:val="00171BB3"/>
    <w:rPr>
      <w:rFonts w:ascii="Arial" w:eastAsia="Times New Roman" w:hAnsi="Arial"/>
      <w:b/>
      <w:bCs/>
      <w:color w:val="FFFFFF" w:themeColor="background2"/>
      <w:sz w:val="18"/>
      <w:lang w:eastAsia="en-AU"/>
    </w:rPr>
  </w:style>
  <w:style w:type="paragraph" w:styleId="IntenseQuote">
    <w:name w:val="Intense Quote"/>
    <w:basedOn w:val="Normal"/>
    <w:next w:val="Normal"/>
    <w:link w:val="IntenseQuoteChar"/>
    <w:uiPriority w:val="30"/>
    <w:semiHidden/>
    <w:unhideWhenUsed/>
    <w:rsid w:val="00AD2263"/>
    <w:pPr>
      <w:pBdr>
        <w:bottom w:val="single" w:sz="4" w:space="4" w:color="82C341" w:themeColor="accent1"/>
      </w:pBdr>
      <w:spacing w:before="200" w:after="280"/>
      <w:ind w:left="936" w:right="936"/>
    </w:pPr>
    <w:rPr>
      <w:b/>
      <w:bCs/>
      <w:i/>
      <w:iCs/>
      <w:color w:val="82C341" w:themeColor="accent1"/>
    </w:rPr>
  </w:style>
  <w:style w:type="character" w:customStyle="1" w:styleId="IntenseQuoteChar">
    <w:name w:val="Intense Quote Char"/>
    <w:basedOn w:val="DefaultParagraphFont"/>
    <w:link w:val="IntenseQuote"/>
    <w:uiPriority w:val="30"/>
    <w:semiHidden/>
    <w:rsid w:val="00AD2263"/>
    <w:rPr>
      <w:rFonts w:asciiTheme="minorHAnsi" w:hAnsiTheme="minorHAnsi"/>
      <w:b/>
      <w:bCs/>
      <w:i/>
      <w:iCs/>
      <w:color w:val="82C341" w:themeColor="accent1"/>
      <w:sz w:val="18"/>
    </w:rPr>
  </w:style>
  <w:style w:type="paragraph" w:styleId="Bibliography">
    <w:name w:val="Bibliography"/>
    <w:basedOn w:val="Normal"/>
    <w:next w:val="Normal"/>
    <w:uiPriority w:val="37"/>
    <w:semiHidden/>
    <w:unhideWhenUsed/>
    <w:rsid w:val="00AD2263"/>
  </w:style>
  <w:style w:type="paragraph" w:customStyle="1" w:styleId="SectionDividerTitle">
    <w:name w:val="Section Divider Title"/>
    <w:basedOn w:val="Normal"/>
    <w:next w:val="Normal"/>
    <w:qFormat/>
    <w:rsid w:val="00CC389F"/>
    <w:pPr>
      <w:framePr w:w="9639" w:h="2835" w:hRule="exact" w:wrap="around" w:vAnchor="page" w:hAnchor="page" w:x="1135" w:y="1135" w:anchorLock="1"/>
      <w:numPr>
        <w:numId w:val="13"/>
      </w:numPr>
      <w:spacing w:after="2960" w:line="480" w:lineRule="atLeast"/>
      <w:contextualSpacing/>
    </w:pPr>
    <w:rPr>
      <w:rFonts w:asciiTheme="majorHAnsi" w:hAnsiTheme="majorHAnsi"/>
      <w:sz w:val="42"/>
    </w:rPr>
  </w:style>
  <w:style w:type="paragraph" w:customStyle="1" w:styleId="FootnoteSpacer">
    <w:name w:val="Footnote Spacer"/>
    <w:basedOn w:val="Footer"/>
    <w:semiHidden/>
    <w:qFormat/>
    <w:rsid w:val="00301960"/>
    <w:pPr>
      <w:pBdr>
        <w:bottom w:val="single" w:sz="6" w:space="1" w:color="000000" w:themeColor="text1"/>
      </w:pBdr>
      <w:spacing w:after="80"/>
    </w:pPr>
  </w:style>
  <w:style w:type="paragraph" w:customStyle="1" w:styleId="TableText-Numbers">
    <w:name w:val="Table Text - Numbers"/>
    <w:basedOn w:val="TableText"/>
    <w:semiHidden/>
    <w:qFormat/>
    <w:rsid w:val="008528E0"/>
    <w:pPr>
      <w:ind w:right="17"/>
      <w:jc w:val="right"/>
    </w:pPr>
  </w:style>
  <w:style w:type="paragraph" w:customStyle="1" w:styleId="TableText-NumbersNeg">
    <w:name w:val="Table Text - Numbers Neg"/>
    <w:basedOn w:val="TableText"/>
    <w:semiHidden/>
    <w:qFormat/>
    <w:rsid w:val="008528E0"/>
    <w:pPr>
      <w:ind w:right="-40"/>
      <w:jc w:val="right"/>
    </w:pPr>
  </w:style>
  <w:style w:type="paragraph" w:customStyle="1" w:styleId="TableHeading-Numbers">
    <w:name w:val="Table Heading - Numbers"/>
    <w:basedOn w:val="TableHeading"/>
    <w:semiHidden/>
    <w:qFormat/>
    <w:rsid w:val="008528E0"/>
    <w:pPr>
      <w:ind w:right="17"/>
      <w:jc w:val="right"/>
    </w:pPr>
  </w:style>
  <w:style w:type="paragraph" w:styleId="List2">
    <w:name w:val="List 2"/>
    <w:basedOn w:val="Normal"/>
    <w:uiPriority w:val="99"/>
    <w:semiHidden/>
    <w:rsid w:val="00B86744"/>
    <w:pPr>
      <w:numPr>
        <w:ilvl w:val="1"/>
        <w:numId w:val="9"/>
      </w:numPr>
      <w:contextualSpacing/>
    </w:pPr>
  </w:style>
  <w:style w:type="paragraph" w:customStyle="1" w:styleId="TableText-NumbersBold">
    <w:name w:val="Table Text - NumbersBold"/>
    <w:basedOn w:val="TableText-Numbers"/>
    <w:semiHidden/>
    <w:qFormat/>
    <w:rsid w:val="0084771A"/>
    <w:pPr>
      <w:ind w:right="0"/>
    </w:pPr>
    <w:rPr>
      <w:b/>
    </w:rPr>
  </w:style>
  <w:style w:type="paragraph" w:customStyle="1" w:styleId="TableText-NumbersBoldNeg">
    <w:name w:val="Table Text - NumbersBoldNeg"/>
    <w:basedOn w:val="TableText-NumbersBold"/>
    <w:semiHidden/>
    <w:qFormat/>
    <w:rsid w:val="008528E0"/>
    <w:pPr>
      <w:ind w:right="-57"/>
    </w:pPr>
  </w:style>
  <w:style w:type="paragraph" w:customStyle="1" w:styleId="FooterDetailsEven">
    <w:name w:val="Footer Details Even"/>
    <w:basedOn w:val="FooterDetails"/>
    <w:rsid w:val="00807D31"/>
    <w:rPr>
      <w:b/>
    </w:rPr>
  </w:style>
  <w:style w:type="character" w:styleId="PageNumber">
    <w:name w:val="page number"/>
    <w:basedOn w:val="DefaultParagraphFont"/>
    <w:uiPriority w:val="99"/>
    <w:semiHidden/>
    <w:rsid w:val="00807D31"/>
    <w:rPr>
      <w:rFonts w:asciiTheme="majorHAnsi" w:hAnsiTheme="majorHAnsi"/>
      <w:b/>
      <w:color w:val="000000" w:themeColor="text1"/>
    </w:rPr>
  </w:style>
  <w:style w:type="paragraph" w:customStyle="1" w:styleId="IntroCopy">
    <w:name w:val="IntroCopy"/>
    <w:basedOn w:val="Normal"/>
    <w:next w:val="Normal"/>
    <w:qFormat/>
    <w:rsid w:val="00BC52BC"/>
    <w:pPr>
      <w:spacing w:after="170" w:line="300" w:lineRule="atLeast"/>
    </w:pPr>
    <w:rPr>
      <w:rFonts w:asciiTheme="majorHAnsi" w:hAnsiTheme="majorHAnsi"/>
      <w:sz w:val="24"/>
    </w:rPr>
  </w:style>
  <w:style w:type="paragraph" w:styleId="ListBullet3">
    <w:name w:val="List Bullet 3"/>
    <w:basedOn w:val="Normal"/>
    <w:uiPriority w:val="1"/>
    <w:semiHidden/>
    <w:qFormat/>
    <w:rsid w:val="00D12825"/>
    <w:pPr>
      <w:numPr>
        <w:ilvl w:val="2"/>
        <w:numId w:val="11"/>
      </w:numPr>
      <w:contextualSpacing/>
    </w:pPr>
  </w:style>
  <w:style w:type="paragraph" w:styleId="ListNumber3">
    <w:name w:val="List Number 3"/>
    <w:basedOn w:val="Normal"/>
    <w:uiPriority w:val="2"/>
    <w:semiHidden/>
    <w:qFormat/>
    <w:rsid w:val="00B11D27"/>
    <w:pPr>
      <w:numPr>
        <w:ilvl w:val="2"/>
        <w:numId w:val="10"/>
      </w:numPr>
      <w:contextualSpacing/>
    </w:pPr>
  </w:style>
  <w:style w:type="table" w:styleId="TableGridLight">
    <w:name w:val="Grid Table Light"/>
    <w:basedOn w:val="TableNormal"/>
    <w:uiPriority w:val="40"/>
    <w:rsid w:val="002C1573"/>
    <w:tblPr>
      <w:tblBorders>
        <w:top w:val="single" w:sz="4" w:space="0" w:color="61932E" w:themeColor="background1" w:themeShade="BF"/>
        <w:left w:val="single" w:sz="4" w:space="0" w:color="61932E" w:themeColor="background1" w:themeShade="BF"/>
        <w:bottom w:val="single" w:sz="4" w:space="0" w:color="61932E" w:themeColor="background1" w:themeShade="BF"/>
        <w:right w:val="single" w:sz="4" w:space="0" w:color="61932E" w:themeColor="background1" w:themeShade="BF"/>
        <w:insideH w:val="single" w:sz="4" w:space="0" w:color="61932E" w:themeColor="background1" w:themeShade="BF"/>
        <w:insideV w:val="single" w:sz="4" w:space="0" w:color="61932E" w:themeColor="background1" w:themeShade="BF"/>
      </w:tblBorders>
    </w:tblPr>
  </w:style>
  <w:style w:type="paragraph" w:styleId="BodyText">
    <w:name w:val="Body Text"/>
    <w:basedOn w:val="Normal"/>
    <w:link w:val="BodyTextChar"/>
    <w:uiPriority w:val="99"/>
    <w:semiHidden/>
    <w:unhideWhenUsed/>
    <w:rsid w:val="00906AB2"/>
    <w:pPr>
      <w:spacing w:after="120"/>
    </w:pPr>
  </w:style>
  <w:style w:type="character" w:customStyle="1" w:styleId="BodyTextChar">
    <w:name w:val="Body Text Char"/>
    <w:basedOn w:val="DefaultParagraphFont"/>
    <w:link w:val="BodyText"/>
    <w:uiPriority w:val="99"/>
    <w:semiHidden/>
    <w:rsid w:val="00906AB2"/>
    <w:rPr>
      <w:rFonts w:asciiTheme="minorHAnsi" w:hAnsiTheme="minorHAnsi"/>
      <w:color w:val="000000" w:themeColor="text1"/>
      <w:sz w:val="18"/>
    </w:rPr>
  </w:style>
  <w:style w:type="paragraph" w:styleId="CommentText">
    <w:name w:val="annotation text"/>
    <w:basedOn w:val="Normal"/>
    <w:link w:val="CommentTextChar"/>
    <w:uiPriority w:val="99"/>
    <w:semiHidden/>
    <w:unhideWhenUsed/>
    <w:rsid w:val="00906AB2"/>
    <w:pPr>
      <w:spacing w:line="240" w:lineRule="auto"/>
    </w:pPr>
    <w:rPr>
      <w:sz w:val="20"/>
    </w:rPr>
  </w:style>
  <w:style w:type="character" w:customStyle="1" w:styleId="CommentTextChar">
    <w:name w:val="Comment Text Char"/>
    <w:basedOn w:val="DefaultParagraphFont"/>
    <w:link w:val="CommentText"/>
    <w:uiPriority w:val="99"/>
    <w:semiHidden/>
    <w:rsid w:val="00906AB2"/>
    <w:rPr>
      <w:rFonts w:asciiTheme="minorHAnsi" w:hAnsiTheme="minorHAnsi"/>
      <w:color w:val="000000" w:themeColor="text1"/>
    </w:rPr>
  </w:style>
  <w:style w:type="paragraph" w:styleId="ListParagraph">
    <w:name w:val="List Paragraph"/>
    <w:basedOn w:val="Normal"/>
    <w:uiPriority w:val="34"/>
    <w:qFormat/>
    <w:rsid w:val="00906AB2"/>
    <w:pPr>
      <w:ind w:left="720"/>
      <w:contextualSpacing/>
    </w:pPr>
  </w:style>
  <w:style w:type="paragraph" w:styleId="NormalWeb">
    <w:name w:val="Normal (Web)"/>
    <w:basedOn w:val="Normal"/>
    <w:uiPriority w:val="99"/>
    <w:semiHidden/>
    <w:unhideWhenUsed/>
    <w:rsid w:val="00906AB2"/>
    <w:rPr>
      <w:rFonts w:ascii="Times New Roman" w:hAnsi="Times New Roman"/>
      <w:sz w:val="24"/>
      <w:szCs w:val="24"/>
    </w:rPr>
  </w:style>
  <w:style w:type="paragraph" w:styleId="NoteHeading">
    <w:name w:val="Note Heading"/>
    <w:basedOn w:val="Normal"/>
    <w:next w:val="Normal"/>
    <w:link w:val="NoteHeadingChar"/>
    <w:uiPriority w:val="99"/>
    <w:semiHidden/>
    <w:unhideWhenUsed/>
    <w:rsid w:val="00906AB2"/>
    <w:pPr>
      <w:spacing w:after="0" w:line="240" w:lineRule="auto"/>
    </w:pPr>
  </w:style>
  <w:style w:type="character" w:customStyle="1" w:styleId="NoteHeadingChar">
    <w:name w:val="Note Heading Char"/>
    <w:basedOn w:val="DefaultParagraphFont"/>
    <w:link w:val="NoteHeading"/>
    <w:uiPriority w:val="99"/>
    <w:semiHidden/>
    <w:rsid w:val="00906AB2"/>
    <w:rPr>
      <w:rFonts w:asciiTheme="minorHAnsi" w:hAnsiTheme="minorHAnsi"/>
      <w:color w:val="000000" w:themeColor="text1"/>
      <w:sz w:val="18"/>
    </w:rPr>
  </w:style>
  <w:style w:type="paragraph" w:styleId="PlainText">
    <w:name w:val="Plain Text"/>
    <w:basedOn w:val="Normal"/>
    <w:link w:val="PlainTextChar"/>
    <w:uiPriority w:val="99"/>
    <w:semiHidden/>
    <w:unhideWhenUsed/>
    <w:rsid w:val="00906AB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06AB2"/>
    <w:rPr>
      <w:rFonts w:ascii="Consolas" w:hAnsi="Consolas"/>
      <w:color w:val="000000" w:themeColor="text1"/>
      <w:sz w:val="21"/>
      <w:szCs w:val="21"/>
    </w:rPr>
  </w:style>
  <w:style w:type="paragraph" w:styleId="TOC3">
    <w:name w:val="toc 3"/>
    <w:basedOn w:val="Normal"/>
    <w:next w:val="Normal"/>
    <w:autoRedefine/>
    <w:uiPriority w:val="39"/>
    <w:semiHidden/>
    <w:unhideWhenUsed/>
    <w:rsid w:val="00906AB2"/>
    <w:pPr>
      <w:spacing w:after="100"/>
      <w:ind w:left="360"/>
    </w:pPr>
  </w:style>
  <w:style w:type="table" w:customStyle="1" w:styleId="SVTable">
    <w:name w:val="SV Table"/>
    <w:basedOn w:val="TableNormal"/>
    <w:uiPriority w:val="99"/>
    <w:rsid w:val="00BF5B23"/>
    <w:rPr>
      <w:rFonts w:asciiTheme="minorHAnsi" w:hAnsiTheme="minorHAnsi"/>
    </w:rPr>
    <w:tblPr>
      <w:tblBorders>
        <w:top w:val="single" w:sz="2" w:space="0" w:color="82C341" w:themeColor="background1"/>
        <w:bottom w:val="single" w:sz="2" w:space="0" w:color="82C341" w:themeColor="background1"/>
        <w:insideH w:val="single" w:sz="4" w:space="0" w:color="82C341" w:themeColor="background1"/>
      </w:tblBorders>
    </w:tblPr>
    <w:tblStylePr w:type="firstRow">
      <w:rPr>
        <w:color w:val="FFFFFF"/>
      </w:rPr>
      <w:tblPr/>
      <w:trPr>
        <w:tblHeader/>
      </w:trPr>
      <w:tcPr>
        <w:shd w:val="clear" w:color="auto" w:fill="82C341" w:themeFill="background1"/>
      </w:tcPr>
    </w:tblStylePr>
    <w:tblStylePr w:type="lastRow">
      <w:rPr>
        <w:b/>
      </w:rPr>
      <w:tblPr/>
      <w:tcPr>
        <w:tcBorders>
          <w:top w:val="single" w:sz="2" w:space="0" w:color="82C341" w:themeColor="background1"/>
          <w:left w:val="nil"/>
          <w:bottom w:val="single" w:sz="6" w:space="0" w:color="82C341" w:themeColor="background1"/>
          <w:right w:val="nil"/>
          <w:insideH w:val="nil"/>
          <w:insideV w:val="nil"/>
          <w:tl2br w:val="nil"/>
          <w:tr2bl w:val="nil"/>
        </w:tcBorders>
        <w:shd w:val="clear" w:color="auto" w:fill="F0F5E4"/>
      </w:tcPr>
    </w:tblStylePr>
  </w:style>
  <w:style w:type="paragraph" w:customStyle="1" w:styleId="TableCaption">
    <w:name w:val="Table Caption"/>
    <w:basedOn w:val="Normal"/>
    <w:next w:val="Normal"/>
    <w:qFormat/>
    <w:rsid w:val="00B357A3"/>
    <w:pPr>
      <w:pBdr>
        <w:top w:val="single" w:sz="2" w:space="5" w:color="82C341" w:themeColor="background1"/>
      </w:pBdr>
      <w:spacing w:before="200"/>
    </w:pPr>
    <w:rPr>
      <w:color w:val="82C341" w:themeColor="background1"/>
    </w:rPr>
  </w:style>
  <w:style w:type="paragraph" w:customStyle="1" w:styleId="FigureCaption">
    <w:name w:val="Figure Caption"/>
    <w:basedOn w:val="Normal"/>
    <w:next w:val="Normal"/>
    <w:qFormat/>
    <w:rsid w:val="00B357A3"/>
    <w:pPr>
      <w:pBdr>
        <w:top w:val="single" w:sz="2" w:space="5" w:color="82C341" w:themeColor="background1"/>
      </w:pBdr>
      <w:spacing w:before="200"/>
    </w:pPr>
    <w:rPr>
      <w:color w:val="82C341" w:themeColor="background1"/>
    </w:rPr>
  </w:style>
  <w:style w:type="paragraph" w:customStyle="1" w:styleId="TableCaptionWide">
    <w:name w:val="Table Caption Wide"/>
    <w:basedOn w:val="TableCaption"/>
    <w:next w:val="Normal"/>
    <w:qFormat/>
    <w:rsid w:val="001F4CB0"/>
    <w:pPr>
      <w:ind w:left="-1985"/>
    </w:pPr>
  </w:style>
  <w:style w:type="paragraph" w:customStyle="1" w:styleId="CoverHeading">
    <w:name w:val="Cover Heading"/>
    <w:basedOn w:val="Normal"/>
    <w:next w:val="Normal"/>
    <w:qFormat/>
    <w:rsid w:val="00FC6F89"/>
    <w:pPr>
      <w:spacing w:after="340" w:line="216" w:lineRule="auto"/>
      <w:contextualSpacing/>
    </w:pPr>
    <w:rPr>
      <w:b/>
      <w:color w:val="FFFFFF"/>
      <w:sz w:val="52"/>
    </w:rPr>
  </w:style>
  <w:style w:type="paragraph" w:customStyle="1" w:styleId="CoverSubheading">
    <w:name w:val="Cover Subheading"/>
    <w:basedOn w:val="Normal"/>
    <w:next w:val="Normal"/>
    <w:qFormat/>
    <w:rsid w:val="00FC6F89"/>
    <w:pPr>
      <w:spacing w:line="320" w:lineRule="atLeast"/>
      <w:contextualSpacing/>
    </w:pPr>
    <w:rPr>
      <w:color w:val="FFFFFF"/>
      <w:sz w:val="26"/>
    </w:rPr>
  </w:style>
  <w:style w:type="paragraph" w:customStyle="1" w:styleId="CoverDetails">
    <w:name w:val="Cover Details"/>
    <w:basedOn w:val="Normal"/>
    <w:qFormat/>
    <w:rsid w:val="00FC6F89"/>
    <w:pPr>
      <w:spacing w:after="0"/>
    </w:pPr>
  </w:style>
  <w:style w:type="paragraph" w:customStyle="1" w:styleId="BackPageDetails">
    <w:name w:val="BackPage Details"/>
    <w:basedOn w:val="Normal"/>
    <w:qFormat/>
    <w:rsid w:val="00496056"/>
    <w:pPr>
      <w:spacing w:before="85" w:after="20" w:line="210" w:lineRule="atLeast"/>
    </w:pPr>
    <w:rPr>
      <w:sz w:val="17"/>
    </w:rPr>
  </w:style>
  <w:style w:type="character" w:styleId="CommentReference">
    <w:name w:val="annotation reference"/>
    <w:basedOn w:val="DefaultParagraphFont"/>
    <w:uiPriority w:val="99"/>
    <w:semiHidden/>
    <w:unhideWhenUsed/>
    <w:rsid w:val="00016449"/>
    <w:rPr>
      <w:sz w:val="16"/>
      <w:szCs w:val="16"/>
    </w:rPr>
  </w:style>
  <w:style w:type="table" w:customStyle="1" w:styleId="TableGrid0">
    <w:name w:val="TableGrid"/>
    <w:rsid w:val="00DB72E2"/>
    <w:rPr>
      <w:rFonts w:asciiTheme="minorHAnsi" w:eastAsiaTheme="minorEastAsia" w:hAnsiTheme="minorHAnsi" w:cstheme="minorBidi"/>
      <w:sz w:val="22"/>
      <w:szCs w:val="22"/>
      <w:lang w:eastAsia="en-AU"/>
    </w:rPr>
    <w:tblPr>
      <w:tblCellMar>
        <w:top w:w="0" w:type="dxa"/>
        <w:left w:w="0" w:type="dxa"/>
        <w:bottom w:w="0" w:type="dxa"/>
        <w:right w:w="0" w:type="dxa"/>
      </w:tblCellMar>
    </w:tblPr>
  </w:style>
  <w:style w:type="character" w:styleId="Hyperlink">
    <w:name w:val="Hyperlink"/>
    <w:basedOn w:val="DefaultParagraphFont"/>
    <w:uiPriority w:val="99"/>
    <w:unhideWhenUsed/>
    <w:rsid w:val="006D43FD"/>
    <w:rPr>
      <w:color w:val="82C341" w:themeColor="hyperlink"/>
      <w:u w:val="single"/>
    </w:rPr>
  </w:style>
  <w:style w:type="character" w:styleId="Mention">
    <w:name w:val="Mention"/>
    <w:basedOn w:val="DefaultParagraphFont"/>
    <w:uiPriority w:val="99"/>
    <w:semiHidden/>
    <w:unhideWhenUsed/>
    <w:rsid w:val="00F152A6"/>
    <w:rPr>
      <w:color w:val="2B579A"/>
      <w:shd w:val="clear" w:color="auto" w:fill="E6E6E6"/>
    </w:rPr>
  </w:style>
  <w:style w:type="character" w:styleId="BookTitle">
    <w:name w:val="Book Title"/>
    <w:basedOn w:val="DefaultParagraphFont"/>
    <w:uiPriority w:val="33"/>
    <w:qFormat/>
    <w:rsid w:val="00612ED0"/>
    <w:rPr>
      <w:b/>
      <w:bCs/>
      <w:i/>
      <w:iCs/>
      <w:spacing w:val="5"/>
    </w:rPr>
  </w:style>
  <w:style w:type="numbering" w:customStyle="1" w:styleId="Bullets1">
    <w:name w:val="Bullets1"/>
    <w:uiPriority w:val="99"/>
    <w:rsid w:val="00CB2256"/>
  </w:style>
  <w:style w:type="numbering" w:customStyle="1" w:styleId="NumberedHeadings1">
    <w:name w:val="Numbered Headings1"/>
    <w:uiPriority w:val="99"/>
    <w:rsid w:val="00CB2256"/>
  </w:style>
  <w:style w:type="character" w:styleId="FollowedHyperlink">
    <w:name w:val="FollowedHyperlink"/>
    <w:basedOn w:val="DefaultParagraphFont"/>
    <w:uiPriority w:val="99"/>
    <w:semiHidden/>
    <w:unhideWhenUsed/>
    <w:rsid w:val="00BE3459"/>
    <w:rPr>
      <w:color w:val="A5A6A5" w:themeColor="followedHyperlink"/>
      <w:u w:val="single"/>
    </w:rPr>
  </w:style>
  <w:style w:type="paragraph" w:styleId="Caption">
    <w:name w:val="caption"/>
    <w:basedOn w:val="Normal"/>
    <w:next w:val="Normal"/>
    <w:uiPriority w:val="3"/>
    <w:rsid w:val="004C1F4D"/>
    <w:pPr>
      <w:spacing w:after="200" w:line="240" w:lineRule="auto"/>
    </w:pPr>
    <w:rPr>
      <w:i/>
      <w:iCs/>
      <w:color w:val="BCBEC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560968">
      <w:bodyDiv w:val="1"/>
      <w:marLeft w:val="0"/>
      <w:marRight w:val="0"/>
      <w:marTop w:val="0"/>
      <w:marBottom w:val="0"/>
      <w:divBdr>
        <w:top w:val="none" w:sz="0" w:space="0" w:color="auto"/>
        <w:left w:val="none" w:sz="0" w:space="0" w:color="auto"/>
        <w:bottom w:val="none" w:sz="0" w:space="0" w:color="auto"/>
        <w:right w:val="none" w:sz="0" w:space="0" w:color="auto"/>
      </w:divBdr>
    </w:div>
    <w:div w:id="161031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image" Target="media/image14.png"/><Relationship Id="rId21" Type="http://schemas.openxmlformats.org/officeDocument/2006/relationships/header" Target="header4.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http://www.australiatrade.com.au/Shipping/ContainerSizeSales/" TargetMode="External"/><Relationship Id="rId63" Type="http://schemas.openxmlformats.org/officeDocument/2006/relationships/hyperlink" Target="http://www.eurocbc.org/Standard%20Conversion%20Factors%20dti_converfactors.pdf" TargetMode="External"/><Relationship Id="rId68" Type="http://schemas.openxmlformats.org/officeDocument/2006/relationships/hyperlink" Target="http://ec.europa.eu/environment/waste/studies/climate_change.htm" TargetMode="External"/><Relationship Id="rId7" Type="http://schemas.openxmlformats.org/officeDocument/2006/relationships/styles" Target="styles.xml"/><Relationship Id="rId71" Type="http://schemas.openxmlformats.org/officeDocument/2006/relationships/hyperlink" Target="http://www.sustainability.vic.gov.au" TargetMode="Externa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hyperlink" Target="https://www.comlaw.gov.au/Details/F2015C00525/Html/Text" TargetMode="Externa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yperlink" Target="http://ageis.climatechange.gov.au/"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yperlink" Target="http://www.afdc.energy.gov/fuels/fuel_comparison_chart.pdf" TargetMode="External"/><Relationship Id="rId58" Type="http://schemas.openxmlformats.org/officeDocument/2006/relationships/hyperlink" Target="https://www.legislation.gov.au/Details/F2016L00098" TargetMode="External"/><Relationship Id="rId66" Type="http://schemas.openxmlformats.org/officeDocument/2006/relationships/hyperlink" Target="http://www.natural-gas.com.au/about/references.html" TargetMode="External"/><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creativecommons.org/licenses/by/4.0/%20" TargetMode="Externa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hyperlink" Target="http://ageis.climatechange.gov.au/" TargetMode="External"/><Relationship Id="rId61" Type="http://schemas.openxmlformats.org/officeDocument/2006/relationships/hyperlink" Target="http://www.environment.gov.au/system/files/%20resources/3ef30d52-d447-4911-b85c-1ad53e55dc39/files/nationalgreenhouse-accounts-factors-august-2015.pdf%20" TargetMode="Externa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s://www.environment.gov.au/system/files/resources/3ef30d52-d447-4911-b85c-1ad53e55dc39/files/national-greenhouse-accounts-factors-august-2015.pdf" TargetMode="External"/><Relationship Id="rId44" Type="http://schemas.openxmlformats.org/officeDocument/2006/relationships/image" Target="media/image19.png"/><Relationship Id="rId52" Type="http://schemas.openxmlformats.org/officeDocument/2006/relationships/hyperlink" Target="http://www.abs.gov.au/ausstats/abs@.nsf/mf/9208.0/" TargetMode="External"/><Relationship Id="rId60" Type="http://schemas.openxmlformats.org/officeDocument/2006/relationships/hyperlink" Target="http://www.environment.gov.au/%20system/files/resources/da7bde5c-1be2-43f7-97d7-d7d85bb9ad6c/%20files/nger-technical-guidelines2014.pdf1ad53e55dc39/files/nationalgreenhouse-accounts-factors-august-2015.pdf%20" TargetMode="External"/><Relationship Id="rId65" Type="http://schemas.openxmlformats.org/officeDocument/2006/relationships/hyperlink" Target="https://www.extension.iastate.edu/%20agdm/wholefarm/pdf/c6-87.pdf%20" TargetMode="External"/><Relationship Id="rId73" Type="http://schemas.openxmlformats.org/officeDocument/2006/relationships/hyperlink" Target="http://www.sustainability.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ustainability.vic.gov.au" TargetMode="Externa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hyperlink" Target="https://www.comlaw.gov.au/Details/F2015C00525/Html/Text"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yperlink" Target="https://gov.au/Details/F2015C00525/Html/Text%23_%20Toc423517144" TargetMode="External"/><Relationship Id="rId64" Type="http://schemas.openxmlformats.org/officeDocument/2006/relationships/hyperlink" Target="http://www.elgas.com.au/blog/389-lpg-conversions-kg-litresmj-kwh-and-m3" TargetMode="External"/><Relationship Id="rId69" Type="http://schemas.openxmlformats.org/officeDocument/2006/relationships/hyperlink" Target="http://www.sustainability.vic.gov.au" TargetMode="External"/><Relationship Id="rId8" Type="http://schemas.openxmlformats.org/officeDocument/2006/relationships/settings" Target="settings.xml"/><Relationship Id="rId51" Type="http://schemas.openxmlformats.org/officeDocument/2006/relationships/image" Target="media/image26.jpg"/><Relationship Id="rId72" Type="http://schemas.openxmlformats.org/officeDocument/2006/relationships/hyperlink" Target="https://www.sustainability.vic.gov.au/About-us/What-we-do/Strategy-and-planning/Statewide-Waste-and-Resource-Recovery-Infrastructure-Plan"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hyperlink" Target="http://www.aie.org.au/AIE/Energy_Info/Energy_Value.aspx" TargetMode="External"/><Relationship Id="rId67" Type="http://schemas.openxmlformats.org/officeDocument/2006/relationships/hyperlink" Target="https://people.hofstra.edu/geotrans/eng/ch8en/conc8en/fuel_consumption_containerships.html" TargetMode="External"/><Relationship Id="rId20" Type="http://schemas.openxmlformats.org/officeDocument/2006/relationships/footer" Target="footer3.xml"/><Relationship Id="rId41" Type="http://schemas.openxmlformats.org/officeDocument/2006/relationships/image" Target="media/image16.png"/><Relationship Id="rId54" Type="http://schemas.openxmlformats.org/officeDocument/2006/relationships/hyperlink" Target="http://transportinfrastructurecouncil.gov.au/publications/files/national_guidelines_volume_3.pdf" TargetMode="External"/><Relationship Id="rId62" Type="http://schemas.openxmlformats.org/officeDocument/2006/relationships/hyperlink" Target="http://www.dtpli.vic.gov.au/%20data-and-research/population/census-2011/victoria-in-future-2015%20" TargetMode="External"/><Relationship Id="rId70" Type="http://schemas.openxmlformats.org/officeDocument/2006/relationships/hyperlink" Target="http://www.sustainability.vic.gov.a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1" Type="http://schemas.openxmlformats.org/officeDocument/2006/relationships/image" Target="media/image6.jpg"/></Relationships>
</file>

<file path=word/_rels/footer7.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8" Type="http://schemas.openxmlformats.org/officeDocument/2006/relationships/hyperlink" Target="http://www.wangaratta.vic.gov.au/council/documents/images/WasteManagementStrategy1.pdf" TargetMode="External"/><Relationship Id="rId3" Type="http://schemas.openxmlformats.org/officeDocument/2006/relationships/hyperlink" Target="http://www.australianpaper.com.au/sustainability/environmental-sustainability/waste-recycling/" TargetMode="External"/><Relationship Id="rId7" Type="http://schemas.openxmlformats.org/officeDocument/2006/relationships/hyperlink" Target="http://www.wangaratta.vic.gov.au/council/documents/images/WasteManagementStrategy1.pdf" TargetMode="External"/><Relationship Id="rId2" Type="http://schemas.openxmlformats.org/officeDocument/2006/relationships/hyperlink" Target="http://www.australianpaper.com.au/sustainability/environmental-sustainability/waste-recycling/" TargetMode="External"/><Relationship Id="rId1" Type="http://schemas.openxmlformats.org/officeDocument/2006/relationships/hyperlink" Target="http://steelstewardship.com/lifecycle/iron-and-steelmaking" TargetMode="External"/><Relationship Id="rId6" Type="http://schemas.openxmlformats.org/officeDocument/2006/relationships/hyperlink" Target="http://www.insidewaste.com.au/general/news/1012872/visy-usd50m-wte-plant" TargetMode="External"/><Relationship Id="rId5" Type="http://schemas.openxmlformats.org/officeDocument/2006/relationships/hyperlink" Target="http://www.insidewaste.com.au/general/news/1012872/visy-usd50m-wte-plant" TargetMode="External"/><Relationship Id="rId4" Type="http://schemas.openxmlformats.org/officeDocument/2006/relationships/hyperlink" Target="http://www.australianpaper.com.au/sustainability/environmental-sustainability/waste-recycl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cfadden\Desktop\TEMPLATES\FINALS\Report_FINAL.dotm" TargetMode="External"/></Relationships>
</file>

<file path=word/theme/theme1.xml><?xml version="1.0" encoding="utf-8"?>
<a:theme xmlns:a="http://schemas.openxmlformats.org/drawingml/2006/main" name="Office Theme">
  <a:themeElements>
    <a:clrScheme name="000">
      <a:dk1>
        <a:sysClr val="windowText" lastClr="000000"/>
      </a:dk1>
      <a:lt1>
        <a:srgbClr val="82C341"/>
      </a:lt1>
      <a:dk2>
        <a:srgbClr val="BCBEC0"/>
      </a:dk2>
      <a:lt2>
        <a:srgbClr val="FFFFFF"/>
      </a:lt2>
      <a:accent1>
        <a:srgbClr val="82C341"/>
      </a:accent1>
      <a:accent2>
        <a:srgbClr val="000000"/>
      </a:accent2>
      <a:accent3>
        <a:srgbClr val="BCBEC0"/>
      </a:accent3>
      <a:accent4>
        <a:srgbClr val="6AA336"/>
      </a:accent4>
      <a:accent5>
        <a:srgbClr val="A7D278"/>
      </a:accent5>
      <a:accent6>
        <a:srgbClr val="CBE3AE"/>
      </a:accent6>
      <a:hlink>
        <a:srgbClr val="82C341"/>
      </a:hlink>
      <a:folHlink>
        <a:srgbClr val="A5A6A5"/>
      </a:folHlink>
    </a:clrScheme>
    <a:fontScheme name="AAT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customTab" label="Sustainability Victoria" insertBeforeMso="TabHome" keytip="Ch">
        <group id="customGroup" label="Styles">
          <button idMso="StylesPane" label="View Styles" size="large" imageMso="ChangeStylesMenu"/>
          <separator id="styleSep"/>
          <button idMso="StyleNormal" visible="true" size="large" label="Normal" imageMso="AlignLeft"/>
          <separator id="sep1"/>
          <button id="Style_Section_Divider_Title" visible="true" label="Section Divider Title" onAction="RibbonXOnAction" imageMso="S" tag="ApplyStyle_Section_Divider_Title"/>
          <menu id="MenuOther" label="Heading Styles" size="normal" imageMso="H" itemSize="normal">
            <button idMso="Heading1Apply" label="Heading 1" imageMso="_1"/>
            <button id="Style_Heading_2" visible="true" label="Heading 2" onAction="RibbonXOnAction" imageMso="_2" tag="ApplyStyle_Heading_2"/>
            <button id="Style_Heading_3" visible="true" label="Heading 3" onAction="RibbonXOnAction" imageMso="_3" tag="ApplyStyle_Heading_3"/>
            <menuSeparator id="MenuwSep1" title="Not Numbered Headings"/>
            <button id="Style_Heading_1_Numbered" label="Heading 1 Numbered" onAction="RibbonXOnAction" imageMso="_1" tag="ApplyStyle_Heading_1_Numbered"/>
            <button id="Style_Heading_2_Numbered" label="Heading 2 Numbered" onAction="RibbonXOnAction" imageMso="_2" tag="ApplyStyle_Heading_2_Numbered"/>
            <button id="Style_Heading_3_Numbered" label="Heading 3 Numbered" onAction="RibbonXOnAction" imageMso="_3" tag="ApplyStyle_Heading_3_Numbered"/>
          </menu>
          <menu id="MyMenu" label="Cover Styles" itemSize="normal" imageMso="CoverPageInsertGallery">
            <button id="Style_Cover_Heading" label="Heading" imageMso="CoverPageInsertGallery" onAction="RibbonXOnAction" tag="ApplyStyle_Cover_Heading"/>
            <button id="Style_Cover_Subheading" label="Subheading" imageMso="CoverPageInsertGallery" onAction="RibbonXOnAction" tag="ApplyStyle_Cover_Subheading"/>
            <button id="Style_Cover_Details" label="Details" imageMso="CoverPageInsertGallery" onAction="RibbonXOnAction" tag="ApplyStyle_Cover_Details"/>
          </menu>
          <separator id="separato1"/>
          <button id="Style_IntroCopy" visible="true" label="IntroCopy" onAction="RibbonXOnAction" imageMso="ChangeStylesMenu" tag="ApplyStyle_IntroCopy"/>
          <splitButton id="SplitBullets">
            <button idMso="ListBulletApply" label="Bullets" imageMso="Bullets"/>
            <menu id="SplitMenuBullet" label="Bullets" itemSize="large" imageMso="Bullets">
              <button id="Style_List_Bullet_1" label="Bullets Level 1" onAction="RibbonXOnAction" tag="ApplyStyle_List_Bullet" imageMso="Bullets"/>
              <button id="Style_List_Bullet_2" label="Bullets Level 2" onAction="RibbonXOnAction" tag="ApplyStyle_List_Bullet_2" imageMso="Bullets"/>
            </menu>
          </splitButton>
          <menu id="SplitMenuNumber" label="Numbering" itemSize="large" imageMso="Numbering">
            <button id="Style_List_Number" label="Numbering Level 1" imageMso="Numbering" onAction="RibbonXOnAction" tag="ApplyStyle_List_Number"/>
            <button id="Style_List_Number_2" label="Numbering Level 2" imageMso="Numbering" onAction="RibbonXOnAction" tag="ApplyStyle_List_Number_2"/>
          </menu>
        </group>
        <group id="customGr" label="Table Tools">
          <menu id="Tables" label="Insert Tables" size="large" imageMso="CreateTable" itemSize="normal">
            <button id="InsertTable" visible="true" label="Insert Table" onAction="InsertTable" imageMso="CreateTable" supertip="Inserts a table or reformats selected table"/>
            <button id="InsertTable2" visible="true" label="Insert Wide Table" onAction="InsertTable2" imageMso="ViewGridlinesWord" supertip="Inserts a table or reformats selected table"/>
          </menu>
          <separator id="separator5"/>
          <menu id="TableCaption" label="Table Caption" size="normal" imageMso="CreateTable" itemSize="normal">
            <button id="InsertTableCaptions" label="Insert TableCaption" imageMso="CreateTable" visible="true" onAction="InsertTableCaptions"/>
            <button id="InsertTableCaptions_Wide" label="Insert TableCaption Wide" imageMso="CreateTable" visible="true" onAction="InsertTableCaptions"/>
          </menu>
          <toggleButton idMso="TableStyleTotalRowWord"/>
          <menu id="Tablestyles" label="Table Styles" size="normal" imageMso="ChangeStylesMenu" itemSize="normal">
            <button id="Style_Table_Heading" label="Table Heading" visible="true" onAction="RibbonXOnAction" tag="ApplyStyle_Table_Heading"/>
            <button id="Style_Table_Text" label="Table Text" visible="true" onAction="RibbonXOnAction" tag="ApplyStyle_Table_Text"/>
            <button id="Style_Table_Bullet" label="Table Bullet" onAction="RibbonXOnAction" tag="ApplyStyle_Table_Bullet"/>
            <menuSeparator id="MenuwSesp1" title="Table Caption"/>
            <button id="Style_Table_Caption" label="Table Caption" onAction="RibbonXOnAction" tag="ApplyStyle_Table_Caption"/>
            <button id="Style_Table_Caption_Wide" label="Table Caption Wide" onAction="RibbonXOnAction" tag="ApplyStyle_Table_Caption_Wide"/>
          </menu>
        </group>
        <group id="customGroup2" label="Other Tools">
          <button id="ApplyInsertLandscapeSection" visible="true" size="large" label="Landscape Page" onAction="ApplyInsertLandscapeSection" imageMso="MasterNotesPageOrientation"/>
          <button id="ApplyInsertPortraitSection" visible="true" size="large" label="Portrait Page" onAction="ApplyInsertPortraitSection" imageMso="LabelsDialog"/>
          <separator id="df"/>
          <button id="DividerPage" visible="true" size="large" label="Insert Section Divider" onAction="DividerPage" imageMso="CreateReport"/>
          <separator id="sed1"/>
          <button id="BackPage" visible="true" size="large" label="Insert Back Page" onAction="BackPage" imageMso="PivotTableLayoutShowInTabularForm"/>
          <separator id="ss"/>
          <button id="InsertPicture" visible="true" size="normal" label="Insert Picture" onAction="InsertPicture" imageMso="PictureEffectsShadowGallery"/>
          <button id="InsertFigureCaptions" visible="true" size="normal" label="Figure Caption" onAction="InsertFigureCaptions" imageMso="CaptionInsert"/>
          <button idMso="FootnoteInsert" visible="true" size="normal" label="Insert Footnote" imageMso="FootnoteInsert"/>
          <separator id="sep333"/>
          <button id="ApplyUpdateDetails" label="Update Details" visible="true" size="large" onAction="ApplyUpdateDetails" imageMso="RecurrenceEdit"/>
          <separator id="sep3"/>
          <button idMso="TableOfContentsUpdate" visible="true" size="large" label="Update TOC" imageMso="AccessRefreshAllLists"/>
          <separator id="ff"/>
          <button id="PasteUnformatted" visible="true" size="large" label="Paste Unformatted" onAction="PasteUnformatted" imageMso="Paste"/>
          <separator id="separator1"/>
          <toggleButton idMso="TableShowGridlines" visible="true" size="large" label="Show Gridlines"/>
          <toggleButton idMso="ParagraphMarks" visible="true" size="large" label="Show Paragraph Marks"/>
          <separator id="about"/>
          <button id="CallAbout" visible="true" size="large" label="About" onAction="CallAbout" imageMso="Info"/>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f9a40e2d127043eaa3b18699b2fc7615 xmlns="66e2e438-3733-46d5-b64b-c512c6046b4e">
      <Terms xmlns="http://schemas.microsoft.com/office/infopath/2007/PartnerControls">
        <TermInfo xmlns="http://schemas.microsoft.com/office/infopath/2007/PartnerControls">
          <TermName xmlns="http://schemas.microsoft.com/office/infopath/2007/PartnerControls">Project Final Outputs</TermName>
          <TermId xmlns="http://schemas.microsoft.com/office/infopath/2007/PartnerControls">5f04ea4d-4dc1-4115-8ded-71fba3d0f218</TermId>
        </TermInfo>
      </Terms>
    </f9a40e2d127043eaa3b18699b2fc7615>
    <l19c03aba7cf4268b442a699abdd95c1 xmlns="66e2e438-3733-46d5-b64b-c512c6046b4e">
      <Terms xmlns="http://schemas.microsoft.com/office/infopath/2007/PartnerControls">
        <TermInfo xmlns="http://schemas.microsoft.com/office/infopath/2007/PartnerControls">
          <TermName xmlns="http://schemas.microsoft.com/office/infopath/2007/PartnerControls">Project Delivery</TermName>
          <TermId xmlns="http://schemas.microsoft.com/office/infopath/2007/PartnerControls">eb369edd-3252-405b-bf36-bb9ef294daba</TermId>
        </TermInfo>
      </Terms>
    </l19c03aba7cf4268b442a699abdd95c1>
    <oa9ff634f432497fbe7a448b9e66b205 xmlns="66e2e438-3733-46d5-b64b-c512c6046b4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a6f64896-ae48-4d38-9394-0168a9e18a35</TermId>
        </TermInfo>
      </Terms>
    </oa9ff634f432497fbe7a448b9e66b205>
    <IconOverlay xmlns="http://schemas.microsoft.com/sharepoint/v4" xsi:nil="true"/>
    <TaxCatchAll xmlns="66e2e438-3733-46d5-b64b-c512c6046b4e">
      <Value>135</Value>
      <Value>26</Value>
      <Value>30</Value>
      <Value>29</Value>
      <Value>451</Value>
      <Value>1450</Value>
      <Value>9</Value>
      <Value>22</Value>
      <Value>36</Value>
      <Value>120</Value>
    </TaxCatchAll>
    <j8d690aba18e46d99baa7d2bc10bdcb5 xmlns="66e2e438-3733-46d5-b64b-c512c6046b4e">
      <Terms xmlns="http://schemas.microsoft.com/office/infopath/2007/PartnerControls">
        <TermInfo xmlns="http://schemas.microsoft.com/office/infopath/2007/PartnerControls">
          <TermName xmlns="http://schemas.microsoft.com/office/infopath/2007/PartnerControls">2.4 GHG emissions from the waste sector</TermName>
          <TermId xmlns="http://schemas.microsoft.com/office/infopath/2007/PartnerControls">b8328a43-d287-4ad1-95bf-7abe914150d7</TermId>
        </TermInfo>
      </Terms>
    </j8d690aba18e46d99baa7d2bc10bdcb5>
  </documentManagement>
</p:properties>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Project Delivery Document" ma:contentTypeID="0x01010099DDF8EDA320E543B1EC6B982B0C01211C0051805961AE8CCE4AA6A4454D8ADD7FB4" ma:contentTypeVersion="8" ma:contentTypeDescription="" ma:contentTypeScope="" ma:versionID="606c4e957c39516c7f4026efdfd67fcc">
  <xsd:schema xmlns:xsd="http://www.w3.org/2001/XMLSchema" xmlns:xs="http://www.w3.org/2001/XMLSchema" xmlns:p="http://schemas.microsoft.com/office/2006/metadata/properties" xmlns:ns2="66e2e438-3733-46d5-b64b-c512c6046b4e" xmlns:ns5="http://schemas.microsoft.com/sharepoint/v4" targetNamespace="http://schemas.microsoft.com/office/2006/metadata/properties" ma:root="true" ma:fieldsID="a8c99dc7b17150a50a84d94efbf5d690" ns2:_="" ns5:_="">
    <xsd:import namespace="66e2e438-3733-46d5-b64b-c512c6046b4e"/>
    <xsd:import namespace="http://schemas.microsoft.com/sharepoint/v4"/>
    <xsd:element name="properties">
      <xsd:complexType>
        <xsd:sequence>
          <xsd:element name="documentManagement">
            <xsd:complexType>
              <xsd:all>
                <xsd:element ref="ns2:l19c03aba7cf4268b442a699abdd95c1" minOccurs="0"/>
                <xsd:element ref="ns2:TaxCatchAll" minOccurs="0"/>
                <xsd:element ref="ns2:TaxCatchAllLabel" minOccurs="0"/>
                <xsd:element ref="ns2:oa9ff634f432497fbe7a448b9e66b205" minOccurs="0"/>
                <xsd:element ref="ns2:f9a40e2d127043eaa3b18699b2fc7615" minOccurs="0"/>
                <xsd:element ref="ns2:j8d690aba18e46d99baa7d2bc10bdcb5"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2e438-3733-46d5-b64b-c512c6046b4e" elementFormDefault="qualified">
    <xsd:import namespace="http://schemas.microsoft.com/office/2006/documentManagement/types"/>
    <xsd:import namespace="http://schemas.microsoft.com/office/infopath/2007/PartnerControls"/>
    <xsd:element name="l19c03aba7cf4268b442a699abdd95c1" ma:index="8" ma:taxonomy="true" ma:internalName="l19c03aba7cf4268b442a699abdd95c1" ma:taxonomyFieldName="DM_x0020_Key_x0020_Word" ma:displayName="DM Key Word" ma:default="" ma:fieldId="{519c03ab-a7cf-4268-b442-a699abdd95c1}" ma:sspId="a2a80313-aeb0-43cb-af8b-51726a16eb99" ma:termSetId="5b46aed8-1fb6-4566-8825-d0f9ab16c4f5" ma:anchorId="11e0954f-3f44-48eb-a71e-1d4434efb686" ma:open="false" ma:isKeyword="false">
      <xsd:complexType>
        <xsd:sequence>
          <xsd:element ref="pc:Terms" minOccurs="0" maxOccurs="1"/>
        </xsd:sequence>
      </xsd:complexType>
    </xsd:element>
    <xsd:element name="TaxCatchAll" ma:index="9" nillable="true" ma:displayName="Taxonomy Catch All Column" ma:hidden="true" ma:list="{9576827e-cc6f-4d7c-bb92-f610bc75a59f}" ma:internalName="TaxCatchAll" ma:showField="CatchAllData" ma:web="66e2e438-3733-46d5-b64b-c512c6046b4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576827e-cc6f-4d7c-bb92-f610bc75a59f}" ma:internalName="TaxCatchAllLabel" ma:readOnly="true" ma:showField="CatchAllDataLabel" ma:web="66e2e438-3733-46d5-b64b-c512c6046b4e">
      <xsd:complexType>
        <xsd:complexContent>
          <xsd:extension base="dms:MultiChoiceLookup">
            <xsd:sequence>
              <xsd:element name="Value" type="dms:Lookup" maxOccurs="unbounded" minOccurs="0" nillable="true"/>
            </xsd:sequence>
          </xsd:extension>
        </xsd:complexContent>
      </xsd:complexType>
    </xsd:element>
    <xsd:element name="oa9ff634f432497fbe7a448b9e66b205" ma:index="12" nillable="true" ma:taxonomy="true" ma:internalName="oa9ff634f432497fbe7a448b9e66b205" ma:taxonomyFieldName="Security_x0020_Classification" ma:displayName="Security Classification" ma:readOnly="false" ma:default="30;#Unclassified|a6f64896-ae48-4d38-9394-0168a9e18a35" ma:fieldId="{8a9ff634-f432-497f-be7a-448b9e66b205}" ma:sspId="a2a80313-aeb0-43cb-af8b-51726a16eb99" ma:termSetId="d16bce95-03fb-4cb9-88d5-15e906f2f9c4" ma:anchorId="00000000-0000-0000-0000-000000000000" ma:open="false" ma:isKeyword="false">
      <xsd:complexType>
        <xsd:sequence>
          <xsd:element ref="pc:Terms" minOccurs="0" maxOccurs="1"/>
        </xsd:sequence>
      </xsd:complexType>
    </xsd:element>
    <xsd:element name="f9a40e2d127043eaa3b18699b2fc7615" ma:index="14" ma:taxonomy="true" ma:internalName="f9a40e2d127043eaa3b18699b2fc7615" ma:taxonomyFieldName="Delivery_x0020_Type" ma:displayName="Project Delivery Activity" ma:default="" ma:fieldId="{f9a40e2d-1270-43ea-a3b1-8699b2fc7615}" ma:sspId="a2a80313-aeb0-43cb-af8b-51726a16eb99" ma:termSetId="bd75eb70-1319-4257-b9db-3d556ace5f5d" ma:anchorId="00000000-0000-0000-0000-000000000000" ma:open="false" ma:isKeyword="false">
      <xsd:complexType>
        <xsd:sequence>
          <xsd:element ref="pc:Terms" minOccurs="0" maxOccurs="1"/>
        </xsd:sequence>
      </xsd:complexType>
    </xsd:element>
    <xsd:element name="j8d690aba18e46d99baa7d2bc10bdcb5" ma:index="18" nillable="true" ma:taxonomy="true" ma:internalName="j8d690aba18e46d99baa7d2bc10bdcb5" ma:taxonomyFieldName="Sub_x0020_Project" ma:displayName="Sub Project" ma:default="" ma:fieldId="{38d690ab-a18e-46d9-9baa-7d2bc10bdcb5}" ma:sspId="a2a80313-aeb0-43cb-af8b-51726a16eb99" ma:termSetId="b2364d3b-e302-49b8-b217-0d979dc3277b" ma:anchorId="8da2d3fa-583d-41f0-89ae-3440fc02765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0A505-FFE4-46F3-BC20-3F84F13B6705}">
  <ds:schemaRefs>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6e2e438-3733-46d5-b64b-c512c6046b4e"/>
    <ds:schemaRef ds:uri="http://www.w3.org/XML/1998/namespace"/>
    <ds:schemaRef ds:uri="http://purl.org/dc/dcmitype/"/>
  </ds:schemaRefs>
</ds:datastoreItem>
</file>

<file path=customXml/itemProps2.xml><?xml version="1.0" encoding="utf-8"?>
<ds:datastoreItem xmlns:ds="http://schemas.openxmlformats.org/officeDocument/2006/customXml" ds:itemID="{0E5B2708-C931-4D9E-9FDB-5156492BA71A}">
  <ds:schemaRefs>
    <ds:schemaRef ds:uri="http://schemas.microsoft.com/sharepoint/events"/>
  </ds:schemaRefs>
</ds:datastoreItem>
</file>

<file path=customXml/itemProps3.xml><?xml version="1.0" encoding="utf-8"?>
<ds:datastoreItem xmlns:ds="http://schemas.openxmlformats.org/officeDocument/2006/customXml" ds:itemID="{C0DAE580-7BEA-417A-84C1-57BA0BF2E6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2e438-3733-46d5-b64b-c512c6046b4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A3EA6C-A6FD-4A27-BAA5-B23319484C41}">
  <ds:schemaRefs>
    <ds:schemaRef ds:uri="http://schemas.microsoft.com/sharepoint/v3/contenttype/forms"/>
  </ds:schemaRefs>
</ds:datastoreItem>
</file>

<file path=customXml/itemProps5.xml><?xml version="1.0" encoding="utf-8"?>
<ds:datastoreItem xmlns:ds="http://schemas.openxmlformats.org/officeDocument/2006/customXml" ds:itemID="{E222E05A-5217-4BCD-B071-07C235971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Report_FINAL</Template>
  <TotalTime>24</TotalTime>
  <Pages>20</Pages>
  <Words>12644</Words>
  <Characters>72072</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SV (2019) GHG from the waste sector and opportunities for reduction FINAL FOR PUBLICATION</vt:lpstr>
    </vt:vector>
  </TitlesOfParts>
  <Company>Sustainability Victoria</Company>
  <LinksUpToDate>false</LinksUpToDate>
  <CharactersWithSpaces>84547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 (2019) GHG from the waste sector and opportunities for reduction FINAL FOR PUBLICATION</dc:title>
  <dc:creator>Erin McFadden</dc:creator>
  <cp:lastModifiedBy>Karen Wilson</cp:lastModifiedBy>
  <cp:revision>8</cp:revision>
  <cp:lastPrinted>2018-07-17T02:58:00Z</cp:lastPrinted>
  <dcterms:created xsi:type="dcterms:W3CDTF">2019-08-12T07:10:00Z</dcterms:created>
  <dcterms:modified xsi:type="dcterms:W3CDTF">2019-08-21T02:06:00Z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test</vt:lpwstr>
  </property>
  <property fmtid="{D5CDD505-2E9C-101B-9397-08002B2CF9AE}" pid="3" name="CoverDate">
    <vt:lpwstr>October 2018</vt:lpwstr>
  </property>
  <property fmtid="{D5CDD505-2E9C-101B-9397-08002B2CF9AE}" pid="4" name="CoverReportBy">
    <vt:lpwstr>Erin McFadden</vt:lpwstr>
  </property>
  <property fmtid="{D5CDD505-2E9C-101B-9397-08002B2CF9AE}" pid="5" name="CoverSubtitle">
    <vt:lpwstr>test</vt:lpwstr>
  </property>
  <property fmtid="{D5CDD505-2E9C-101B-9397-08002B2CF9AE}" pid="6" name="ContentTypeId">
    <vt:lpwstr>0x01010099DDF8EDA320E543B1EC6B982B0C01211C0051805961AE8CCE4AA6A4454D8ADD7FB4</vt:lpwstr>
  </property>
  <property fmtid="{D5CDD505-2E9C-101B-9397-08002B2CF9AE}" pid="7" name="Sub Project">
    <vt:lpwstr>451;#2.4 GHG emissions from the waste sector|b8328a43-d287-4ad1-95bf-7abe914150d7</vt:lpwstr>
  </property>
  <property fmtid="{D5CDD505-2E9C-101B-9397-08002B2CF9AE}" pid="8" name="b73968e9ce784ca4a391306e0a0a5f46">
    <vt:lpwstr>2019|1b608e17-7be6-4165-a7a2-583381837858</vt:lpwstr>
  </property>
  <property fmtid="{D5CDD505-2E9C-101B-9397-08002B2CF9AE}" pid="9" name="m2a46786ab4242859a6101eb70b9b150">
    <vt:lpwstr>Internal Report|a89eade3-a39a-496c-a215-f730206bee91</vt:lpwstr>
  </property>
  <property fmtid="{D5CDD505-2E9C-101B-9397-08002B2CF9AE}" pid="10" name="DM Key Word">
    <vt:lpwstr>36;#Project Delivery|eb369edd-3252-405b-bf36-bb9ef294daba</vt:lpwstr>
  </property>
  <property fmtid="{D5CDD505-2E9C-101B-9397-08002B2CF9AE}" pid="11" name="i4587b40dee642c5a1d5214f2c9eb308">
    <vt:lpwstr>Minutes|9a90a59b-df34-44af-b72f-b8fa25724038</vt:lpwstr>
  </property>
  <property fmtid="{D5CDD505-2E9C-101B-9397-08002B2CF9AE}" pid="12" name="f5f0b0297d954234b0859b6844c5fcc8">
    <vt:lpwstr>Contracts|710ae83e-9930-4287-8286-a40c95955d0e</vt:lpwstr>
  </property>
  <property fmtid="{D5CDD505-2E9C-101B-9397-08002B2CF9AE}" pid="13" name="b597d033ab9a4eb5a9384d5125191b65">
    <vt:lpwstr>Brief|7a08c022-f9cf-4d47-b74d-3d54d3874e09</vt:lpwstr>
  </property>
  <property fmtid="{D5CDD505-2E9C-101B-9397-08002B2CF9AE}" pid="14" name="ndce0d0d55a349928d36ed823709dfec">
    <vt:lpwstr>SWRRIP ＆ WRRG Plans|b66b9e2d-81d6-4f2b-8187-26c5bba3fe8c</vt:lpwstr>
  </property>
  <property fmtid="{D5CDD505-2E9C-101B-9397-08002B2CF9AE}" pid="15" name="Delivery Type">
    <vt:lpwstr>135;#Project Final Outputs|5f04ea4d-4dc1-4115-8ded-71fba3d0f218</vt:lpwstr>
  </property>
  <property fmtid="{D5CDD505-2E9C-101B-9397-08002B2CF9AE}" pid="16" name="Calendar Year">
    <vt:lpwstr>1450;#2019|1b608e17-7be6-4165-a7a2-583381837858</vt:lpwstr>
  </property>
  <property fmtid="{D5CDD505-2E9C-101B-9397-08002B2CF9AE}" pid="17" name="Security Classification">
    <vt:lpwstr>30;#Unclassified|a6f64896-ae48-4d38-9394-0168a9e18a35</vt:lpwstr>
  </property>
  <property fmtid="{D5CDD505-2E9C-101B-9397-08002B2CF9AE}" pid="18" name="Meeting Type">
    <vt:lpwstr>26;#Minutes|9a90a59b-df34-44af-b72f-b8fa25724038</vt:lpwstr>
  </property>
  <property fmtid="{D5CDD505-2E9C-101B-9397-08002B2CF9AE}" pid="19" name="Report Type">
    <vt:lpwstr>29;#Internal Report|a89eade3-a39a-496c-a215-f730206bee91</vt:lpwstr>
  </property>
  <property fmtid="{D5CDD505-2E9C-101B-9397-08002B2CF9AE}" pid="20" name="Team1">
    <vt:lpwstr>120;#SWRRIP ＆ WRRG Plans|b66b9e2d-81d6-4f2b-8187-26c5bba3fe8c</vt:lpwstr>
  </property>
  <property fmtid="{D5CDD505-2E9C-101B-9397-08002B2CF9AE}" pid="21" name="Communication document type">
    <vt:lpwstr>9;#Brief|7a08c022-f9cf-4d47-b74d-3d54d3874e09</vt:lpwstr>
  </property>
  <property fmtid="{D5CDD505-2E9C-101B-9397-08002B2CF9AE}" pid="22" name="Legal Document Type">
    <vt:lpwstr>22;#Contracts|710ae83e-9930-4287-8286-a40c95955d0e</vt:lpwstr>
  </property>
  <property fmtid="{D5CDD505-2E9C-101B-9397-08002B2CF9AE}" pid="23" name="RecordPoint_WorkflowType">
    <vt:lpwstr>ActiveSubmitStub</vt:lpwstr>
  </property>
  <property fmtid="{D5CDD505-2E9C-101B-9397-08002B2CF9AE}" pid="24" name="RecordPoint_ActiveItemUniqueId">
    <vt:lpwstr>{c7852174-0fd7-46d9-86b0-8700d377030d}</vt:lpwstr>
  </property>
  <property fmtid="{D5CDD505-2E9C-101B-9397-08002B2CF9AE}" pid="25" name="RecordPoint_RecordNumberSubmitted">
    <vt:lpwstr>R0000128074</vt:lpwstr>
  </property>
  <property fmtid="{D5CDD505-2E9C-101B-9397-08002B2CF9AE}" pid="26" name="RecordPoint_ActiveItemWebId">
    <vt:lpwstr>{6412e8e5-964c-43b6-897e-9d0fe556ca46}</vt:lpwstr>
  </property>
  <property fmtid="{D5CDD505-2E9C-101B-9397-08002B2CF9AE}" pid="27" name="RecordPoint_ActiveItemSiteId">
    <vt:lpwstr>{8eb2c6ca-de9e-4f79-b66f-3005f2148001}</vt:lpwstr>
  </property>
  <property fmtid="{D5CDD505-2E9C-101B-9397-08002B2CF9AE}" pid="28" name="RecordPoint_ActiveItemListId">
    <vt:lpwstr>{2fc4960f-73d2-4cfa-abdf-1684c83f69a2}</vt:lpwstr>
  </property>
  <property fmtid="{D5CDD505-2E9C-101B-9397-08002B2CF9AE}" pid="29" name="RecordPoint_SubmissionCompleted">
    <vt:lpwstr>2019-08-21T12:15:38.5393731+10:00</vt:lpwstr>
  </property>
  <property fmtid="{D5CDD505-2E9C-101B-9397-08002B2CF9AE}" pid="30" name="RecordPoint_SubmissionDate">
    <vt:lpwstr/>
  </property>
  <property fmtid="{D5CDD505-2E9C-101B-9397-08002B2CF9AE}" pid="31" name="RecordPoint_RecordFormat">
    <vt:lpwstr/>
  </property>
  <property fmtid="{D5CDD505-2E9C-101B-9397-08002B2CF9AE}" pid="32" name="RecordPoint_ActiveItemMoved">
    <vt:lpwstr/>
  </property>
</Properties>
</file>